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rPr>
          <w:rFonts w:hint="eastAsia"/>
          <w:color w:val="auto"/>
          <w:highlight w:val="none"/>
          <w:lang w:val="en-US" w:eastAsia="zh-CN"/>
        </w:rPr>
      </w:pPr>
      <w:bookmarkStart w:id="0" w:name="_Toc176627822"/>
      <w:bookmarkStart w:id="1" w:name="_Toc9813"/>
      <w:bookmarkStart w:id="2" w:name="_Toc10470"/>
      <w:bookmarkStart w:id="3" w:name="_Toc28218"/>
      <w:bookmarkStart w:id="4" w:name="_Toc26458"/>
      <w:bookmarkStart w:id="5" w:name="_Toc142508358"/>
      <w:bookmarkStart w:id="6" w:name="_Toc11394"/>
      <w:bookmarkStart w:id="7" w:name="_Toc486167706"/>
      <w:bookmarkStart w:id="8" w:name="_Toc27939_WPSOffice_Level1"/>
      <w:bookmarkStart w:id="9" w:name="_Toc178076501"/>
      <w:bookmarkStart w:id="10" w:name="_Toc17327"/>
      <w:bookmarkStart w:id="11" w:name="_Toc450662891"/>
      <w:bookmarkStart w:id="12" w:name="_Toc172552188"/>
      <w:bookmarkStart w:id="13" w:name="_Toc27535"/>
      <w:bookmarkStart w:id="14" w:name="_Toc32092"/>
      <w:bookmarkStart w:id="15" w:name="_Toc9876"/>
      <w:r>
        <w:rPr>
          <w:rFonts w:hint="eastAsia"/>
          <w:color w:val="auto"/>
          <w:highlight w:val="none"/>
          <w:lang w:val="en-US" w:eastAsia="zh-CN"/>
        </w:rPr>
        <w:t>东莞市水务集团有限公司注册发行60亿元公司债承销商采购项目</w:t>
      </w:r>
    </w:p>
    <w:p>
      <w:pPr>
        <w:pStyle w:val="3"/>
        <w:rPr>
          <w:color w:val="auto"/>
          <w:highlight w:val="none"/>
          <w:lang w:val="zh-CN"/>
        </w:rPr>
      </w:pPr>
      <w:r>
        <w:rPr>
          <w:rFonts w:hint="eastAsia"/>
          <w:color w:val="auto"/>
          <w:highlight w:val="none"/>
          <w:lang w:val="zh-CN"/>
        </w:rPr>
        <w:t>用户需求书</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p>
    <w:p>
      <w:pPr>
        <w:numPr>
          <w:ilvl w:val="0"/>
          <w:numId w:val="1"/>
        </w:numPr>
        <w:autoSpaceDE w:val="0"/>
        <w:autoSpaceDN w:val="0"/>
        <w:adjustRightInd w:val="0"/>
        <w:snapToGrid w:val="0"/>
        <w:spacing w:line="360" w:lineRule="auto"/>
        <w:ind w:left="420" w:leftChars="0" w:right="-34" w:rightChars="0" w:hanging="420" w:firstLineChars="0"/>
        <w:jc w:val="left"/>
        <w:outlineLvl w:val="0"/>
        <w:rPr>
          <w:rFonts w:ascii="宋体" w:hAnsi="宋体" w:eastAsia="宋体" w:cs="Times New Roman"/>
          <w:b/>
          <w:szCs w:val="21"/>
          <w:highlight w:val="none"/>
          <w:lang w:val="zh-CN"/>
        </w:rPr>
      </w:pPr>
      <w:bookmarkStart w:id="16" w:name="_Toc20897"/>
      <w:bookmarkStart w:id="17" w:name="_Toc142508359"/>
      <w:bookmarkStart w:id="18" w:name="_Toc11281_WPSOffice_Level1"/>
      <w:bookmarkStart w:id="19" w:name="_Toc450662892"/>
      <w:bookmarkStart w:id="20" w:name="_Toc486167707"/>
      <w:bookmarkStart w:id="21" w:name="_Toc19477"/>
      <w:r>
        <w:rPr>
          <w:rFonts w:ascii="宋体" w:hAnsi="宋体" w:eastAsia="宋体" w:cs="Times New Roman"/>
          <w:b/>
          <w:szCs w:val="21"/>
          <w:highlight w:val="none"/>
          <w:lang w:val="zh-CN"/>
        </w:rPr>
        <w:t>合格投标人</w:t>
      </w:r>
      <w:r>
        <w:rPr>
          <w:rFonts w:hint="eastAsia" w:ascii="宋体" w:hAnsi="宋体" w:eastAsia="宋体" w:cs="Times New Roman"/>
          <w:b/>
          <w:szCs w:val="21"/>
          <w:highlight w:val="none"/>
          <w:lang w:val="zh-CN"/>
        </w:rPr>
        <w:t>资格要求</w:t>
      </w:r>
      <w:r>
        <w:rPr>
          <w:rFonts w:ascii="宋体" w:hAnsi="宋体" w:eastAsia="宋体" w:cs="Times New Roman"/>
          <w:b/>
          <w:szCs w:val="21"/>
          <w:highlight w:val="none"/>
          <w:lang w:val="zh-CN"/>
        </w:rPr>
        <w:t>：</w:t>
      </w:r>
      <w:bookmarkEnd w:id="16"/>
    </w:p>
    <w:p>
      <w:pPr>
        <w:numPr>
          <w:ilvl w:val="0"/>
          <w:numId w:val="2"/>
        </w:numPr>
        <w:ind w:left="425" w:leftChars="0" w:hanging="425" w:firstLineChars="0"/>
        <w:rPr>
          <w:rFonts w:hint="eastAsia"/>
          <w:lang w:val="zh-CN"/>
        </w:rPr>
      </w:pPr>
      <w:r>
        <w:rPr>
          <w:rFonts w:hint="eastAsia"/>
          <w:lang w:val="zh-CN"/>
        </w:rPr>
        <w:t>在中华人民共和国境内登记注册的具有独立承担民事责任能力的证券公司或其分支机构（分支机构投标的，须提供其所属总公司就本项目对该分支机构的投标授权书，如中标，由其总公司签订合同）；同一家证券公司最多只能授权一家分支机构参与投标，如果同一家证券公司及其分支机构均报名或同一家证券公司的多个分支机构报名，则该证券公司及其分支机构的投标将被拒绝；</w:t>
      </w:r>
    </w:p>
    <w:p>
      <w:pPr>
        <w:numPr>
          <w:ilvl w:val="0"/>
          <w:numId w:val="2"/>
        </w:numPr>
        <w:ind w:left="425" w:leftChars="0" w:hanging="425" w:firstLineChars="0"/>
        <w:rPr>
          <w:rFonts w:hint="eastAsia"/>
          <w:lang w:val="zh-CN"/>
        </w:rPr>
      </w:pPr>
      <w:bookmarkStart w:id="22" w:name="_Toc25819"/>
      <w:r>
        <w:rPr>
          <w:rFonts w:hint="eastAsia"/>
          <w:lang w:val="zh-CN"/>
        </w:rPr>
        <w:t>投标人或其上级法人（分支机构投标时其所属的证券公司法人）具备公司债主承销商及服务资质（须提供《经营证券期货业务许可证》复印件）；</w:t>
      </w:r>
    </w:p>
    <w:p>
      <w:pPr>
        <w:numPr>
          <w:ilvl w:val="0"/>
          <w:numId w:val="2"/>
        </w:numPr>
        <w:ind w:left="425" w:leftChars="0" w:hanging="425" w:firstLineChars="0"/>
        <w:rPr>
          <w:rFonts w:hint="eastAsia"/>
          <w:lang w:val="zh-CN"/>
        </w:rPr>
      </w:pPr>
      <w:r>
        <w:rPr>
          <w:rFonts w:hint="eastAsia"/>
          <w:lang w:val="zh-CN"/>
        </w:rPr>
        <w:t>投标人目前未被监管机构暂停承销公司债业务，以及没有未结案的因公司债发行业务或其他业务被监管机构立案调查事项，如招标人在投标人中标后发现存在上述事项，有权取消其中标资格；</w:t>
      </w:r>
    </w:p>
    <w:p>
      <w:pPr>
        <w:numPr>
          <w:ilvl w:val="0"/>
          <w:numId w:val="2"/>
        </w:numPr>
        <w:ind w:left="425" w:leftChars="0" w:hanging="425" w:firstLineChars="0"/>
        <w:rPr>
          <w:rFonts w:hint="eastAsia"/>
          <w:lang w:val="en-US" w:eastAsia="zh-CN"/>
        </w:rPr>
      </w:pPr>
      <w:r>
        <w:rPr>
          <w:rFonts w:hint="eastAsia"/>
          <w:lang w:val="zh-CN"/>
        </w:rPr>
        <w:t>投标人</w:t>
      </w:r>
      <w:r>
        <w:rPr>
          <w:rFonts w:hint="eastAsia"/>
          <w:lang w:val="en-US" w:eastAsia="zh-CN"/>
        </w:rPr>
        <w:t>2022</w:t>
      </w:r>
      <w:r>
        <w:rPr>
          <w:rFonts w:hint="eastAsia"/>
          <w:lang w:val="zh-CN"/>
        </w:rPr>
        <w:t>年</w:t>
      </w:r>
      <w:r>
        <w:rPr>
          <w:rFonts w:hint="eastAsia"/>
          <w:lang w:val="en-US" w:eastAsia="zh-CN"/>
        </w:rPr>
        <w:t>1</w:t>
      </w:r>
      <w:r>
        <w:rPr>
          <w:rFonts w:hint="eastAsia"/>
          <w:lang w:val="zh-CN"/>
        </w:rPr>
        <w:t>月</w:t>
      </w:r>
      <w:r>
        <w:rPr>
          <w:rFonts w:hint="eastAsia"/>
          <w:lang w:val="en-US" w:eastAsia="zh-CN"/>
        </w:rPr>
        <w:t>1</w:t>
      </w:r>
      <w:r>
        <w:rPr>
          <w:rFonts w:hint="eastAsia"/>
          <w:lang w:val="zh-CN"/>
        </w:rPr>
        <w:t>日以来具有一份</w:t>
      </w:r>
      <w:r>
        <w:rPr>
          <w:rFonts w:hint="eastAsia"/>
          <w:lang w:val="en-US" w:eastAsia="zh-CN"/>
        </w:rPr>
        <w:t>担任主承销商发行企业3年期公司债的业绩</w:t>
      </w:r>
      <w:r>
        <w:rPr>
          <w:rFonts w:hint="eastAsia"/>
          <w:lang w:val="zh-CN"/>
        </w:rPr>
        <w:t>（合同签订日期为</w:t>
      </w:r>
      <w:r>
        <w:rPr>
          <w:rFonts w:hint="eastAsia"/>
          <w:lang w:val="en-US" w:eastAsia="zh-CN"/>
        </w:rPr>
        <w:t>2022</w:t>
      </w:r>
      <w:r>
        <w:rPr>
          <w:rFonts w:hint="eastAsia"/>
          <w:lang w:val="zh-CN"/>
        </w:rPr>
        <w:t>年</w:t>
      </w:r>
      <w:r>
        <w:rPr>
          <w:rFonts w:hint="eastAsia"/>
          <w:lang w:val="en-US" w:eastAsia="zh-CN"/>
        </w:rPr>
        <w:t>1</w:t>
      </w:r>
      <w:r>
        <w:rPr>
          <w:rFonts w:hint="eastAsia"/>
          <w:lang w:val="zh-CN"/>
        </w:rPr>
        <w:t>月</w:t>
      </w:r>
      <w:r>
        <w:rPr>
          <w:rFonts w:hint="eastAsia"/>
          <w:lang w:val="en-US" w:eastAsia="zh-CN"/>
        </w:rPr>
        <w:t>1</w:t>
      </w:r>
      <w:r>
        <w:rPr>
          <w:rFonts w:hint="eastAsia"/>
          <w:lang w:val="zh-CN"/>
        </w:rPr>
        <w:t>日或以后）；</w:t>
      </w:r>
    </w:p>
    <w:p>
      <w:pPr>
        <w:numPr>
          <w:ilvl w:val="0"/>
          <w:numId w:val="2"/>
        </w:numPr>
        <w:ind w:left="425" w:leftChars="0" w:hanging="425" w:firstLineChars="0"/>
        <w:rPr>
          <w:rFonts w:hint="eastAsia"/>
          <w:lang w:val="zh-CN"/>
        </w:rPr>
      </w:pPr>
      <w:bookmarkStart w:id="23" w:name="_Toc29714"/>
      <w:r>
        <w:rPr>
          <w:rFonts w:hint="eastAsia"/>
          <w:lang w:val="zh-CN"/>
        </w:rPr>
        <w:t>本项目</w:t>
      </w:r>
      <w:r>
        <w:rPr>
          <w:rFonts w:hint="eastAsia"/>
          <w:lang w:val="en-US" w:eastAsia="zh-CN"/>
        </w:rPr>
        <w:t>仅</w:t>
      </w:r>
      <w:r>
        <w:rPr>
          <w:rFonts w:hint="eastAsia"/>
          <w:lang w:val="zh-CN"/>
        </w:rPr>
        <w:t>接受</w:t>
      </w:r>
      <w:r>
        <w:rPr>
          <w:rFonts w:hint="eastAsia"/>
          <w:lang w:val="en-US" w:eastAsia="zh-CN"/>
        </w:rPr>
        <w:t>由1家主承销商及2家</w:t>
      </w:r>
      <w:r>
        <w:rPr>
          <w:rFonts w:hint="eastAsia"/>
        </w:rPr>
        <w:t>联席主承销商</w:t>
      </w:r>
      <w:r>
        <w:rPr>
          <w:rFonts w:hint="eastAsia"/>
          <w:lang w:val="en-US" w:eastAsia="zh-CN"/>
        </w:rPr>
        <w:t>组成的</w:t>
      </w:r>
      <w:r>
        <w:rPr>
          <w:rFonts w:hint="eastAsia"/>
          <w:lang w:val="zh-CN"/>
        </w:rPr>
        <w:t>联合体投标，</w:t>
      </w:r>
      <w:r>
        <w:rPr>
          <w:rFonts w:hint="eastAsia"/>
          <w:lang w:val="en-US" w:eastAsia="zh-CN"/>
        </w:rPr>
        <w:t>且主承销商作为联合体牵头方，联系主承销商为联合体成员</w:t>
      </w:r>
      <w:r>
        <w:rPr>
          <w:rFonts w:hint="eastAsia"/>
          <w:lang w:val="zh-CN"/>
        </w:rPr>
        <w:t>，</w:t>
      </w:r>
      <w:r>
        <w:rPr>
          <w:rFonts w:hint="eastAsia"/>
          <w:lang w:val="en-US" w:eastAsia="zh-CN"/>
        </w:rPr>
        <w:t>否则视为无效投标</w:t>
      </w:r>
      <w:r>
        <w:rPr>
          <w:rFonts w:hint="eastAsia"/>
          <w:lang w:val="zh-CN"/>
        </w:rPr>
        <w:t>。</w:t>
      </w:r>
      <w:bookmarkEnd w:id="22"/>
      <w:bookmarkEnd w:id="23"/>
    </w:p>
    <w:p>
      <w:pPr>
        <w:pStyle w:val="4"/>
        <w:numPr>
          <w:ilvl w:val="0"/>
          <w:numId w:val="3"/>
        </w:numPr>
        <w:ind w:left="420" w:leftChars="0" w:hanging="420" w:firstLineChars="0"/>
        <w:rPr>
          <w:rFonts w:hint="eastAsia" w:ascii="宋体" w:hAnsi="宋体" w:eastAsia="宋体" w:cs="Times New Roman"/>
          <w:b/>
          <w:kern w:val="2"/>
          <w:sz w:val="21"/>
          <w:szCs w:val="21"/>
          <w:highlight w:val="none"/>
          <w:lang w:val="zh-CN" w:eastAsia="zh-CN" w:bidi="ar-SA"/>
        </w:rPr>
      </w:pPr>
      <w:r>
        <w:rPr>
          <w:rFonts w:hint="eastAsia" w:ascii="宋体" w:hAnsi="宋体" w:eastAsia="宋体" w:cs="Times New Roman"/>
          <w:b/>
          <w:kern w:val="2"/>
          <w:sz w:val="21"/>
          <w:szCs w:val="21"/>
          <w:highlight w:val="none"/>
          <w:lang w:val="zh-CN" w:eastAsia="zh-CN" w:bidi="ar-SA"/>
        </w:rPr>
        <w:t>用户需求书</w:t>
      </w:r>
      <w:bookmarkEnd w:id="17"/>
      <w:bookmarkEnd w:id="18"/>
      <w:bookmarkEnd w:id="19"/>
      <w:bookmarkEnd w:id="20"/>
      <w:bookmarkEnd w:id="21"/>
    </w:p>
    <w:p>
      <w:pPr>
        <w:autoSpaceDE/>
        <w:autoSpaceDN/>
        <w:adjustRightInd/>
        <w:spacing w:line="360" w:lineRule="auto"/>
        <w:ind w:firstLine="422" w:firstLineChars="200"/>
        <w:jc w:val="both"/>
        <w:rPr>
          <w:rFonts w:hint="eastAsia" w:ascii="宋体" w:hAnsi="宋体" w:eastAsia="宋体" w:cs="宋体"/>
          <w:b/>
          <w:bCs/>
          <w:sz w:val="21"/>
          <w:szCs w:val="21"/>
        </w:rPr>
      </w:pPr>
      <w:r>
        <w:rPr>
          <w:rFonts w:hint="eastAsia" w:ascii="宋体" w:hAnsi="宋体" w:eastAsia="宋体" w:cs="宋体"/>
          <w:b/>
          <w:bCs/>
          <w:sz w:val="21"/>
          <w:szCs w:val="21"/>
        </w:rPr>
        <w:t>一、招标人基本情况描述</w:t>
      </w:r>
    </w:p>
    <w:p>
      <w:pPr>
        <w:autoSpaceDE/>
        <w:autoSpaceDN/>
        <w:adjustRightInd/>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东莞市水务集团有限公司（下称“招标人”）是统筹城市供水排水、水环境治理、相关涉水产业项目投资及服务的全产业链综合性集团、市属重点国有企业。2018年3月，经东莞市人民政府批准，招标人在原东莞市东江水务有限公司、东莞市水务投资集团有限公司的基础上组建成立。</w:t>
      </w:r>
    </w:p>
    <w:p>
      <w:pPr>
        <w:autoSpaceDE/>
        <w:autoSpaceDN/>
        <w:adjustRightInd/>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根据招标人发展规划，拟申请注册额度不超过</w:t>
      </w:r>
      <w:r>
        <w:rPr>
          <w:rFonts w:hint="eastAsia" w:ascii="宋体" w:hAnsi="宋体" w:eastAsia="宋体" w:cs="宋体"/>
          <w:sz w:val="21"/>
          <w:szCs w:val="21"/>
          <w:lang w:val="en-US" w:eastAsia="zh-CN"/>
        </w:rPr>
        <w:t>60</w:t>
      </w:r>
      <w:r>
        <w:rPr>
          <w:rFonts w:hint="eastAsia" w:ascii="宋体" w:hAnsi="宋体" w:eastAsia="宋体" w:cs="宋体"/>
          <w:sz w:val="21"/>
          <w:szCs w:val="21"/>
        </w:rPr>
        <w:t>亿元、期限不超过3年的公司债（可续期公司债为3+N年，以最终注册的规模、期限为准），并根据本公司资金需求情况分期发行。基于项目复杂性，经评估现采购</w:t>
      </w:r>
      <w:r>
        <w:rPr>
          <w:rFonts w:hint="eastAsia" w:ascii="宋体" w:hAnsi="宋体" w:eastAsia="宋体" w:cs="宋体"/>
          <w:b/>
          <w:bCs/>
          <w:sz w:val="21"/>
          <w:szCs w:val="21"/>
          <w:lang w:val="en-US" w:eastAsia="zh-CN"/>
        </w:rPr>
        <w:t>3</w:t>
      </w:r>
      <w:r>
        <w:rPr>
          <w:rFonts w:hint="eastAsia" w:ascii="宋体" w:hAnsi="宋体" w:eastAsia="宋体" w:cs="宋体"/>
          <w:b/>
          <w:bCs/>
          <w:sz w:val="21"/>
          <w:szCs w:val="21"/>
        </w:rPr>
        <w:t>家</w:t>
      </w:r>
      <w:r>
        <w:rPr>
          <w:rFonts w:hint="eastAsia" w:ascii="宋体" w:hAnsi="宋体" w:eastAsia="宋体" w:cs="宋体"/>
          <w:b/>
          <w:bCs/>
          <w:sz w:val="21"/>
          <w:szCs w:val="21"/>
          <w:lang w:eastAsia="zh-CN"/>
        </w:rPr>
        <w:t>（</w:t>
      </w:r>
      <w:r>
        <w:rPr>
          <w:rFonts w:hint="eastAsia" w:hAnsi="宋体" w:eastAsia="宋体"/>
          <w:b/>
          <w:sz w:val="21"/>
          <w:szCs w:val="21"/>
          <w:highlight w:val="none"/>
          <w:lang w:val="en-US" w:eastAsia="zh-CN"/>
        </w:rPr>
        <w:t>由1家主承销商及2家</w:t>
      </w:r>
      <w:r>
        <w:rPr>
          <w:rFonts w:hint="eastAsia" w:ascii="宋体" w:hAnsi="宋体" w:eastAsia="宋体" w:cs="宋体"/>
          <w:b/>
          <w:bCs/>
          <w:color w:val="000000"/>
          <w:sz w:val="21"/>
          <w:szCs w:val="21"/>
        </w:rPr>
        <w:t>联席主承销商</w:t>
      </w:r>
      <w:r>
        <w:rPr>
          <w:rFonts w:hint="eastAsia" w:hAnsi="宋体" w:eastAsia="宋体" w:cs="宋体"/>
          <w:b/>
          <w:bCs/>
          <w:color w:val="000000"/>
          <w:sz w:val="21"/>
          <w:szCs w:val="21"/>
          <w:lang w:val="en-US" w:eastAsia="zh-CN"/>
        </w:rPr>
        <w:t>组成的</w:t>
      </w:r>
      <w:r>
        <w:rPr>
          <w:rFonts w:hint="eastAsia" w:hAnsi="宋体" w:eastAsia="宋体"/>
          <w:b/>
          <w:sz w:val="21"/>
          <w:szCs w:val="21"/>
          <w:highlight w:val="none"/>
          <w:lang w:val="zh-CN"/>
        </w:rPr>
        <w:t>联合体</w:t>
      </w:r>
      <w:r>
        <w:rPr>
          <w:rFonts w:hint="eastAsia" w:ascii="宋体" w:hAnsi="宋体" w:eastAsia="宋体" w:cs="宋体"/>
          <w:b/>
          <w:bCs/>
          <w:sz w:val="21"/>
          <w:szCs w:val="21"/>
          <w:lang w:eastAsia="zh-CN"/>
        </w:rPr>
        <w:t>）</w:t>
      </w:r>
      <w:r>
        <w:rPr>
          <w:rFonts w:hint="eastAsia" w:ascii="宋体" w:hAnsi="宋体" w:eastAsia="宋体" w:cs="宋体"/>
          <w:sz w:val="21"/>
          <w:szCs w:val="21"/>
        </w:rPr>
        <w:t>具有合法资质和丰富发行经验的</w:t>
      </w:r>
      <w:r>
        <w:rPr>
          <w:rFonts w:hint="eastAsia" w:ascii="宋体" w:hAnsi="宋体" w:eastAsia="宋体" w:cs="宋体"/>
          <w:b/>
          <w:sz w:val="21"/>
          <w:szCs w:val="21"/>
        </w:rPr>
        <w:t>证券公司</w:t>
      </w:r>
      <w:r>
        <w:rPr>
          <w:rFonts w:hint="eastAsia" w:ascii="宋体" w:hAnsi="宋体" w:eastAsia="宋体" w:cs="宋体"/>
          <w:sz w:val="21"/>
          <w:szCs w:val="21"/>
        </w:rPr>
        <w:t>对本次公司债开展承销工作。</w:t>
      </w:r>
    </w:p>
    <w:p>
      <w:pPr>
        <w:autoSpaceDE/>
        <w:autoSpaceDN/>
        <w:adjustRightInd/>
        <w:spacing w:line="360" w:lineRule="auto"/>
        <w:ind w:firstLine="420" w:firstLineChars="200"/>
        <w:rPr>
          <w:rFonts w:hint="eastAsia" w:ascii="宋体" w:hAnsi="宋体" w:eastAsia="宋体" w:cs="宋体"/>
          <w:sz w:val="21"/>
          <w:szCs w:val="21"/>
        </w:rPr>
      </w:pPr>
    </w:p>
    <w:p>
      <w:pPr>
        <w:autoSpaceDE/>
        <w:autoSpaceDN/>
        <w:adjustRightInd/>
        <w:spacing w:line="360" w:lineRule="auto"/>
        <w:ind w:firstLine="422" w:firstLineChars="200"/>
        <w:jc w:val="both"/>
        <w:rPr>
          <w:rFonts w:hint="eastAsia" w:ascii="宋体" w:hAnsi="宋体" w:eastAsia="宋体" w:cs="宋体"/>
          <w:b/>
          <w:bCs/>
          <w:sz w:val="21"/>
          <w:szCs w:val="21"/>
        </w:rPr>
      </w:pPr>
      <w:r>
        <w:rPr>
          <w:rFonts w:hint="eastAsia" w:ascii="宋体" w:hAnsi="宋体" w:eastAsia="宋体" w:cs="宋体"/>
          <w:b/>
          <w:bCs/>
          <w:sz w:val="21"/>
          <w:szCs w:val="21"/>
        </w:rPr>
        <w:t>二、服务要求</w:t>
      </w:r>
    </w:p>
    <w:p>
      <w:pPr>
        <w:autoSpaceDE/>
        <w:autoSpaceDN/>
        <w:adjustRightInd/>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（一）结合本公司要求，做好前期准备工作并对本次公司债注册发行的可行性提供建议，包括但不限于方案设计、尽职调查、市场调查分析等，制定最优发行方案。</w:t>
      </w:r>
    </w:p>
    <w:p>
      <w:pPr>
        <w:autoSpaceDE/>
        <w:autoSpaceDN/>
        <w:adjustRightInd/>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（二）协调项目运行过程中所需各专业机构，包括会计师事务所、律师事务所、评级机构等。</w:t>
      </w:r>
    </w:p>
    <w:p>
      <w:pPr>
        <w:autoSpaceDE/>
        <w:autoSpaceDN/>
        <w:adjustRightInd/>
        <w:spacing w:line="360" w:lineRule="auto"/>
        <w:ind w:firstLine="422" w:firstLineChars="200"/>
        <w:rPr>
          <w:rFonts w:hint="eastAsia" w:ascii="宋体" w:hAnsi="宋体" w:eastAsia="宋体" w:cs="宋体"/>
          <w:b/>
          <w:bCs/>
          <w:sz w:val="21"/>
          <w:szCs w:val="21"/>
        </w:rPr>
      </w:pPr>
      <w:r>
        <w:rPr>
          <w:rFonts w:hint="eastAsia" w:ascii="宋体" w:hAnsi="宋体" w:eastAsia="宋体" w:cs="宋体"/>
          <w:b/>
          <w:bCs/>
          <w:kern w:val="2"/>
          <w:szCs w:val="21"/>
        </w:rPr>
        <w:t>★</w:t>
      </w:r>
      <w:r>
        <w:rPr>
          <w:rFonts w:hint="eastAsia" w:ascii="宋体" w:hAnsi="宋体" w:eastAsia="宋体" w:cs="宋体"/>
          <w:b/>
          <w:bCs/>
          <w:sz w:val="21"/>
          <w:szCs w:val="21"/>
        </w:rPr>
        <w:t>（三）起草、完善本次注册发行公司债相关文件，对其他中介机构提供的申报材料进行总体把关，以完成全套申报材料的制作。</w:t>
      </w:r>
    </w:p>
    <w:p>
      <w:pPr>
        <w:autoSpaceDE/>
        <w:autoSpaceDN/>
        <w:adjustRightInd/>
        <w:spacing w:line="360" w:lineRule="auto"/>
        <w:ind w:firstLine="422" w:firstLineChars="200"/>
        <w:rPr>
          <w:rFonts w:hint="eastAsia" w:ascii="宋体" w:hAnsi="宋体" w:eastAsia="宋体" w:cs="宋体"/>
          <w:b/>
          <w:bCs/>
          <w:sz w:val="21"/>
          <w:szCs w:val="21"/>
        </w:rPr>
      </w:pPr>
      <w:r>
        <w:rPr>
          <w:rFonts w:hint="eastAsia" w:ascii="宋体" w:hAnsi="宋体" w:eastAsia="宋体" w:cs="宋体"/>
          <w:b/>
          <w:bCs/>
          <w:kern w:val="2"/>
          <w:szCs w:val="21"/>
        </w:rPr>
        <w:t>★</w:t>
      </w:r>
      <w:r>
        <w:rPr>
          <w:rFonts w:hint="eastAsia" w:ascii="宋体" w:hAnsi="宋体" w:eastAsia="宋体" w:cs="宋体"/>
          <w:b/>
          <w:bCs/>
          <w:sz w:val="21"/>
          <w:szCs w:val="21"/>
        </w:rPr>
        <w:t>（四）负责申报材料上报后，与监管部门沟通，推进审批进程，确保审批顺利。</w:t>
      </w:r>
    </w:p>
    <w:p>
      <w:pPr>
        <w:autoSpaceDE/>
        <w:autoSpaceDN/>
        <w:adjustRightInd/>
        <w:spacing w:line="360" w:lineRule="auto"/>
        <w:ind w:firstLine="422" w:firstLineChars="200"/>
        <w:rPr>
          <w:rFonts w:hint="eastAsia" w:ascii="宋体" w:hAnsi="宋体" w:eastAsia="宋体" w:cs="宋体"/>
          <w:b/>
          <w:bCs/>
          <w:sz w:val="21"/>
          <w:szCs w:val="21"/>
        </w:rPr>
      </w:pPr>
      <w:r>
        <w:rPr>
          <w:rFonts w:hint="eastAsia" w:ascii="宋体" w:hAnsi="宋体" w:eastAsia="宋体" w:cs="宋体"/>
          <w:b/>
          <w:bCs/>
          <w:kern w:val="2"/>
          <w:szCs w:val="21"/>
        </w:rPr>
        <w:t>★</w:t>
      </w:r>
      <w:r>
        <w:rPr>
          <w:rFonts w:hint="eastAsia" w:ascii="宋体" w:hAnsi="宋体" w:eastAsia="宋体" w:cs="宋体"/>
          <w:b/>
          <w:bCs/>
          <w:sz w:val="21"/>
          <w:szCs w:val="21"/>
        </w:rPr>
        <w:t>（五）在簿记建档前的初次询价结束后、簿记建档截标前、簿记建档结束后三个时间点向招标人提供“投资者认购单”。并汇总投资者反馈的信息，与招标人讨论确定合理价格区间。“投资者认购单”应至少包括：（1）投资者名称；（2）申购金额；（3）申购利率三个要素。</w:t>
      </w:r>
    </w:p>
    <w:p>
      <w:pPr>
        <w:autoSpaceDE/>
        <w:autoSpaceDN/>
        <w:adjustRightInd/>
        <w:spacing w:line="360" w:lineRule="auto"/>
        <w:ind w:firstLine="422" w:firstLineChars="200"/>
        <w:rPr>
          <w:rFonts w:hint="eastAsia" w:ascii="宋体" w:hAnsi="宋体" w:eastAsia="宋体" w:cs="宋体"/>
          <w:b/>
          <w:bCs/>
          <w:sz w:val="21"/>
          <w:szCs w:val="21"/>
        </w:rPr>
      </w:pPr>
      <w:r>
        <w:rPr>
          <w:rFonts w:hint="eastAsia" w:ascii="宋体" w:hAnsi="宋体" w:eastAsia="宋体" w:cs="宋体"/>
          <w:b/>
          <w:bCs/>
          <w:kern w:val="2"/>
          <w:szCs w:val="21"/>
        </w:rPr>
        <w:t>★</w:t>
      </w:r>
      <w:r>
        <w:rPr>
          <w:rFonts w:hint="eastAsia" w:ascii="宋体" w:hAnsi="宋体" w:eastAsia="宋体" w:cs="宋体"/>
          <w:b/>
          <w:bCs/>
          <w:sz w:val="21"/>
          <w:szCs w:val="21"/>
        </w:rPr>
        <w:t>（六）承销比例由</w:t>
      </w:r>
      <w:r>
        <w:rPr>
          <w:rFonts w:hint="eastAsia" w:ascii="宋体" w:hAnsi="宋体" w:eastAsia="宋体" w:cs="宋体"/>
          <w:b/>
          <w:bCs/>
          <w:sz w:val="21"/>
          <w:szCs w:val="21"/>
          <w:lang w:val="en-US" w:eastAsia="zh-CN"/>
        </w:rPr>
        <w:t>三</w:t>
      </w:r>
      <w:r>
        <w:rPr>
          <w:rFonts w:hint="eastAsia" w:ascii="宋体" w:hAnsi="宋体" w:eastAsia="宋体" w:cs="宋体"/>
          <w:b/>
          <w:bCs/>
          <w:sz w:val="21"/>
          <w:szCs w:val="21"/>
        </w:rPr>
        <w:t>家承销商自行商议确定，各承销商应依托自身客户资源，按承销比例履行余额包销义务。</w:t>
      </w:r>
    </w:p>
    <w:p>
      <w:pPr>
        <w:autoSpaceDE/>
        <w:autoSpaceDN/>
        <w:adjustRightInd/>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（七）按时足额将本次债券承销款项划入招标人指定账户。</w:t>
      </w:r>
    </w:p>
    <w:p>
      <w:pPr>
        <w:autoSpaceDE/>
        <w:autoSpaceDN/>
        <w:adjustRightInd/>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（八）协助办理债券登记托管及上市流通。</w:t>
      </w:r>
    </w:p>
    <w:p>
      <w:pPr>
        <w:autoSpaceDE/>
        <w:autoSpaceDN/>
        <w:adjustRightInd/>
        <w:spacing w:line="360" w:lineRule="auto"/>
        <w:ind w:firstLine="422" w:firstLineChars="200"/>
        <w:rPr>
          <w:rFonts w:hint="eastAsia" w:ascii="宋体" w:hAnsi="宋体" w:eastAsia="宋体" w:cs="宋体"/>
          <w:b/>
          <w:bCs/>
          <w:sz w:val="21"/>
          <w:szCs w:val="21"/>
        </w:rPr>
      </w:pPr>
      <w:r>
        <w:rPr>
          <w:rFonts w:hint="eastAsia" w:ascii="宋体" w:hAnsi="宋体" w:eastAsia="宋体" w:cs="宋体"/>
          <w:b/>
          <w:bCs/>
          <w:kern w:val="2"/>
          <w:szCs w:val="21"/>
        </w:rPr>
        <w:t>★</w:t>
      </w:r>
      <w:r>
        <w:rPr>
          <w:rFonts w:hint="eastAsia" w:ascii="宋体" w:hAnsi="宋体" w:eastAsia="宋体" w:cs="宋体"/>
          <w:b/>
          <w:bCs/>
          <w:sz w:val="21"/>
          <w:szCs w:val="21"/>
        </w:rPr>
        <w:t>（九）协助付息及本金兑付工作，跟踪做好年度信息或重大信息披露工作。</w:t>
      </w:r>
    </w:p>
    <w:p>
      <w:pPr>
        <w:autoSpaceDE/>
        <w:autoSpaceDN/>
        <w:adjustRightInd/>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（十）提供后续咨询服务，根据招标人需要，向招标人提供关于有关债券市场业务的日常咨询。</w:t>
      </w:r>
    </w:p>
    <w:p>
      <w:pPr>
        <w:autoSpaceDE/>
        <w:autoSpaceDN/>
        <w:adjustRightInd/>
        <w:spacing w:line="360" w:lineRule="auto"/>
        <w:ind w:firstLine="420" w:firstLineChars="200"/>
        <w:rPr>
          <w:rFonts w:hint="eastAsia" w:ascii="宋体" w:hAnsi="宋体" w:eastAsia="宋体" w:cs="宋体"/>
        </w:rPr>
      </w:pPr>
      <w:r>
        <w:rPr>
          <w:rFonts w:hint="eastAsia" w:ascii="宋体" w:hAnsi="宋体" w:eastAsia="宋体" w:cs="宋体"/>
          <w:sz w:val="21"/>
          <w:szCs w:val="21"/>
        </w:rPr>
        <w:t>（十一）服务机构应组建人员充足、结构分工合理、综合素质高、有丰富的同类项目工作经验的专业项目团队，投标文件中所承诺的人员应确保到位，项目启动后，项目人员不得随意更换，以保障高效、优质地完成债券发行工作。</w:t>
      </w:r>
    </w:p>
    <w:p>
      <w:pPr>
        <w:autoSpaceDE/>
        <w:autoSpaceDN/>
        <w:adjustRightInd/>
        <w:spacing w:line="360" w:lineRule="auto"/>
        <w:ind w:firstLine="422" w:firstLineChars="200"/>
        <w:jc w:val="both"/>
        <w:rPr>
          <w:rFonts w:hint="eastAsia" w:ascii="宋体" w:hAnsi="宋体" w:eastAsia="宋体" w:cs="宋体"/>
          <w:b/>
          <w:bCs/>
          <w:sz w:val="21"/>
          <w:szCs w:val="21"/>
        </w:rPr>
      </w:pPr>
    </w:p>
    <w:p>
      <w:pPr>
        <w:autoSpaceDE/>
        <w:autoSpaceDN/>
        <w:adjustRightInd/>
        <w:spacing w:line="360" w:lineRule="auto"/>
        <w:ind w:firstLine="422" w:firstLineChars="200"/>
        <w:jc w:val="both"/>
        <w:rPr>
          <w:rFonts w:hint="eastAsia" w:ascii="宋体" w:hAnsi="宋体" w:eastAsia="宋体" w:cs="宋体"/>
          <w:b/>
          <w:bCs/>
          <w:sz w:val="21"/>
          <w:szCs w:val="21"/>
        </w:rPr>
      </w:pPr>
      <w:r>
        <w:rPr>
          <w:rFonts w:hint="eastAsia" w:ascii="宋体" w:hAnsi="宋体" w:eastAsia="宋体" w:cs="宋体"/>
          <w:b/>
          <w:bCs/>
          <w:sz w:val="21"/>
          <w:szCs w:val="21"/>
        </w:rPr>
        <w:t>三、服务期</w:t>
      </w:r>
    </w:p>
    <w:p>
      <w:pPr>
        <w:autoSpaceDE/>
        <w:autoSpaceDN/>
        <w:adjustRightInd/>
        <w:spacing w:line="360" w:lineRule="auto"/>
        <w:ind w:firstLine="420" w:firstLineChars="200"/>
        <w:rPr>
          <w:rFonts w:hint="eastAsia" w:ascii="宋体" w:hAnsi="宋体" w:eastAsia="宋体" w:cs="宋体"/>
        </w:rPr>
      </w:pPr>
      <w:r>
        <w:rPr>
          <w:rFonts w:hint="eastAsia" w:ascii="宋体" w:hAnsi="宋体" w:eastAsia="宋体" w:cs="宋体"/>
          <w:sz w:val="21"/>
          <w:szCs w:val="21"/>
        </w:rPr>
        <w:t>本项目服务期自签订服务合同之日起至本项目工作全部完成止。</w:t>
      </w:r>
    </w:p>
    <w:p>
      <w:pPr>
        <w:autoSpaceDE/>
        <w:autoSpaceDN/>
        <w:adjustRightInd/>
        <w:spacing w:line="360" w:lineRule="auto"/>
        <w:ind w:firstLine="422" w:firstLineChars="200"/>
        <w:jc w:val="both"/>
        <w:rPr>
          <w:rFonts w:hint="eastAsia" w:ascii="宋体" w:hAnsi="宋体" w:eastAsia="宋体" w:cs="宋体"/>
          <w:b/>
          <w:bCs/>
          <w:sz w:val="21"/>
          <w:szCs w:val="21"/>
        </w:rPr>
      </w:pPr>
    </w:p>
    <w:p>
      <w:pPr>
        <w:autoSpaceDE/>
        <w:autoSpaceDN/>
        <w:adjustRightInd/>
        <w:spacing w:line="360" w:lineRule="auto"/>
        <w:ind w:firstLine="422" w:firstLineChars="200"/>
        <w:jc w:val="both"/>
        <w:rPr>
          <w:rFonts w:hint="eastAsia" w:ascii="宋体" w:hAnsi="宋体" w:eastAsia="宋体" w:cs="宋体"/>
          <w:b/>
          <w:bCs/>
          <w:sz w:val="21"/>
          <w:szCs w:val="21"/>
        </w:rPr>
      </w:pPr>
      <w:r>
        <w:rPr>
          <w:rFonts w:hint="eastAsia" w:ascii="宋体" w:hAnsi="宋体" w:eastAsia="宋体" w:cs="宋体"/>
          <w:b/>
          <w:bCs/>
          <w:sz w:val="21"/>
          <w:szCs w:val="21"/>
        </w:rPr>
        <w:t>四、费用组成及支付</w:t>
      </w:r>
    </w:p>
    <w:p>
      <w:pPr>
        <w:autoSpaceDE/>
        <w:autoSpaceDN/>
        <w:adjustRightInd/>
        <w:spacing w:line="360" w:lineRule="auto"/>
        <w:ind w:firstLine="422" w:firstLineChars="200"/>
        <w:rPr>
          <w:rFonts w:hint="eastAsia" w:ascii="宋体" w:hAnsi="宋体" w:eastAsia="宋体" w:cs="宋体"/>
          <w:sz w:val="21"/>
          <w:szCs w:val="21"/>
        </w:rPr>
      </w:pPr>
      <w:r>
        <w:rPr>
          <w:rFonts w:hint="eastAsia" w:ascii="宋体" w:hAnsi="宋体" w:eastAsia="宋体" w:cs="宋体"/>
          <w:b/>
          <w:bCs/>
          <w:sz w:val="21"/>
          <w:szCs w:val="21"/>
        </w:rPr>
        <w:t>★1.承销费用。本项目采用承销费率的方式进行报价，即以承销费占募集款项的比例的形式报价。本次费用已含中标人履行本招标内容全部义务的一切费用，包括但不限于发行费、文本制作费、信息披露费、修改费、咨询费、审查费、报批费用、现场服务费、差旅费、通讯费、现场办公费、税金及利润、路演推介费等投标人全面妥善履行发行工作内容的全部费用，除律师费、评级费、会计师费、登记托管兑付费以及双方另有约定的应由招标人支付的项目外，招标人不再支付其他任何费用。</w:t>
      </w:r>
    </w:p>
    <w:p>
      <w:pPr>
        <w:autoSpaceDE/>
        <w:autoSpaceDN/>
        <w:adjustRightInd/>
        <w:spacing w:line="360" w:lineRule="auto"/>
        <w:ind w:firstLine="422" w:firstLineChars="200"/>
        <w:rPr>
          <w:rFonts w:hint="eastAsia" w:ascii="宋体" w:hAnsi="宋体" w:eastAsia="宋体" w:cs="宋体"/>
          <w:b/>
          <w:bCs/>
          <w:sz w:val="21"/>
          <w:szCs w:val="21"/>
        </w:rPr>
      </w:pPr>
      <w:r>
        <w:rPr>
          <w:rFonts w:hint="eastAsia" w:ascii="宋体" w:hAnsi="宋体" w:eastAsia="宋体" w:cs="宋体"/>
          <w:b/>
          <w:bCs/>
          <w:sz w:val="21"/>
          <w:szCs w:val="21"/>
        </w:rPr>
        <w:t>★</w:t>
      </w:r>
      <w:r>
        <w:rPr>
          <w:rFonts w:hint="eastAsia" w:ascii="宋体" w:hAnsi="宋体" w:eastAsia="宋体" w:cs="宋体"/>
          <w:b/>
          <w:bCs/>
          <w:sz w:val="21"/>
          <w:szCs w:val="21"/>
          <w:lang w:val="en-US" w:eastAsia="zh-CN"/>
        </w:rPr>
        <w:t>在本项目服务过程中，招标人</w:t>
      </w:r>
      <w:r>
        <w:rPr>
          <w:rFonts w:hint="eastAsia" w:ascii="宋体" w:hAnsi="宋体" w:eastAsia="宋体" w:cs="宋体"/>
          <w:b/>
          <w:bCs/>
          <w:color w:val="auto"/>
          <w:sz w:val="21"/>
          <w:szCs w:val="21"/>
          <w:highlight w:val="none"/>
          <w:lang w:val="en-US" w:eastAsia="zh-CN"/>
        </w:rPr>
        <w:t>将向受托管理人（即牵头主承销商）支付受托管理费，受托管理费的含税最高限价为150,000.00元（大写：人民币壹拾伍万元整），投标人须单独填报受托管理费投标报价，且投标报价不得超过含税最高限价。该费用为固定总价包干（包含牵头主承销商在存续期内所有受托管理服务的成本、税费，不包含承销费、登记托管费等发行阶段费用），除发生</w:t>
      </w:r>
      <w:r>
        <w:rPr>
          <w:rFonts w:hint="eastAsia" w:ascii="宋体" w:hAnsi="宋体" w:eastAsia="宋体" w:cs="宋体"/>
          <w:b/>
          <w:bCs/>
          <w:sz w:val="21"/>
          <w:szCs w:val="21"/>
          <w:lang w:val="en-US" w:eastAsia="zh-CN"/>
        </w:rPr>
        <w:t>合同约定的变更情形外，结算时不予调整</w:t>
      </w:r>
      <w:r>
        <w:rPr>
          <w:rFonts w:hint="eastAsia" w:ascii="宋体" w:hAnsi="宋体" w:eastAsia="宋体" w:cs="宋体"/>
          <w:b/>
          <w:bCs/>
          <w:sz w:val="21"/>
          <w:szCs w:val="21"/>
        </w:rPr>
        <w:t>。</w:t>
      </w:r>
    </w:p>
    <w:p>
      <w:pPr>
        <w:autoSpaceDE/>
        <w:autoSpaceDN/>
        <w:adjustRightInd/>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2.费用支付。招标人按年向承销商支付承销费用，首年承销费由簿记管理人在缴款日从募集资金中扣收，后续每年承销费由招标人在当期公司债缴款日在每年的对应日（到期还本付息日除外）且收到请款申请及等额、合法、抬头为招标人的增值税专用发票后十个工作日内支付。如招标人在本次公司债获得注册后的有效期内没有发行，招标人无需向承销商支付承销费用。</w:t>
      </w:r>
    </w:p>
    <w:p>
      <w:pPr>
        <w:widowControl/>
        <w:autoSpaceDE/>
        <w:autoSpaceDN/>
        <w:adjustRightInd/>
        <w:spacing w:line="360" w:lineRule="auto"/>
        <w:ind w:firstLine="422" w:firstLineChars="200"/>
        <w:rPr>
          <w:rFonts w:hint="eastAsia" w:ascii="宋体" w:hAnsi="宋体" w:eastAsia="宋体" w:cs="宋体"/>
          <w:b/>
          <w:bCs/>
          <w:sz w:val="21"/>
          <w:szCs w:val="21"/>
        </w:rPr>
      </w:pPr>
    </w:p>
    <w:p>
      <w:pPr>
        <w:widowControl/>
        <w:autoSpaceDE/>
        <w:autoSpaceDN/>
        <w:adjustRightInd/>
        <w:spacing w:line="360" w:lineRule="auto"/>
        <w:ind w:firstLine="422" w:firstLineChars="200"/>
        <w:rPr>
          <w:rFonts w:hint="eastAsia" w:ascii="宋体" w:hAnsi="宋体" w:eastAsia="宋体" w:cs="宋体"/>
          <w:b/>
          <w:bCs/>
          <w:sz w:val="21"/>
          <w:szCs w:val="21"/>
        </w:rPr>
      </w:pPr>
      <w:r>
        <w:rPr>
          <w:rFonts w:hint="eastAsia" w:ascii="宋体" w:hAnsi="宋体" w:eastAsia="宋体" w:cs="宋体"/>
          <w:b/>
          <w:bCs/>
          <w:sz w:val="21"/>
          <w:szCs w:val="21"/>
        </w:rPr>
        <w:t>五、争端的解决</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宋体" w:hAnsi="宋体" w:eastAsia="宋体" w:cs="Times New Roman"/>
          <w:b/>
          <w:szCs w:val="21"/>
          <w:highlight w:val="none"/>
        </w:rPr>
      </w:pPr>
      <w:r>
        <w:rPr>
          <w:rFonts w:hint="eastAsia" w:ascii="宋体" w:hAnsi="宋体" w:eastAsia="宋体" w:cs="宋体"/>
          <w:sz w:val="21"/>
          <w:szCs w:val="21"/>
        </w:rPr>
        <w:t>合同执行过程中发生的任何争议，如双方不能通过友好协商解决，任何一方可向招标人所在地有管辖权的人民法院提起诉讼。</w:t>
      </w:r>
    </w:p>
    <w:p>
      <w:pPr>
        <w:rPr>
          <w:rFonts w:hint="eastAsia"/>
          <w:lang w:val="zh-CN" w:eastAsia="zh-CN"/>
        </w:rPr>
      </w:pPr>
      <w:bookmarkStart w:id="24" w:name="_GoBack"/>
      <w:bookmarkEnd w:id="24"/>
    </w:p>
    <w:sectPr>
      <w:headerReference r:id="rId6" w:type="first"/>
      <w:footerReference r:id="rId8" w:type="first"/>
      <w:headerReference r:id="rId5" w:type="default"/>
      <w:footerReference r:id="rId7" w:type="default"/>
      <w:pgSz w:w="12240" w:h="15840"/>
      <w:pgMar w:top="1440" w:right="1080" w:bottom="1440" w:left="1080" w:header="850" w:footer="992" w:gutter="0"/>
      <w:cols w:space="0" w:num="1"/>
      <w:titlePg/>
      <w:docGrid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pPr>
                          <w:r>
                            <w:t xml:space="preserve">第 </w:t>
                          </w:r>
                          <w:r>
                            <w:fldChar w:fldCharType="begin"/>
                          </w:r>
                          <w:r>
                            <w:instrText xml:space="preserve"> PAGE  \* MERGEFORMAT </w:instrText>
                          </w:r>
                          <w:r>
                            <w:fldChar w:fldCharType="separate"/>
                          </w:r>
                          <w:r>
                            <w:t>28</w:t>
                          </w:r>
                          <w:r>
                            <w:fldChar w:fldCharType="end"/>
                          </w:r>
                          <w:r>
                            <w:t xml:space="preserve"> 页 共 </w:t>
                          </w:r>
                          <w:r>
                            <w:fldChar w:fldCharType="begin"/>
                          </w:r>
                          <w:r>
                            <w:instrText xml:space="preserve"> NUMPAGES  \* MERGEFORMAT </w:instrText>
                          </w:r>
                          <w:r>
                            <w:fldChar w:fldCharType="separate"/>
                          </w:r>
                          <w:r>
                            <w:t>167</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vt69YsAgAAVw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IbSjRTqPjpx/fT&#10;z4fTr28EZxCotX6GuHuLyNC9Mx2Ch3OPw8i7q5yKXzAi8EPe40Ve0QXC46XpZDrN4eLwDRvgZ4/X&#10;rfPhvTCKRKOgDvVLsrLDxoc+dAiJ2bRZN1KmGkpN2oJevX6b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K+3r1iwCAABXBAAADgAAAAAAAAABACAAAAAfAQAAZHJzL2Uyb0RvYy54bWxQSwUGAAAAAAYA&#10;BgBZAQAAvQUAAAAA&#10;">
              <v:fill on="f" focussize="0,0"/>
              <v:stroke on="f" weight="0.5pt"/>
              <v:imagedata o:title=""/>
              <o:lock v:ext="edit" aspectratio="f"/>
              <v:textbox inset="0mm,0mm,0mm,0mm" style="mso-fit-shape-to-text:t;">
                <w:txbxContent>
                  <w:p>
                    <w:pPr>
                      <w:pStyle w:val="13"/>
                    </w:pPr>
                    <w:r>
                      <w:t xml:space="preserve">第 </w:t>
                    </w:r>
                    <w:r>
                      <w:fldChar w:fldCharType="begin"/>
                    </w:r>
                    <w:r>
                      <w:instrText xml:space="preserve"> PAGE  \* MERGEFORMAT </w:instrText>
                    </w:r>
                    <w:r>
                      <w:fldChar w:fldCharType="separate"/>
                    </w:r>
                    <w:r>
                      <w:t>28</w:t>
                    </w:r>
                    <w:r>
                      <w:fldChar w:fldCharType="end"/>
                    </w:r>
                    <w:r>
                      <w:t xml:space="preserve"> 页 共 </w:t>
                    </w:r>
                    <w:r>
                      <w:fldChar w:fldCharType="begin"/>
                    </w:r>
                    <w:r>
                      <w:instrText xml:space="preserve"> NUMPAGES  \* MERGEFORMAT </w:instrText>
                    </w:r>
                    <w:r>
                      <w:fldChar w:fldCharType="separate"/>
                    </w:r>
                    <w:r>
                      <w:t>167</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pPr>
                          <w:r>
                            <w:t xml:space="preserve">第 </w:t>
                          </w:r>
                          <w:r>
                            <w:fldChar w:fldCharType="begin"/>
                          </w:r>
                          <w:r>
                            <w:instrText xml:space="preserve"> PAGE  \* MERGEFORMAT </w:instrText>
                          </w:r>
                          <w:r>
                            <w:fldChar w:fldCharType="separate"/>
                          </w:r>
                          <w:r>
                            <w:t>74</w:t>
                          </w:r>
                          <w:r>
                            <w:fldChar w:fldCharType="end"/>
                          </w:r>
                          <w:r>
                            <w:t xml:space="preserve"> 页 共 </w:t>
                          </w:r>
                          <w:r>
                            <w:fldChar w:fldCharType="begin"/>
                          </w:r>
                          <w:r>
                            <w:instrText xml:space="preserve"> NUMPAGES  \* MERGEFORMAT </w:instrText>
                          </w:r>
                          <w:r>
                            <w:fldChar w:fldCharType="separate"/>
                          </w:r>
                          <w:r>
                            <w:t>167</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ILIswsAgAAVw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1dvx+nCxQNwqZEjkugeG63Q7tqe2c4U&#10;JxBzpusNb/mmRvIt8+GeOTQDHoxxCXdYSmmQxPQWJZVxX/91HuNRI3gpadBcOdWYJUrkB43aATAM&#10;hhuM3WDog7o16NYJxtDyZOKCC3IwS2fUF8zQKuaAi2mOTDkNg3kbugbHDHKxWqUgdJtlYasfLI/Q&#10;UTxvV4cAAZOuUZROiV4r9FuqTD8bsaH/3Keop//B8h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MgsizCwCAABXBAAADgAAAAAAAAABACAAAAAfAQAAZHJzL2Uyb0RvYy54bWxQSwUGAAAAAAYA&#10;BgBZAQAAvQUAAAAA&#10;">
              <v:fill on="f" focussize="0,0"/>
              <v:stroke on="f" weight="0.5pt"/>
              <v:imagedata o:title=""/>
              <o:lock v:ext="edit" aspectratio="f"/>
              <v:textbox inset="0mm,0mm,0mm,0mm" style="mso-fit-shape-to-text:t;">
                <w:txbxContent>
                  <w:p>
                    <w:pPr>
                      <w:pStyle w:val="13"/>
                    </w:pPr>
                    <w:r>
                      <w:t xml:space="preserve">第 </w:t>
                    </w:r>
                    <w:r>
                      <w:fldChar w:fldCharType="begin"/>
                    </w:r>
                    <w:r>
                      <w:instrText xml:space="preserve"> PAGE  \* MERGEFORMAT </w:instrText>
                    </w:r>
                    <w:r>
                      <w:fldChar w:fldCharType="separate"/>
                    </w:r>
                    <w:r>
                      <w:t>74</w:t>
                    </w:r>
                    <w:r>
                      <w:fldChar w:fldCharType="end"/>
                    </w:r>
                    <w:r>
                      <w:t xml:space="preserve"> 页 共 </w:t>
                    </w:r>
                    <w:r>
                      <w:fldChar w:fldCharType="begin"/>
                    </w:r>
                    <w:r>
                      <w:instrText xml:space="preserve"> NUMPAGES  \* MERGEFORMAT </w:instrText>
                    </w:r>
                    <w:r>
                      <w:fldChar w:fldCharType="separate"/>
                    </w:r>
                    <w:r>
                      <w:t>167</w:t>
                    </w:r>
                    <w:r>
                      <w:fldChar w:fldCharType="end"/>
                    </w:r>
                    <w: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none" w:color="auto" w:sz="0" w:space="1"/>
      </w:pBdr>
      <w:tabs>
        <w:tab w:val="center" w:pos="4153"/>
        <w:tab w:val="right" w:pos="8306"/>
      </w:tabs>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29A8A8B"/>
    <w:multiLevelType w:val="singleLevel"/>
    <w:tmpl w:val="A29A8A8B"/>
    <w:lvl w:ilvl="0" w:tentative="0">
      <w:start w:val="1"/>
      <w:numFmt w:val="decimal"/>
      <w:lvlText w:val="%1."/>
      <w:lvlJc w:val="left"/>
      <w:pPr>
        <w:ind w:left="425" w:hanging="425"/>
      </w:pPr>
      <w:rPr>
        <w:rFonts w:hint="default"/>
      </w:rPr>
    </w:lvl>
  </w:abstractNum>
  <w:abstractNum w:abstractNumId="1">
    <w:nsid w:val="09E1DC80"/>
    <w:multiLevelType w:val="singleLevel"/>
    <w:tmpl w:val="09E1DC80"/>
    <w:lvl w:ilvl="0" w:tentative="0">
      <w:start w:val="1"/>
      <w:numFmt w:val="bullet"/>
      <w:lvlText w:val=""/>
      <w:lvlJc w:val="left"/>
      <w:pPr>
        <w:ind w:left="420" w:hanging="420"/>
      </w:pPr>
      <w:rPr>
        <w:rFonts w:hint="default" w:ascii="Wingdings" w:hAnsi="Wingdings"/>
      </w:rPr>
    </w:lvl>
  </w:abstractNum>
  <w:abstractNum w:abstractNumId="2">
    <w:nsid w:val="59C43905"/>
    <w:multiLevelType w:val="singleLevel"/>
    <w:tmpl w:val="59C43905"/>
    <w:lvl w:ilvl="0" w:tentative="0">
      <w:start w:val="1"/>
      <w:numFmt w:val="bullet"/>
      <w:lvlText w:val=""/>
      <w:lvlJc w:val="left"/>
      <w:pPr>
        <w:ind w:left="420" w:hanging="420"/>
      </w:pPr>
      <w:rPr>
        <w:rFonts w:hint="default" w:ascii="Wingdings" w:hAnsi="Wingdings"/>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hideSpellingErrors/>
  <w:trackRevisions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ljNTJhZTMyNzAwNmJhOTY2NGQ4MDViMzg5NGNmMDQifQ=="/>
    <w:docVar w:name="KSO_WPS_MARK_KEY" w:val="6ec1f98f-f3d0-41d0-8d66-851a4cbf3627"/>
  </w:docVars>
  <w:rsids>
    <w:rsidRoot w:val="00130ABA"/>
    <w:rsid w:val="00051A27"/>
    <w:rsid w:val="0008458E"/>
    <w:rsid w:val="000A67EC"/>
    <w:rsid w:val="000B5A71"/>
    <w:rsid w:val="000B5D30"/>
    <w:rsid w:val="00130ABA"/>
    <w:rsid w:val="0014671A"/>
    <w:rsid w:val="00161551"/>
    <w:rsid w:val="001B1300"/>
    <w:rsid w:val="001E2757"/>
    <w:rsid w:val="0020072E"/>
    <w:rsid w:val="00234B9C"/>
    <w:rsid w:val="00292558"/>
    <w:rsid w:val="00297339"/>
    <w:rsid w:val="002A0DEA"/>
    <w:rsid w:val="002B10D6"/>
    <w:rsid w:val="002E43F3"/>
    <w:rsid w:val="003549FA"/>
    <w:rsid w:val="0035758D"/>
    <w:rsid w:val="003624E3"/>
    <w:rsid w:val="00372550"/>
    <w:rsid w:val="003747A8"/>
    <w:rsid w:val="003F3D8A"/>
    <w:rsid w:val="004161B0"/>
    <w:rsid w:val="00436F87"/>
    <w:rsid w:val="00465C08"/>
    <w:rsid w:val="004716B8"/>
    <w:rsid w:val="00566858"/>
    <w:rsid w:val="005B3211"/>
    <w:rsid w:val="00621E70"/>
    <w:rsid w:val="00650457"/>
    <w:rsid w:val="00652EC6"/>
    <w:rsid w:val="00655814"/>
    <w:rsid w:val="00715112"/>
    <w:rsid w:val="007C6C39"/>
    <w:rsid w:val="00830902"/>
    <w:rsid w:val="008439DC"/>
    <w:rsid w:val="00893FD1"/>
    <w:rsid w:val="008D0151"/>
    <w:rsid w:val="008F51FA"/>
    <w:rsid w:val="00915603"/>
    <w:rsid w:val="00A04446"/>
    <w:rsid w:val="00A43896"/>
    <w:rsid w:val="00A830DF"/>
    <w:rsid w:val="00AD3EBB"/>
    <w:rsid w:val="00B12C67"/>
    <w:rsid w:val="00B337AB"/>
    <w:rsid w:val="00B709BD"/>
    <w:rsid w:val="00BA0381"/>
    <w:rsid w:val="00BA4E7F"/>
    <w:rsid w:val="00BB1DE1"/>
    <w:rsid w:val="00C04439"/>
    <w:rsid w:val="00C15258"/>
    <w:rsid w:val="00CA30B0"/>
    <w:rsid w:val="00CB09A9"/>
    <w:rsid w:val="00CB3F6E"/>
    <w:rsid w:val="00D276B6"/>
    <w:rsid w:val="00D525C5"/>
    <w:rsid w:val="00D610FC"/>
    <w:rsid w:val="00D65D05"/>
    <w:rsid w:val="00D814E3"/>
    <w:rsid w:val="00DB42AA"/>
    <w:rsid w:val="00DD6BF8"/>
    <w:rsid w:val="00E34985"/>
    <w:rsid w:val="00E45C96"/>
    <w:rsid w:val="00EE621C"/>
    <w:rsid w:val="00EF6F77"/>
    <w:rsid w:val="00F41EFC"/>
    <w:rsid w:val="00FF3D92"/>
    <w:rsid w:val="013E3EBF"/>
    <w:rsid w:val="015B75DE"/>
    <w:rsid w:val="01A52CC1"/>
    <w:rsid w:val="01AD2CFE"/>
    <w:rsid w:val="02334B34"/>
    <w:rsid w:val="028700C3"/>
    <w:rsid w:val="02874EB6"/>
    <w:rsid w:val="02A6194E"/>
    <w:rsid w:val="02E82049"/>
    <w:rsid w:val="03576152"/>
    <w:rsid w:val="03C72C05"/>
    <w:rsid w:val="03CB3B6A"/>
    <w:rsid w:val="03D666F8"/>
    <w:rsid w:val="03EF1A15"/>
    <w:rsid w:val="03F82FC0"/>
    <w:rsid w:val="04BF7BFE"/>
    <w:rsid w:val="053B0381"/>
    <w:rsid w:val="05580779"/>
    <w:rsid w:val="05837F1D"/>
    <w:rsid w:val="05884D86"/>
    <w:rsid w:val="0596213E"/>
    <w:rsid w:val="05A31AC1"/>
    <w:rsid w:val="05FC32CE"/>
    <w:rsid w:val="06880188"/>
    <w:rsid w:val="0775005F"/>
    <w:rsid w:val="07C84A57"/>
    <w:rsid w:val="07EB249B"/>
    <w:rsid w:val="08B50B49"/>
    <w:rsid w:val="08F81717"/>
    <w:rsid w:val="09337CF0"/>
    <w:rsid w:val="09611A4A"/>
    <w:rsid w:val="09B13A0A"/>
    <w:rsid w:val="09D917DB"/>
    <w:rsid w:val="0A220A67"/>
    <w:rsid w:val="0A40746F"/>
    <w:rsid w:val="0AD142A1"/>
    <w:rsid w:val="0B1C3A38"/>
    <w:rsid w:val="0B8D66E4"/>
    <w:rsid w:val="0C0D0A46"/>
    <w:rsid w:val="0C0D0CD2"/>
    <w:rsid w:val="0CF71CCD"/>
    <w:rsid w:val="0D2E7A52"/>
    <w:rsid w:val="0D8077B6"/>
    <w:rsid w:val="0D991370"/>
    <w:rsid w:val="0D9F5420"/>
    <w:rsid w:val="0DC20D02"/>
    <w:rsid w:val="0E08298E"/>
    <w:rsid w:val="0E082CB6"/>
    <w:rsid w:val="0E140CE4"/>
    <w:rsid w:val="0E4E1FFD"/>
    <w:rsid w:val="0E55673B"/>
    <w:rsid w:val="0EA36653"/>
    <w:rsid w:val="0EC20452"/>
    <w:rsid w:val="0ED47966"/>
    <w:rsid w:val="0F005A9F"/>
    <w:rsid w:val="0F035DA3"/>
    <w:rsid w:val="0F7D2A54"/>
    <w:rsid w:val="0F8055FE"/>
    <w:rsid w:val="0F8353D3"/>
    <w:rsid w:val="0FE968C3"/>
    <w:rsid w:val="100C3027"/>
    <w:rsid w:val="101767CC"/>
    <w:rsid w:val="106240D1"/>
    <w:rsid w:val="112112E0"/>
    <w:rsid w:val="112268FE"/>
    <w:rsid w:val="11496C09"/>
    <w:rsid w:val="11800B85"/>
    <w:rsid w:val="11EB4164"/>
    <w:rsid w:val="120D5D82"/>
    <w:rsid w:val="12415B32"/>
    <w:rsid w:val="12483481"/>
    <w:rsid w:val="126006AE"/>
    <w:rsid w:val="12E8799F"/>
    <w:rsid w:val="133631BD"/>
    <w:rsid w:val="136B0817"/>
    <w:rsid w:val="139B74C4"/>
    <w:rsid w:val="13BC2C0C"/>
    <w:rsid w:val="13EE3A98"/>
    <w:rsid w:val="1420308A"/>
    <w:rsid w:val="14AF4812"/>
    <w:rsid w:val="14F82910"/>
    <w:rsid w:val="1511631C"/>
    <w:rsid w:val="15155054"/>
    <w:rsid w:val="154D47EE"/>
    <w:rsid w:val="15695CAA"/>
    <w:rsid w:val="158F3130"/>
    <w:rsid w:val="16022748"/>
    <w:rsid w:val="16302145"/>
    <w:rsid w:val="165006DF"/>
    <w:rsid w:val="165B222C"/>
    <w:rsid w:val="16E16618"/>
    <w:rsid w:val="173936C4"/>
    <w:rsid w:val="177E515D"/>
    <w:rsid w:val="17D31922"/>
    <w:rsid w:val="18300B23"/>
    <w:rsid w:val="18365F2B"/>
    <w:rsid w:val="183B17B4"/>
    <w:rsid w:val="18506ACF"/>
    <w:rsid w:val="18626802"/>
    <w:rsid w:val="1897193F"/>
    <w:rsid w:val="189F012D"/>
    <w:rsid w:val="18B90246"/>
    <w:rsid w:val="18E910F1"/>
    <w:rsid w:val="19020270"/>
    <w:rsid w:val="19DF1C83"/>
    <w:rsid w:val="1A8F1FDF"/>
    <w:rsid w:val="1A91092D"/>
    <w:rsid w:val="1A9D4711"/>
    <w:rsid w:val="1AF44089"/>
    <w:rsid w:val="1B5C7FD2"/>
    <w:rsid w:val="1B965141"/>
    <w:rsid w:val="1BE0016A"/>
    <w:rsid w:val="1C913B5A"/>
    <w:rsid w:val="1C9B4E75"/>
    <w:rsid w:val="1D3F2601"/>
    <w:rsid w:val="1DD020E8"/>
    <w:rsid w:val="1E7238AA"/>
    <w:rsid w:val="1EA062D6"/>
    <w:rsid w:val="1F1B770B"/>
    <w:rsid w:val="1FA13B21"/>
    <w:rsid w:val="1FCD1704"/>
    <w:rsid w:val="201E2585"/>
    <w:rsid w:val="20971684"/>
    <w:rsid w:val="20E93F65"/>
    <w:rsid w:val="21287A47"/>
    <w:rsid w:val="214B7A58"/>
    <w:rsid w:val="215C170D"/>
    <w:rsid w:val="21747CD2"/>
    <w:rsid w:val="217A0F23"/>
    <w:rsid w:val="21D40771"/>
    <w:rsid w:val="21E9348A"/>
    <w:rsid w:val="22230121"/>
    <w:rsid w:val="2239569D"/>
    <w:rsid w:val="22662DD0"/>
    <w:rsid w:val="22BA5BB9"/>
    <w:rsid w:val="22BD7457"/>
    <w:rsid w:val="22D1766D"/>
    <w:rsid w:val="23220B0D"/>
    <w:rsid w:val="23281071"/>
    <w:rsid w:val="232C7C9D"/>
    <w:rsid w:val="235229D8"/>
    <w:rsid w:val="23DE44EE"/>
    <w:rsid w:val="23DF22F3"/>
    <w:rsid w:val="23ED2C95"/>
    <w:rsid w:val="24123A6E"/>
    <w:rsid w:val="242D7C36"/>
    <w:rsid w:val="24B2092B"/>
    <w:rsid w:val="253C7672"/>
    <w:rsid w:val="25B97521"/>
    <w:rsid w:val="25F463D3"/>
    <w:rsid w:val="26211FF3"/>
    <w:rsid w:val="26484C80"/>
    <w:rsid w:val="26674BEA"/>
    <w:rsid w:val="26782D8B"/>
    <w:rsid w:val="268268EB"/>
    <w:rsid w:val="269100D3"/>
    <w:rsid w:val="26D52B04"/>
    <w:rsid w:val="270C51C5"/>
    <w:rsid w:val="276E7A17"/>
    <w:rsid w:val="27744671"/>
    <w:rsid w:val="278A75DF"/>
    <w:rsid w:val="27C24197"/>
    <w:rsid w:val="27E232A4"/>
    <w:rsid w:val="28537EBF"/>
    <w:rsid w:val="289A7F4A"/>
    <w:rsid w:val="28B36086"/>
    <w:rsid w:val="28D42E04"/>
    <w:rsid w:val="29A5267F"/>
    <w:rsid w:val="2A411D9F"/>
    <w:rsid w:val="2AD27853"/>
    <w:rsid w:val="2AF95CF5"/>
    <w:rsid w:val="2B0439D3"/>
    <w:rsid w:val="2B147E30"/>
    <w:rsid w:val="2B401557"/>
    <w:rsid w:val="2B61460A"/>
    <w:rsid w:val="2BBD3B95"/>
    <w:rsid w:val="2BC74EA2"/>
    <w:rsid w:val="2BDB639C"/>
    <w:rsid w:val="2C011C03"/>
    <w:rsid w:val="2C68486B"/>
    <w:rsid w:val="2CD1099B"/>
    <w:rsid w:val="2CD755B9"/>
    <w:rsid w:val="2CE77BE1"/>
    <w:rsid w:val="2D107BD6"/>
    <w:rsid w:val="2D840FA5"/>
    <w:rsid w:val="2EBA0D8A"/>
    <w:rsid w:val="2EE24E4E"/>
    <w:rsid w:val="2F3967F7"/>
    <w:rsid w:val="2FC80E32"/>
    <w:rsid w:val="303C1F33"/>
    <w:rsid w:val="30694209"/>
    <w:rsid w:val="30696528"/>
    <w:rsid w:val="306C7DC6"/>
    <w:rsid w:val="30B13928"/>
    <w:rsid w:val="31BD0FE7"/>
    <w:rsid w:val="31E367AE"/>
    <w:rsid w:val="32FD3242"/>
    <w:rsid w:val="331179D4"/>
    <w:rsid w:val="33174961"/>
    <w:rsid w:val="33470C3B"/>
    <w:rsid w:val="337D0143"/>
    <w:rsid w:val="33AD555A"/>
    <w:rsid w:val="33E53138"/>
    <w:rsid w:val="342C1A8C"/>
    <w:rsid w:val="35303D7D"/>
    <w:rsid w:val="35614878"/>
    <w:rsid w:val="358418E4"/>
    <w:rsid w:val="358A766C"/>
    <w:rsid w:val="35FD01EF"/>
    <w:rsid w:val="36383CA0"/>
    <w:rsid w:val="36951585"/>
    <w:rsid w:val="37024EF4"/>
    <w:rsid w:val="37702DCA"/>
    <w:rsid w:val="38321D7F"/>
    <w:rsid w:val="385F7C43"/>
    <w:rsid w:val="389B25CD"/>
    <w:rsid w:val="38A32434"/>
    <w:rsid w:val="3928606C"/>
    <w:rsid w:val="3A0379ED"/>
    <w:rsid w:val="3A2D0A2B"/>
    <w:rsid w:val="3A4D6EBA"/>
    <w:rsid w:val="3AAC09B4"/>
    <w:rsid w:val="3ACB48D2"/>
    <w:rsid w:val="3B344720"/>
    <w:rsid w:val="3B820471"/>
    <w:rsid w:val="3BE253E0"/>
    <w:rsid w:val="3C280083"/>
    <w:rsid w:val="3C5C2972"/>
    <w:rsid w:val="3C661245"/>
    <w:rsid w:val="3C96031F"/>
    <w:rsid w:val="3C971EA0"/>
    <w:rsid w:val="3CB22461"/>
    <w:rsid w:val="3CB76CDD"/>
    <w:rsid w:val="3D853A17"/>
    <w:rsid w:val="3E066515"/>
    <w:rsid w:val="3EA21734"/>
    <w:rsid w:val="3EA572C5"/>
    <w:rsid w:val="3EBB7E34"/>
    <w:rsid w:val="3EE37DED"/>
    <w:rsid w:val="3F0479F2"/>
    <w:rsid w:val="3F197408"/>
    <w:rsid w:val="3F400570"/>
    <w:rsid w:val="402B25A9"/>
    <w:rsid w:val="40307062"/>
    <w:rsid w:val="404651C2"/>
    <w:rsid w:val="4093139F"/>
    <w:rsid w:val="409C456C"/>
    <w:rsid w:val="40ED716C"/>
    <w:rsid w:val="4155752F"/>
    <w:rsid w:val="417C2042"/>
    <w:rsid w:val="41BF1AB4"/>
    <w:rsid w:val="42254FE2"/>
    <w:rsid w:val="422E5823"/>
    <w:rsid w:val="424B207F"/>
    <w:rsid w:val="42894808"/>
    <w:rsid w:val="42A05B31"/>
    <w:rsid w:val="435450D8"/>
    <w:rsid w:val="43737A00"/>
    <w:rsid w:val="43C96F90"/>
    <w:rsid w:val="43D64FF6"/>
    <w:rsid w:val="44426C22"/>
    <w:rsid w:val="45722C35"/>
    <w:rsid w:val="45AF072F"/>
    <w:rsid w:val="45DE0715"/>
    <w:rsid w:val="462C1D34"/>
    <w:rsid w:val="46D64008"/>
    <w:rsid w:val="47793279"/>
    <w:rsid w:val="47A66D56"/>
    <w:rsid w:val="47EB5F1A"/>
    <w:rsid w:val="48463477"/>
    <w:rsid w:val="487C1EC4"/>
    <w:rsid w:val="48DC3376"/>
    <w:rsid w:val="48E019BA"/>
    <w:rsid w:val="490258FE"/>
    <w:rsid w:val="49261E81"/>
    <w:rsid w:val="49384FE0"/>
    <w:rsid w:val="495D3907"/>
    <w:rsid w:val="49B029DB"/>
    <w:rsid w:val="49DB35B4"/>
    <w:rsid w:val="4A460B73"/>
    <w:rsid w:val="4A675271"/>
    <w:rsid w:val="4AAE5753"/>
    <w:rsid w:val="4ABF49AF"/>
    <w:rsid w:val="4B1C149D"/>
    <w:rsid w:val="4B9F6E4A"/>
    <w:rsid w:val="4BE34E14"/>
    <w:rsid w:val="4C157818"/>
    <w:rsid w:val="4C251A45"/>
    <w:rsid w:val="4C4C5224"/>
    <w:rsid w:val="4C5D5627"/>
    <w:rsid w:val="4CC17D09"/>
    <w:rsid w:val="4CEA0599"/>
    <w:rsid w:val="4D2849D3"/>
    <w:rsid w:val="4DB1323F"/>
    <w:rsid w:val="4DB633E3"/>
    <w:rsid w:val="4E2E11A8"/>
    <w:rsid w:val="4E9640F3"/>
    <w:rsid w:val="4EA80EE9"/>
    <w:rsid w:val="4EAC185D"/>
    <w:rsid w:val="4EB404A6"/>
    <w:rsid w:val="4ECD3DA2"/>
    <w:rsid w:val="4F03389A"/>
    <w:rsid w:val="501E16DB"/>
    <w:rsid w:val="508166BD"/>
    <w:rsid w:val="50AF7B2F"/>
    <w:rsid w:val="50BF708E"/>
    <w:rsid w:val="50F121D0"/>
    <w:rsid w:val="50FD38FE"/>
    <w:rsid w:val="512D60C4"/>
    <w:rsid w:val="51EA3278"/>
    <w:rsid w:val="521E0702"/>
    <w:rsid w:val="526B3A44"/>
    <w:rsid w:val="528C072E"/>
    <w:rsid w:val="52B103B0"/>
    <w:rsid w:val="52F0394A"/>
    <w:rsid w:val="533833F2"/>
    <w:rsid w:val="533D2F4E"/>
    <w:rsid w:val="53766DD1"/>
    <w:rsid w:val="54857525"/>
    <w:rsid w:val="54A95905"/>
    <w:rsid w:val="55580A51"/>
    <w:rsid w:val="557A30A8"/>
    <w:rsid w:val="56574EF1"/>
    <w:rsid w:val="57193F55"/>
    <w:rsid w:val="5786241A"/>
    <w:rsid w:val="57F21B5A"/>
    <w:rsid w:val="5807444D"/>
    <w:rsid w:val="587442AD"/>
    <w:rsid w:val="58E0346C"/>
    <w:rsid w:val="59232E69"/>
    <w:rsid w:val="593756E0"/>
    <w:rsid w:val="59380051"/>
    <w:rsid w:val="596274D2"/>
    <w:rsid w:val="59670247"/>
    <w:rsid w:val="599F2853"/>
    <w:rsid w:val="59F475D1"/>
    <w:rsid w:val="5A2C48CC"/>
    <w:rsid w:val="5A4D52DA"/>
    <w:rsid w:val="5AAC7035"/>
    <w:rsid w:val="5AB93BC9"/>
    <w:rsid w:val="5B0D365F"/>
    <w:rsid w:val="5B127639"/>
    <w:rsid w:val="5B5639C9"/>
    <w:rsid w:val="5B5B0FE0"/>
    <w:rsid w:val="5B60340D"/>
    <w:rsid w:val="5CAD614F"/>
    <w:rsid w:val="5CB244F5"/>
    <w:rsid w:val="5CD94447"/>
    <w:rsid w:val="5CF51FF8"/>
    <w:rsid w:val="5D6A375C"/>
    <w:rsid w:val="5D9211FA"/>
    <w:rsid w:val="5DB0462E"/>
    <w:rsid w:val="5DFE4C7B"/>
    <w:rsid w:val="5E1C44E0"/>
    <w:rsid w:val="5E2F17F0"/>
    <w:rsid w:val="5E8F2D4E"/>
    <w:rsid w:val="5EDF7832"/>
    <w:rsid w:val="5F08322C"/>
    <w:rsid w:val="5F7A1C50"/>
    <w:rsid w:val="5F8D1710"/>
    <w:rsid w:val="5FB11818"/>
    <w:rsid w:val="5FDE07E7"/>
    <w:rsid w:val="60B70017"/>
    <w:rsid w:val="60E25CA8"/>
    <w:rsid w:val="6183303E"/>
    <w:rsid w:val="61940191"/>
    <w:rsid w:val="6203206D"/>
    <w:rsid w:val="620440FF"/>
    <w:rsid w:val="624C78D4"/>
    <w:rsid w:val="63324C0A"/>
    <w:rsid w:val="634B4B90"/>
    <w:rsid w:val="63825358"/>
    <w:rsid w:val="63870498"/>
    <w:rsid w:val="6397247E"/>
    <w:rsid w:val="639B1317"/>
    <w:rsid w:val="639B550B"/>
    <w:rsid w:val="640A6CEE"/>
    <w:rsid w:val="64A85D79"/>
    <w:rsid w:val="65581FBD"/>
    <w:rsid w:val="65916111"/>
    <w:rsid w:val="65921444"/>
    <w:rsid w:val="65A901B4"/>
    <w:rsid w:val="65C41412"/>
    <w:rsid w:val="65F242EE"/>
    <w:rsid w:val="6637231A"/>
    <w:rsid w:val="664A2B49"/>
    <w:rsid w:val="674A2385"/>
    <w:rsid w:val="67664529"/>
    <w:rsid w:val="678310A2"/>
    <w:rsid w:val="67EE70F0"/>
    <w:rsid w:val="69771A6E"/>
    <w:rsid w:val="69A066F7"/>
    <w:rsid w:val="69AD00DC"/>
    <w:rsid w:val="69AE24B5"/>
    <w:rsid w:val="69B05857"/>
    <w:rsid w:val="69B22DB2"/>
    <w:rsid w:val="69B8584F"/>
    <w:rsid w:val="69D23634"/>
    <w:rsid w:val="69D92FBF"/>
    <w:rsid w:val="69DD3EE4"/>
    <w:rsid w:val="6A060B03"/>
    <w:rsid w:val="6B1070BB"/>
    <w:rsid w:val="6B3479EF"/>
    <w:rsid w:val="6B3D71D1"/>
    <w:rsid w:val="6B513865"/>
    <w:rsid w:val="6B7F1541"/>
    <w:rsid w:val="6C4E249B"/>
    <w:rsid w:val="6CAE4CE7"/>
    <w:rsid w:val="6D35525A"/>
    <w:rsid w:val="6D3D11D7"/>
    <w:rsid w:val="6D7A1728"/>
    <w:rsid w:val="6D7E771B"/>
    <w:rsid w:val="6D8F44C4"/>
    <w:rsid w:val="6DB904CC"/>
    <w:rsid w:val="6E0C3960"/>
    <w:rsid w:val="6E0F17B6"/>
    <w:rsid w:val="6E593E30"/>
    <w:rsid w:val="6E8B1784"/>
    <w:rsid w:val="6EDC1099"/>
    <w:rsid w:val="6EFC5E95"/>
    <w:rsid w:val="6F5222A2"/>
    <w:rsid w:val="6F5D4433"/>
    <w:rsid w:val="6F614B28"/>
    <w:rsid w:val="6F704724"/>
    <w:rsid w:val="6F92269E"/>
    <w:rsid w:val="6F9B1F31"/>
    <w:rsid w:val="6F9D07A9"/>
    <w:rsid w:val="6FBD3AD2"/>
    <w:rsid w:val="6FCB2EA1"/>
    <w:rsid w:val="6FFA70E5"/>
    <w:rsid w:val="6FFD3FBC"/>
    <w:rsid w:val="702C4355"/>
    <w:rsid w:val="70317E10"/>
    <w:rsid w:val="7032070A"/>
    <w:rsid w:val="70C459C8"/>
    <w:rsid w:val="70CF3DA0"/>
    <w:rsid w:val="71683EB5"/>
    <w:rsid w:val="7190249A"/>
    <w:rsid w:val="71A56D17"/>
    <w:rsid w:val="71AD0966"/>
    <w:rsid w:val="725620A9"/>
    <w:rsid w:val="728E3B77"/>
    <w:rsid w:val="72A84683"/>
    <w:rsid w:val="73263829"/>
    <w:rsid w:val="73950A4E"/>
    <w:rsid w:val="74027C9B"/>
    <w:rsid w:val="74822A6C"/>
    <w:rsid w:val="74890514"/>
    <w:rsid w:val="74A40DE6"/>
    <w:rsid w:val="74D06143"/>
    <w:rsid w:val="752A44AF"/>
    <w:rsid w:val="7547391B"/>
    <w:rsid w:val="755A3E5F"/>
    <w:rsid w:val="75AB36C9"/>
    <w:rsid w:val="75CB690A"/>
    <w:rsid w:val="76991BA7"/>
    <w:rsid w:val="76E958E3"/>
    <w:rsid w:val="77176F12"/>
    <w:rsid w:val="776353A0"/>
    <w:rsid w:val="77DE2AA0"/>
    <w:rsid w:val="77ED75BA"/>
    <w:rsid w:val="78013412"/>
    <w:rsid w:val="78485B52"/>
    <w:rsid w:val="78AE5E2B"/>
    <w:rsid w:val="78B74FC1"/>
    <w:rsid w:val="7940345B"/>
    <w:rsid w:val="79BE416D"/>
    <w:rsid w:val="7AB83E43"/>
    <w:rsid w:val="7AC94B56"/>
    <w:rsid w:val="7B0D40DD"/>
    <w:rsid w:val="7B0F21BC"/>
    <w:rsid w:val="7B48542E"/>
    <w:rsid w:val="7B65435E"/>
    <w:rsid w:val="7B687984"/>
    <w:rsid w:val="7B8418CC"/>
    <w:rsid w:val="7C286864"/>
    <w:rsid w:val="7CBC0D5A"/>
    <w:rsid w:val="7CD02AEB"/>
    <w:rsid w:val="7CDE6F23"/>
    <w:rsid w:val="7CF21CDC"/>
    <w:rsid w:val="7D293545"/>
    <w:rsid w:val="7D8C21B9"/>
    <w:rsid w:val="7DCC76C3"/>
    <w:rsid w:val="7DCF3A7A"/>
    <w:rsid w:val="7DDD3F95"/>
    <w:rsid w:val="7DF12C86"/>
    <w:rsid w:val="7E0D5FD3"/>
    <w:rsid w:val="7E645E76"/>
    <w:rsid w:val="7E895925"/>
    <w:rsid w:val="7E9755DB"/>
    <w:rsid w:val="7EBA4781"/>
    <w:rsid w:val="7ED226E4"/>
    <w:rsid w:val="7EF06419"/>
    <w:rsid w:val="7F3948E4"/>
    <w:rsid w:val="7FF058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iPriority="99" w:name="footnote text"/>
    <w:lsdException w:qFormat="1" w:uiPriority="99" w:semiHidden="0" w:name="annotation text"/>
    <w:lsdException w:unhideWhenUsed="0" w:uiPriority="0" w:semiHidden="0" w:name="header"/>
    <w:lsdException w:qFormat="1" w:unhideWhenUsed="0" w:uiPriority="0" w:semiHidden="0"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nhideWhenUsed="0" w:uiPriority="0" w:semiHidden="0" w:name="toa heading"/>
    <w:lsdException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nhideWhenUsed="0" w:uiPriority="0" w:semiHidden="0" w:name="Body Text"/>
    <w:lsdException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nhideWhenUsed="0" w:uiPriority="0" w:semiHidden="0" w:name="Body Text First Indent"/>
    <w:lsdException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autoSpaceDE w:val="0"/>
      <w:autoSpaceDN w:val="0"/>
      <w:adjustRightInd w:val="0"/>
      <w:snapToGrid w:val="0"/>
      <w:spacing w:line="360" w:lineRule="auto"/>
      <w:jc w:val="both"/>
    </w:pPr>
    <w:rPr>
      <w:rFonts w:ascii="宋体" w:hAnsi="宋体" w:eastAsia="宋体" w:cstheme="minorBidi"/>
      <w:kern w:val="2"/>
      <w:sz w:val="21"/>
      <w:szCs w:val="22"/>
      <w:lang w:val="en-US" w:eastAsia="zh-CN" w:bidi="ar-SA"/>
    </w:rPr>
  </w:style>
  <w:style w:type="paragraph" w:styleId="3">
    <w:name w:val="heading 1"/>
    <w:basedOn w:val="4"/>
    <w:next w:val="1"/>
    <w:link w:val="29"/>
    <w:autoRedefine/>
    <w:qFormat/>
    <w:uiPriority w:val="1"/>
    <w:pPr>
      <w:jc w:val="center"/>
      <w:outlineLvl w:val="0"/>
    </w:pPr>
    <w:rPr>
      <w:sz w:val="32"/>
    </w:rPr>
  </w:style>
  <w:style w:type="paragraph" w:styleId="4">
    <w:name w:val="heading 2"/>
    <w:basedOn w:val="1"/>
    <w:next w:val="1"/>
    <w:link w:val="20"/>
    <w:autoRedefine/>
    <w:qFormat/>
    <w:uiPriority w:val="0"/>
    <w:pPr>
      <w:jc w:val="left"/>
      <w:outlineLvl w:val="1"/>
    </w:pPr>
    <w:rPr>
      <w:rFonts w:cs="Times New Roman"/>
      <w:b/>
      <w:kern w:val="0"/>
      <w:szCs w:val="24"/>
    </w:rPr>
  </w:style>
  <w:style w:type="paragraph" w:styleId="2">
    <w:name w:val="heading 3"/>
    <w:basedOn w:val="1"/>
    <w:next w:val="1"/>
    <w:link w:val="28"/>
    <w:autoRedefine/>
    <w:qFormat/>
    <w:uiPriority w:val="0"/>
    <w:pPr>
      <w:jc w:val="left"/>
      <w:outlineLvl w:val="2"/>
    </w:pPr>
    <w:rPr>
      <w:rFonts w:cs="Times New Roman"/>
      <w:kern w:val="0"/>
      <w:szCs w:val="24"/>
    </w:rPr>
  </w:style>
  <w:style w:type="paragraph" w:styleId="5">
    <w:name w:val="heading 4"/>
    <w:basedOn w:val="1"/>
    <w:next w:val="1"/>
    <w:link w:val="21"/>
    <w:autoRedefine/>
    <w:qFormat/>
    <w:uiPriority w:val="9"/>
    <w:pPr>
      <w:keepNext/>
      <w:keepLines/>
      <w:spacing w:before="280" w:after="290" w:line="376" w:lineRule="auto"/>
      <w:jc w:val="left"/>
      <w:outlineLvl w:val="3"/>
    </w:pPr>
    <w:rPr>
      <w:rFonts w:ascii="Arial" w:hAnsi="Arial" w:eastAsia="黑体" w:cs="Times New Roman"/>
      <w:b/>
      <w:bCs/>
      <w:kern w:val="0"/>
      <w:sz w:val="28"/>
      <w:szCs w:val="28"/>
    </w:rPr>
  </w:style>
  <w:style w:type="paragraph" w:styleId="6">
    <w:name w:val="heading 5"/>
    <w:basedOn w:val="1"/>
    <w:next w:val="1"/>
    <w:link w:val="26"/>
    <w:qFormat/>
    <w:uiPriority w:val="9"/>
    <w:pPr>
      <w:keepNext/>
      <w:keepLines/>
      <w:spacing w:before="280" w:after="290" w:line="376" w:lineRule="auto"/>
      <w:jc w:val="left"/>
      <w:outlineLvl w:val="4"/>
    </w:pPr>
    <w:rPr>
      <w:rFonts w:hAnsi="Calibri" w:cs="Times New Roman"/>
      <w:b/>
      <w:bCs/>
      <w:kern w:val="0"/>
      <w:sz w:val="28"/>
      <w:szCs w:val="28"/>
    </w:rPr>
  </w:style>
  <w:style w:type="paragraph" w:styleId="7">
    <w:name w:val="heading 6"/>
    <w:basedOn w:val="1"/>
    <w:link w:val="27"/>
    <w:autoRedefine/>
    <w:qFormat/>
    <w:uiPriority w:val="9"/>
    <w:pPr>
      <w:keepLines/>
      <w:tabs>
        <w:tab w:val="left" w:pos="1152"/>
      </w:tabs>
      <w:spacing w:beforeLines="50"/>
      <w:ind w:left="1152" w:hanging="1152"/>
      <w:jc w:val="left"/>
      <w:textAlignment w:val="baseline"/>
      <w:outlineLvl w:val="5"/>
    </w:pPr>
    <w:rPr>
      <w:rFonts w:ascii="Times New Roman" w:hAnsi="Calibri" w:eastAsia="黑体" w:cs="Times New Roman"/>
      <w:b/>
      <w:bCs/>
      <w:kern w:val="0"/>
      <w:sz w:val="28"/>
      <w:szCs w:val="24"/>
    </w:rPr>
  </w:style>
  <w:style w:type="paragraph" w:styleId="8">
    <w:name w:val="heading 7"/>
    <w:basedOn w:val="1"/>
    <w:link w:val="22"/>
    <w:autoRedefine/>
    <w:qFormat/>
    <w:uiPriority w:val="9"/>
    <w:pPr>
      <w:keepNext/>
      <w:keepLines/>
      <w:tabs>
        <w:tab w:val="left" w:pos="1296"/>
      </w:tabs>
      <w:spacing w:before="240" w:after="120"/>
      <w:ind w:left="1296" w:hanging="1296"/>
      <w:textAlignment w:val="baseline"/>
      <w:outlineLvl w:val="6"/>
    </w:pPr>
    <w:rPr>
      <w:rFonts w:ascii="Times New Roman" w:hAnsi="Calibri" w:eastAsia="黑体" w:cs="Times New Roman"/>
      <w:b/>
      <w:bCs/>
      <w:kern w:val="0"/>
      <w:sz w:val="28"/>
      <w:szCs w:val="24"/>
    </w:rPr>
  </w:style>
  <w:style w:type="paragraph" w:styleId="9">
    <w:name w:val="heading 8"/>
    <w:basedOn w:val="1"/>
    <w:link w:val="23"/>
    <w:autoRedefine/>
    <w:qFormat/>
    <w:uiPriority w:val="9"/>
    <w:pPr>
      <w:keepNext/>
      <w:keepLines/>
      <w:tabs>
        <w:tab w:val="left" w:pos="1440"/>
      </w:tabs>
      <w:spacing w:before="240" w:after="120"/>
      <w:ind w:left="1440" w:hanging="1440"/>
      <w:outlineLvl w:val="7"/>
    </w:pPr>
    <w:rPr>
      <w:rFonts w:ascii="Times New Roman" w:hAnsi="Calibri" w:eastAsia="黑体" w:cs="Times New Roman"/>
      <w:b/>
      <w:kern w:val="0"/>
      <w:sz w:val="28"/>
      <w:szCs w:val="24"/>
    </w:rPr>
  </w:style>
  <w:style w:type="paragraph" w:styleId="10">
    <w:name w:val="heading 9"/>
    <w:basedOn w:val="1"/>
    <w:link w:val="24"/>
    <w:autoRedefine/>
    <w:qFormat/>
    <w:uiPriority w:val="9"/>
    <w:pPr>
      <w:keepNext/>
      <w:keepLines/>
      <w:tabs>
        <w:tab w:val="left" w:pos="1584"/>
      </w:tabs>
      <w:spacing w:before="240" w:after="120"/>
      <w:ind w:left="1584" w:hanging="1584"/>
      <w:outlineLvl w:val="8"/>
    </w:pPr>
    <w:rPr>
      <w:rFonts w:ascii="Times New Roman" w:hAnsi="Calibri" w:eastAsia="黑体" w:cs="Times New Roman"/>
      <w:b/>
      <w:kern w:val="0"/>
      <w:sz w:val="28"/>
      <w:szCs w:val="24"/>
    </w:rPr>
  </w:style>
  <w:style w:type="character" w:default="1" w:styleId="19">
    <w:name w:val="Default Paragraph Font"/>
    <w:autoRedefine/>
    <w:semiHidden/>
    <w:unhideWhenUsed/>
    <w:qFormat/>
    <w:uiPriority w:val="1"/>
  </w:style>
  <w:style w:type="table" w:default="1" w:styleId="17">
    <w:name w:val="Normal Table"/>
    <w:autoRedefine/>
    <w:semiHidden/>
    <w:unhideWhenUsed/>
    <w:qFormat/>
    <w:uiPriority w:val="99"/>
    <w:tblPr>
      <w:tblCellMar>
        <w:top w:w="0" w:type="dxa"/>
        <w:left w:w="108" w:type="dxa"/>
        <w:bottom w:w="0" w:type="dxa"/>
        <w:right w:w="108" w:type="dxa"/>
      </w:tblCellMar>
    </w:tblPr>
  </w:style>
  <w:style w:type="paragraph" w:styleId="11">
    <w:name w:val="annotation text"/>
    <w:basedOn w:val="1"/>
    <w:unhideWhenUsed/>
    <w:qFormat/>
    <w:uiPriority w:val="99"/>
    <w:pPr>
      <w:jc w:val="left"/>
    </w:pPr>
  </w:style>
  <w:style w:type="paragraph" w:styleId="12">
    <w:name w:val="toc 3"/>
    <w:basedOn w:val="1"/>
    <w:next w:val="1"/>
    <w:autoRedefine/>
    <w:qFormat/>
    <w:uiPriority w:val="0"/>
    <w:pPr>
      <w:ind w:left="840" w:leftChars="400"/>
    </w:pPr>
  </w:style>
  <w:style w:type="paragraph" w:styleId="13">
    <w:name w:val="footer"/>
    <w:basedOn w:val="1"/>
    <w:autoRedefine/>
    <w:qFormat/>
    <w:uiPriority w:val="0"/>
    <w:pPr>
      <w:tabs>
        <w:tab w:val="center" w:pos="4153"/>
        <w:tab w:val="right" w:pos="8306"/>
      </w:tabs>
      <w:jc w:val="left"/>
    </w:pPr>
    <w:rPr>
      <w:sz w:val="18"/>
    </w:rPr>
  </w:style>
  <w:style w:type="paragraph" w:styleId="14">
    <w:name w:val="toc 1"/>
    <w:basedOn w:val="1"/>
    <w:next w:val="1"/>
    <w:autoRedefine/>
    <w:qFormat/>
    <w:uiPriority w:val="0"/>
    <w:rPr>
      <w:b/>
    </w:rPr>
  </w:style>
  <w:style w:type="paragraph" w:styleId="15">
    <w:name w:val="toc 2"/>
    <w:basedOn w:val="1"/>
    <w:next w:val="1"/>
    <w:autoRedefine/>
    <w:qFormat/>
    <w:uiPriority w:val="0"/>
    <w:pPr>
      <w:ind w:left="420" w:leftChars="200"/>
    </w:pPr>
  </w:style>
  <w:style w:type="paragraph" w:styleId="16">
    <w:name w:val="Title"/>
    <w:basedOn w:val="1"/>
    <w:next w:val="1"/>
    <w:link w:val="25"/>
    <w:autoRedefine/>
    <w:qFormat/>
    <w:uiPriority w:val="10"/>
    <w:pPr>
      <w:spacing w:before="120" w:after="60" w:line="300" w:lineRule="auto"/>
      <w:jc w:val="left"/>
      <w:outlineLvl w:val="0"/>
    </w:pPr>
    <w:rPr>
      <w:rFonts w:ascii="等线 Light" w:hAnsi="等线 Light" w:eastAsia="仿宋"/>
      <w:b/>
      <w:bCs/>
      <w:sz w:val="28"/>
      <w:szCs w:val="32"/>
    </w:rPr>
  </w:style>
  <w:style w:type="table" w:styleId="18">
    <w:name w:val="Table Grid"/>
    <w:basedOn w:val="17"/>
    <w:autoRedefine/>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0">
    <w:name w:val="标题 2 字符"/>
    <w:basedOn w:val="19"/>
    <w:link w:val="4"/>
    <w:autoRedefine/>
    <w:qFormat/>
    <w:uiPriority w:val="0"/>
    <w:rPr>
      <w:rFonts w:ascii="宋体" w:hAnsi="宋体" w:eastAsia="宋体" w:cs="Times New Roman"/>
      <w:b/>
      <w:kern w:val="0"/>
      <w:sz w:val="21"/>
      <w:szCs w:val="24"/>
    </w:rPr>
  </w:style>
  <w:style w:type="character" w:customStyle="1" w:styleId="21">
    <w:name w:val="标题 4 字符"/>
    <w:basedOn w:val="19"/>
    <w:link w:val="5"/>
    <w:autoRedefine/>
    <w:qFormat/>
    <w:uiPriority w:val="9"/>
    <w:rPr>
      <w:rFonts w:ascii="Arial" w:hAnsi="Arial" w:eastAsia="黑体" w:cs="Times New Roman"/>
      <w:b/>
      <w:bCs/>
      <w:kern w:val="0"/>
      <w:sz w:val="28"/>
      <w:szCs w:val="28"/>
    </w:rPr>
  </w:style>
  <w:style w:type="character" w:customStyle="1" w:styleId="22">
    <w:name w:val="标题 7 字符"/>
    <w:basedOn w:val="19"/>
    <w:link w:val="8"/>
    <w:autoRedefine/>
    <w:qFormat/>
    <w:uiPriority w:val="9"/>
    <w:rPr>
      <w:rFonts w:ascii="Times New Roman" w:hAnsi="Calibri" w:eastAsia="黑体" w:cs="Times New Roman"/>
      <w:b/>
      <w:bCs/>
      <w:kern w:val="0"/>
      <w:sz w:val="28"/>
      <w:szCs w:val="24"/>
    </w:rPr>
  </w:style>
  <w:style w:type="character" w:customStyle="1" w:styleId="23">
    <w:name w:val="标题 8 字符"/>
    <w:basedOn w:val="19"/>
    <w:link w:val="9"/>
    <w:autoRedefine/>
    <w:qFormat/>
    <w:uiPriority w:val="9"/>
    <w:rPr>
      <w:rFonts w:ascii="Times New Roman" w:hAnsi="Calibri" w:eastAsia="黑体" w:cs="Times New Roman"/>
      <w:b/>
      <w:kern w:val="0"/>
      <w:sz w:val="28"/>
      <w:szCs w:val="24"/>
    </w:rPr>
  </w:style>
  <w:style w:type="character" w:customStyle="1" w:styleId="24">
    <w:name w:val="标题 9 字符"/>
    <w:basedOn w:val="19"/>
    <w:link w:val="10"/>
    <w:autoRedefine/>
    <w:qFormat/>
    <w:uiPriority w:val="9"/>
    <w:rPr>
      <w:rFonts w:ascii="Times New Roman" w:hAnsi="Calibri" w:eastAsia="黑体" w:cs="Times New Roman"/>
      <w:b/>
      <w:kern w:val="0"/>
      <w:sz w:val="28"/>
      <w:szCs w:val="24"/>
    </w:rPr>
  </w:style>
  <w:style w:type="character" w:customStyle="1" w:styleId="25">
    <w:name w:val="标题 字符"/>
    <w:link w:val="16"/>
    <w:autoRedefine/>
    <w:qFormat/>
    <w:uiPriority w:val="10"/>
    <w:rPr>
      <w:rFonts w:ascii="等线 Light" w:hAnsi="等线 Light" w:eastAsia="仿宋"/>
      <w:b/>
      <w:bCs/>
      <w:sz w:val="28"/>
      <w:szCs w:val="32"/>
    </w:rPr>
  </w:style>
  <w:style w:type="character" w:customStyle="1" w:styleId="26">
    <w:name w:val="标题 5 字符"/>
    <w:link w:val="6"/>
    <w:autoRedefine/>
    <w:qFormat/>
    <w:uiPriority w:val="9"/>
    <w:rPr>
      <w:rFonts w:ascii="宋体" w:hAnsi="Calibri" w:eastAsia="宋体" w:cs="Times New Roman"/>
      <w:b/>
      <w:bCs/>
      <w:kern w:val="0"/>
      <w:sz w:val="28"/>
      <w:szCs w:val="28"/>
    </w:rPr>
  </w:style>
  <w:style w:type="character" w:customStyle="1" w:styleId="27">
    <w:name w:val="标题 6 字符"/>
    <w:link w:val="7"/>
    <w:autoRedefine/>
    <w:qFormat/>
    <w:uiPriority w:val="9"/>
    <w:rPr>
      <w:rFonts w:ascii="Times New Roman" w:hAnsi="Calibri" w:eastAsia="黑体" w:cs="Times New Roman"/>
      <w:b/>
      <w:bCs/>
      <w:kern w:val="0"/>
      <w:sz w:val="28"/>
      <w:szCs w:val="24"/>
    </w:rPr>
  </w:style>
  <w:style w:type="character" w:customStyle="1" w:styleId="28">
    <w:name w:val="标题 3 字符"/>
    <w:link w:val="2"/>
    <w:autoRedefine/>
    <w:qFormat/>
    <w:uiPriority w:val="0"/>
    <w:rPr>
      <w:rFonts w:ascii="宋体" w:hAnsi="宋体" w:eastAsia="宋体" w:cs="Times New Roman"/>
      <w:kern w:val="0"/>
      <w:sz w:val="21"/>
      <w:szCs w:val="24"/>
    </w:rPr>
  </w:style>
  <w:style w:type="character" w:customStyle="1" w:styleId="29">
    <w:name w:val="标题 1 字符"/>
    <w:link w:val="3"/>
    <w:autoRedefine/>
    <w:qFormat/>
    <w:uiPriority w:val="1"/>
    <w:rPr>
      <w:rFonts w:ascii="宋体" w:hAnsi="宋体" w:eastAsia="宋体" w:cs="Times New Roman"/>
      <w:b/>
      <w:kern w:val="0"/>
      <w:sz w:val="32"/>
      <w:szCs w:val="24"/>
    </w:rPr>
  </w:style>
  <w:style w:type="paragraph" w:customStyle="1" w:styleId="30">
    <w:name w:val="修订2"/>
    <w:autoRedefine/>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31">
    <w:name w:val="修订3"/>
    <w:autoRedefine/>
    <w:hidden/>
    <w:unhideWhenUsed/>
    <w:qFormat/>
    <w:uiPriority w:val="99"/>
    <w:rPr>
      <w:rFonts w:asciiTheme="minorHAnsi" w:hAnsiTheme="minorHAnsi" w:eastAsiaTheme="minorEastAsia" w:cstheme="minorBidi"/>
      <w:kern w:val="2"/>
      <w:sz w:val="21"/>
      <w:szCs w:val="22"/>
      <w:lang w:val="en-US" w:eastAsia="zh-CN" w:bidi="ar-SA"/>
    </w:rPr>
  </w:style>
  <w:style w:type="table" w:customStyle="1" w:styleId="32">
    <w:name w:val="网格型1"/>
    <w:basedOn w:val="1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3">
    <w:name w:val="网格型2"/>
    <w:basedOn w:val="1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4">
    <w:name w:val="网格型3"/>
    <w:basedOn w:val="1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5">
    <w:name w:val="网格型4"/>
    <w:basedOn w:val="1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6">
    <w:name w:val="网格型5"/>
    <w:basedOn w:val="1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7">
    <w:name w:val="网格型6"/>
    <w:basedOn w:val="1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8">
    <w:name w:val="网格型7"/>
    <w:basedOn w:val="1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9">
    <w:name w:val="网格型8"/>
    <w:basedOn w:val="1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0">
    <w:name w:val="网格型9"/>
    <w:basedOn w:val="1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1">
    <w:name w:val="网格型10"/>
    <w:basedOn w:val="1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2">
    <w:name w:val="网格型11"/>
    <w:basedOn w:val="1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3">
    <w:name w:val="网格型12"/>
    <w:basedOn w:val="1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4">
    <w:name w:val="网格型13"/>
    <w:basedOn w:val="1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5">
    <w:name w:val="网格型14"/>
    <w:basedOn w:val="1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6">
    <w:name w:val="网格型15"/>
    <w:basedOn w:val="1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7">
    <w:name w:val="网格型16"/>
    <w:basedOn w:val="1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8">
    <w:name w:val="网格型17"/>
    <w:basedOn w:val="1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9">
    <w:name w:val="网格型18"/>
    <w:basedOn w:val="1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0">
    <w:name w:val="网格型19"/>
    <w:basedOn w:val="1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1">
    <w:name w:val="网格型20"/>
    <w:basedOn w:val="1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2">
    <w:name w:val="网格型21"/>
    <w:basedOn w:val="1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3">
    <w:name w:val="网格型22"/>
    <w:basedOn w:val="1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4">
    <w:name w:val="网格型23"/>
    <w:basedOn w:val="1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5">
    <w:name w:val="网格型24"/>
    <w:basedOn w:val="1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6">
    <w:name w:val="网格型25"/>
    <w:basedOn w:val="1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7">
    <w:name w:val="网格型26"/>
    <w:basedOn w:val="1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8">
    <w:name w:val="网格型27"/>
    <w:basedOn w:val="1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9">
    <w:name w:val="网格型28"/>
    <w:basedOn w:val="1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0">
    <w:name w:val="网格型29"/>
    <w:basedOn w:val="1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1">
    <w:name w:val="网格型30"/>
    <w:basedOn w:val="1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2">
    <w:name w:val="网格型31"/>
    <w:basedOn w:val="1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3">
    <w:name w:val="网格型32"/>
    <w:basedOn w:val="1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4">
    <w:name w:val="网格型33"/>
    <w:basedOn w:val="1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5">
    <w:name w:val="网格型34"/>
    <w:basedOn w:val="1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6">
    <w:name w:val="网格型35"/>
    <w:basedOn w:val="1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7">
    <w:name w:val="网格型36"/>
    <w:basedOn w:val="1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8">
    <w:name w:val="网格型37"/>
    <w:basedOn w:val="1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69">
    <w:name w:val="网格型38"/>
    <w:basedOn w:val="1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0">
    <w:name w:val="网格型39"/>
    <w:basedOn w:val="1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1">
    <w:name w:val="网格型40"/>
    <w:basedOn w:val="1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2">
    <w:name w:val="网格型41"/>
    <w:basedOn w:val="1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3">
    <w:name w:val="网格型42"/>
    <w:basedOn w:val="1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4">
    <w:name w:val="修订4"/>
    <w:autoRedefine/>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75">
    <w:name w:val="修订5"/>
    <w:next w:val="76"/>
    <w:autoRedefine/>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76">
    <w:name w:val="修订6"/>
    <w:autoRedefine/>
    <w:hidden/>
    <w:semiHidden/>
    <w:qFormat/>
    <w:uiPriority w:val="99"/>
    <w:rPr>
      <w:rFonts w:asciiTheme="minorHAnsi" w:hAnsiTheme="minorHAnsi" w:eastAsiaTheme="minorEastAsia" w:cstheme="minorBidi"/>
      <w:kern w:val="2"/>
      <w:sz w:val="21"/>
      <w:szCs w:val="22"/>
      <w:lang w:val="en-US" w:eastAsia="zh-CN" w:bidi="ar-SA"/>
    </w:rPr>
  </w:style>
  <w:style w:type="table" w:customStyle="1" w:styleId="77">
    <w:name w:val="网格型43"/>
    <w:basedOn w:val="1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8">
    <w:name w:val="网格型44"/>
    <w:basedOn w:val="1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9">
    <w:name w:val="网格型45"/>
    <w:basedOn w:val="1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0">
    <w:name w:val="网格型46"/>
    <w:basedOn w:val="1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1">
    <w:name w:val="网格型47"/>
    <w:basedOn w:val="1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2">
    <w:name w:val="网格型48"/>
    <w:basedOn w:val="1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3">
    <w:name w:val="网格型49"/>
    <w:basedOn w:val="1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4">
    <w:name w:val="网格型50"/>
    <w:basedOn w:val="1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5">
    <w:name w:val="网格型51"/>
    <w:basedOn w:val="1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6">
    <w:name w:val="网格型52"/>
    <w:basedOn w:val="1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7">
    <w:name w:val="网格型53"/>
    <w:basedOn w:val="1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8">
    <w:name w:val="网格型54"/>
    <w:basedOn w:val="1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9">
    <w:name w:val="网格型55"/>
    <w:basedOn w:val="1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0">
    <w:name w:val="网格型56"/>
    <w:basedOn w:val="1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1">
    <w:name w:val="网格型57"/>
    <w:basedOn w:val="1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
    <w:name w:val="网格型58"/>
    <w:basedOn w:val="1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3">
    <w:name w:val="网格型59"/>
    <w:basedOn w:val="1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4">
    <w:name w:val="网格型60"/>
    <w:basedOn w:val="1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5">
    <w:name w:val="网格型61"/>
    <w:basedOn w:val="1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6">
    <w:name w:val="网格型62"/>
    <w:basedOn w:val="1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7">
    <w:name w:val="网格型63"/>
    <w:basedOn w:val="1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8">
    <w:name w:val="网格型64"/>
    <w:basedOn w:val="1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9">
    <w:name w:val="网格型65"/>
    <w:basedOn w:val="1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0">
    <w:name w:val="网格型66"/>
    <w:basedOn w:val="1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1">
    <w:name w:val="网格型67"/>
    <w:basedOn w:val="1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2">
    <w:name w:val="网格型68"/>
    <w:basedOn w:val="1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3">
    <w:name w:val="网格型69"/>
    <w:basedOn w:val="1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4">
    <w:name w:val="网格型70"/>
    <w:basedOn w:val="1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5">
    <w:name w:val="网格型71"/>
    <w:basedOn w:val="1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6">
    <w:name w:val="网格型72"/>
    <w:basedOn w:val="1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7">
    <w:name w:val="网格型73"/>
    <w:basedOn w:val="1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8">
    <w:name w:val="网格型74"/>
    <w:basedOn w:val="1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9">
    <w:name w:val="网格型75"/>
    <w:basedOn w:val="1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10">
    <w:name w:val="网格型76"/>
    <w:basedOn w:val="1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11">
    <w:name w:val="网格型77"/>
    <w:basedOn w:val="1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12">
    <w:name w:val="网格型78"/>
    <w:basedOn w:val="1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13">
    <w:name w:val="网格型79"/>
    <w:basedOn w:val="1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14">
    <w:name w:val="网格型80"/>
    <w:basedOn w:val="1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15">
    <w:name w:val="网格型81"/>
    <w:basedOn w:val="1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16">
    <w:name w:val="网格型82"/>
    <w:basedOn w:val="1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17">
    <w:name w:val="网格型83"/>
    <w:basedOn w:val="1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18">
    <w:name w:val="网格型84"/>
    <w:basedOn w:val="17"/>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9">
    <w:name w:val="修订7"/>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120">
    <w:name w:val="修订8"/>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121">
    <w:name w:val="修订9"/>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122">
    <w:name w:val="修订10"/>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123">
    <w:name w:val="修订11"/>
    <w:autoRedefine/>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124">
    <w:name w:val="修订12"/>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125">
    <w:name w:val="null3"/>
    <w:autoRedefine/>
    <w:hidden/>
    <w:qFormat/>
    <w:uiPriority w:val="0"/>
    <w:rPr>
      <w:rFonts w:hint="eastAsia" w:asciiTheme="minorHAnsi" w:hAnsiTheme="minorHAnsi" w:eastAsiaTheme="minorEastAsia" w:cstheme="minorBidi"/>
      <w:lang w:val="en-US" w:eastAsia="zh-Hans" w:bidi="ar-SA"/>
    </w:rPr>
  </w:style>
  <w:style w:type="paragraph" w:customStyle="1" w:styleId="126">
    <w:name w:val="彩色列表 - 强调文字颜色 11"/>
    <w:basedOn w:val="1"/>
    <w:qFormat/>
    <w:uiPriority w:val="0"/>
    <w:pPr>
      <w:autoSpaceDE w:val="0"/>
      <w:autoSpaceDN w:val="0"/>
      <w:adjustRightInd w:val="0"/>
      <w:ind w:firstLine="420" w:firstLineChars="200"/>
      <w:jc w:val="left"/>
    </w:pPr>
    <w:rPr>
      <w:rFonts w:ascii="宋体"/>
      <w:sz w:val="24"/>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22846</Words>
  <Characters>23788</Characters>
  <Lines>820</Lines>
  <Paragraphs>231</Paragraphs>
  <TotalTime>80</TotalTime>
  <ScaleCrop>false</ScaleCrop>
  <LinksUpToDate>false</LinksUpToDate>
  <CharactersWithSpaces>23848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2025-04-29T04:11:00Z</dcterms:created>
  <dc:creator>Administrator</dc:creator>
  <cp:lastModifiedBy>薇</cp:lastModifiedBy>
  <cp:lastPrinted>2024-05-14T10:35:00Z</cp:lastPrinted>
  <dcterms:modified xsi:type="dcterms:W3CDTF">2025-07-21T02:49:58Z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6147115BB6F04D59885C0A69909C7A35_13</vt:lpwstr>
  </property>
  <property fmtid="{D5CDD505-2E9C-101B-9397-08002B2CF9AE}" pid="4" name="KSOTemplateDocerSaveRecord">
    <vt:lpwstr>eyJoZGlkIjoiZmI4M2I3NDYyNzMxODllOTZkZmRlNjliMTc1ZmU0NDAiLCJ1c2VySWQiOiI0MzczNTY5ODQifQ==</vt:lpwstr>
  </property>
</Properties>
</file>