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C1439">
      <w:pPr>
        <w:autoSpaceDE w:val="0"/>
        <w:autoSpaceDN w:val="0"/>
        <w:adjustRightInd w:val="0"/>
        <w:spacing w:line="276" w:lineRule="auto"/>
        <w:ind w:left="357" w:leftChars="170" w:right="-23" w:rightChars="-11"/>
        <w:jc w:val="center"/>
        <w:rPr>
          <w:rFonts w:hint="eastAsia" w:ascii="宋体" w:hAnsi="宋体" w:eastAsia="宋体" w:cs="宋体"/>
          <w:b/>
          <w:bCs/>
          <w:kern w:val="0"/>
          <w:sz w:val="52"/>
          <w:szCs w:val="52"/>
          <w:highlight w:val="none"/>
          <w:lang w:val="zh-CN"/>
        </w:rPr>
      </w:pPr>
    </w:p>
    <w:p w14:paraId="75B429A5">
      <w:pPr>
        <w:autoSpaceDE w:val="0"/>
        <w:autoSpaceDN w:val="0"/>
        <w:adjustRightInd w:val="0"/>
        <w:spacing w:line="276" w:lineRule="auto"/>
        <w:ind w:left="357" w:leftChars="170" w:right="-23" w:rightChars="-11"/>
        <w:jc w:val="center"/>
        <w:rPr>
          <w:rFonts w:hint="eastAsia" w:ascii="宋体" w:hAnsi="宋体" w:eastAsia="宋体" w:cs="宋体"/>
          <w:b/>
          <w:bCs/>
          <w:kern w:val="0"/>
          <w:sz w:val="60"/>
          <w:szCs w:val="60"/>
          <w:highlight w:val="none"/>
          <w:lang w:val="zh-CN"/>
        </w:rPr>
      </w:pPr>
      <w:r>
        <w:rPr>
          <w:rFonts w:hint="eastAsia" w:ascii="宋体" w:hAnsi="宋体" w:eastAsia="宋体" w:cs="宋体"/>
          <w:b/>
          <w:bCs/>
          <w:kern w:val="0"/>
          <w:sz w:val="60"/>
          <w:szCs w:val="60"/>
          <w:highlight w:val="none"/>
          <w:lang w:val="zh-CN"/>
        </w:rPr>
        <w:t>东莞市水务环境投资控股集团有限公司注册发行60亿元公司债承销商采购项目（重新招标）</w:t>
      </w:r>
    </w:p>
    <w:p w14:paraId="041FB829">
      <w:pPr>
        <w:autoSpaceDE w:val="0"/>
        <w:autoSpaceDN w:val="0"/>
        <w:adjustRightInd w:val="0"/>
        <w:spacing w:line="276" w:lineRule="auto"/>
        <w:ind w:left="357" w:leftChars="170" w:right="-23" w:rightChars="-11"/>
        <w:jc w:val="center"/>
        <w:rPr>
          <w:rFonts w:hint="eastAsia" w:ascii="宋体" w:hAnsi="宋体" w:eastAsia="宋体" w:cs="宋体"/>
          <w:b/>
          <w:bCs/>
          <w:kern w:val="0"/>
          <w:sz w:val="44"/>
          <w:szCs w:val="44"/>
          <w:highlight w:val="none"/>
          <w:lang w:val="zh-CN"/>
        </w:rPr>
      </w:pPr>
    </w:p>
    <w:p w14:paraId="1A70BA7B">
      <w:pPr>
        <w:autoSpaceDE w:val="0"/>
        <w:autoSpaceDN w:val="0"/>
        <w:adjustRightInd w:val="0"/>
        <w:ind w:right="-23" w:rightChars="-11"/>
        <w:jc w:val="left"/>
        <w:rPr>
          <w:rFonts w:hint="eastAsia" w:ascii="宋体" w:hAnsi="宋体" w:eastAsia="宋体" w:cs="宋体"/>
          <w:b/>
          <w:bCs/>
          <w:sz w:val="44"/>
          <w:szCs w:val="44"/>
          <w:highlight w:val="none"/>
          <w:lang w:val="zh-CN"/>
        </w:rPr>
      </w:pPr>
    </w:p>
    <w:p w14:paraId="02341A30">
      <w:pPr>
        <w:autoSpaceDE w:val="0"/>
        <w:autoSpaceDN w:val="0"/>
        <w:adjustRightInd w:val="0"/>
        <w:ind w:right="-23" w:rightChars="-11"/>
        <w:jc w:val="center"/>
        <w:rPr>
          <w:rFonts w:hint="eastAsia" w:ascii="宋体" w:hAnsi="宋体" w:eastAsia="宋体" w:cs="宋体"/>
          <w:b/>
          <w:bCs/>
          <w:sz w:val="72"/>
          <w:szCs w:val="72"/>
          <w:highlight w:val="none"/>
          <w:lang w:val="zh-CN"/>
        </w:rPr>
      </w:pPr>
    </w:p>
    <w:p w14:paraId="4FDC3B09">
      <w:pPr>
        <w:autoSpaceDE w:val="0"/>
        <w:autoSpaceDN w:val="0"/>
        <w:adjustRightInd w:val="0"/>
        <w:ind w:right="-23" w:rightChars="-11"/>
        <w:jc w:val="center"/>
        <w:rPr>
          <w:rFonts w:hint="eastAsia" w:ascii="宋体" w:hAnsi="宋体" w:eastAsia="宋体" w:cs="宋体"/>
          <w:b/>
          <w:bCs/>
          <w:sz w:val="72"/>
          <w:szCs w:val="72"/>
          <w:highlight w:val="none"/>
          <w:lang w:val="zh-CN"/>
        </w:rPr>
      </w:pPr>
      <w:r>
        <w:rPr>
          <w:rFonts w:hint="eastAsia" w:ascii="宋体" w:hAnsi="宋体" w:eastAsia="宋体" w:cs="宋体"/>
          <w:b/>
          <w:bCs/>
          <w:sz w:val="72"/>
          <w:szCs w:val="72"/>
          <w:highlight w:val="none"/>
          <w:lang w:val="zh-CN"/>
        </w:rPr>
        <w:t>招</w:t>
      </w:r>
      <w:r>
        <w:rPr>
          <w:rFonts w:hint="eastAsia" w:ascii="宋体" w:hAnsi="宋体" w:eastAsia="宋体" w:cs="宋体"/>
          <w:b/>
          <w:bCs/>
          <w:sz w:val="72"/>
          <w:szCs w:val="72"/>
          <w:highlight w:val="none"/>
        </w:rPr>
        <w:t xml:space="preserve"> </w:t>
      </w:r>
      <w:r>
        <w:rPr>
          <w:rFonts w:hint="eastAsia" w:ascii="宋体" w:hAnsi="宋体" w:eastAsia="宋体" w:cs="宋体"/>
          <w:b/>
          <w:bCs/>
          <w:sz w:val="72"/>
          <w:szCs w:val="72"/>
          <w:highlight w:val="none"/>
          <w:lang w:val="zh-CN"/>
        </w:rPr>
        <w:t>标</w:t>
      </w:r>
      <w:r>
        <w:rPr>
          <w:rFonts w:hint="eastAsia" w:ascii="宋体" w:hAnsi="宋体" w:eastAsia="宋体" w:cs="宋体"/>
          <w:b/>
          <w:bCs/>
          <w:sz w:val="72"/>
          <w:szCs w:val="72"/>
          <w:highlight w:val="none"/>
        </w:rPr>
        <w:t xml:space="preserve"> </w:t>
      </w:r>
      <w:r>
        <w:rPr>
          <w:rFonts w:hint="eastAsia" w:ascii="宋体" w:hAnsi="宋体" w:eastAsia="宋体" w:cs="宋体"/>
          <w:b/>
          <w:bCs/>
          <w:sz w:val="72"/>
          <w:szCs w:val="72"/>
          <w:highlight w:val="none"/>
          <w:lang w:val="zh-CN"/>
        </w:rPr>
        <w:t>文</w:t>
      </w:r>
      <w:r>
        <w:rPr>
          <w:rFonts w:hint="eastAsia" w:ascii="宋体" w:hAnsi="宋体" w:eastAsia="宋体" w:cs="宋体"/>
          <w:b/>
          <w:bCs/>
          <w:sz w:val="72"/>
          <w:szCs w:val="72"/>
          <w:highlight w:val="none"/>
        </w:rPr>
        <w:t xml:space="preserve"> </w:t>
      </w:r>
      <w:r>
        <w:rPr>
          <w:rFonts w:hint="eastAsia" w:ascii="宋体" w:hAnsi="宋体" w:eastAsia="宋体" w:cs="宋体"/>
          <w:b/>
          <w:bCs/>
          <w:sz w:val="72"/>
          <w:szCs w:val="72"/>
          <w:highlight w:val="none"/>
          <w:lang w:val="zh-CN"/>
        </w:rPr>
        <w:t>件</w:t>
      </w:r>
    </w:p>
    <w:p w14:paraId="036F5CE4">
      <w:pPr>
        <w:autoSpaceDE w:val="0"/>
        <w:autoSpaceDN w:val="0"/>
        <w:adjustRightInd w:val="0"/>
        <w:ind w:right="-23" w:rightChars="-11"/>
        <w:jc w:val="center"/>
        <w:rPr>
          <w:rFonts w:hint="eastAsia" w:ascii="宋体" w:hAnsi="宋体" w:eastAsia="宋体" w:cs="宋体"/>
          <w:b/>
          <w:bCs/>
          <w:sz w:val="32"/>
          <w:szCs w:val="32"/>
          <w:highlight w:val="none"/>
          <w:lang w:val="zh-CN"/>
        </w:rPr>
      </w:pPr>
    </w:p>
    <w:p w14:paraId="5F343A98">
      <w:pPr>
        <w:autoSpaceDE w:val="0"/>
        <w:autoSpaceDN w:val="0"/>
        <w:adjustRightInd w:val="0"/>
        <w:ind w:right="-23" w:rightChars="-11"/>
        <w:jc w:val="center"/>
        <w:rPr>
          <w:rFonts w:hint="eastAsia" w:ascii="宋体" w:hAnsi="宋体" w:eastAsia="宋体" w:cs="宋体"/>
          <w:b/>
          <w:bCs/>
          <w:sz w:val="44"/>
          <w:szCs w:val="44"/>
          <w:highlight w:val="none"/>
          <w:lang w:val="zh-CN"/>
        </w:rPr>
      </w:pPr>
    </w:p>
    <w:p w14:paraId="491AB8C0">
      <w:pPr>
        <w:autoSpaceDE w:val="0"/>
        <w:autoSpaceDN w:val="0"/>
        <w:adjustRightInd w:val="0"/>
        <w:ind w:right="-23" w:rightChars="-11"/>
        <w:jc w:val="left"/>
        <w:rPr>
          <w:rFonts w:hint="eastAsia" w:ascii="宋体" w:hAnsi="宋体" w:eastAsia="宋体" w:cs="宋体"/>
          <w:b/>
          <w:bCs/>
          <w:sz w:val="32"/>
          <w:szCs w:val="32"/>
          <w:highlight w:val="none"/>
          <w:u w:val="single"/>
          <w:lang w:val="zh-CN"/>
        </w:rPr>
      </w:pPr>
    </w:p>
    <w:p w14:paraId="01B1F5CC">
      <w:pPr>
        <w:tabs>
          <w:tab w:val="left" w:pos="9240"/>
        </w:tabs>
        <w:autoSpaceDE w:val="0"/>
        <w:autoSpaceDN w:val="0"/>
        <w:adjustRightInd w:val="0"/>
        <w:spacing w:line="700" w:lineRule="exact"/>
        <w:ind w:right="-23" w:rightChars="-11"/>
        <w:jc w:val="left"/>
        <w:rPr>
          <w:rFonts w:hint="eastAsia" w:ascii="宋体" w:hAnsi="宋体" w:eastAsia="宋体" w:cs="宋体"/>
          <w:b/>
          <w:bCs/>
          <w:sz w:val="32"/>
          <w:szCs w:val="32"/>
          <w:highlight w:val="none"/>
          <w:lang w:val="zh-CN"/>
        </w:rPr>
      </w:pPr>
    </w:p>
    <w:p w14:paraId="3189B840">
      <w:pPr>
        <w:autoSpaceDE w:val="0"/>
        <w:autoSpaceDN w:val="0"/>
        <w:adjustRightInd w:val="0"/>
        <w:spacing w:line="480" w:lineRule="auto"/>
        <w:ind w:left="1842" w:leftChars="877" w:firstLine="19" w:firstLineChars="6"/>
        <w:jc w:val="left"/>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zh-CN"/>
        </w:rPr>
        <w:t>招</w:t>
      </w:r>
      <w:r>
        <w:rPr>
          <w:rFonts w:hint="eastAsia" w:ascii="宋体" w:hAnsi="宋体" w:eastAsia="宋体" w:cs="宋体"/>
          <w:b/>
          <w:bCs/>
          <w:sz w:val="32"/>
          <w:szCs w:val="32"/>
          <w:highlight w:val="none"/>
        </w:rPr>
        <w:t xml:space="preserve"> </w:t>
      </w:r>
      <w:r>
        <w:rPr>
          <w:rFonts w:hint="eastAsia" w:ascii="宋体" w:hAnsi="宋体" w:eastAsia="宋体" w:cs="宋体"/>
          <w:b/>
          <w:bCs/>
          <w:sz w:val="32"/>
          <w:szCs w:val="32"/>
          <w:highlight w:val="none"/>
          <w:lang w:val="zh-CN"/>
        </w:rPr>
        <w:t>标</w:t>
      </w:r>
      <w:r>
        <w:rPr>
          <w:rFonts w:hint="eastAsia" w:ascii="宋体" w:hAnsi="宋体" w:eastAsia="宋体" w:cs="宋体"/>
          <w:b/>
          <w:bCs/>
          <w:sz w:val="32"/>
          <w:szCs w:val="32"/>
          <w:highlight w:val="none"/>
        </w:rPr>
        <w:t xml:space="preserve"> </w:t>
      </w:r>
      <w:r>
        <w:rPr>
          <w:rFonts w:hint="eastAsia" w:ascii="宋体" w:hAnsi="宋体" w:eastAsia="宋体" w:cs="宋体"/>
          <w:b/>
          <w:bCs/>
          <w:sz w:val="32"/>
          <w:szCs w:val="32"/>
          <w:highlight w:val="none"/>
          <w:lang w:val="zh-CN"/>
        </w:rPr>
        <w:t>编</w:t>
      </w:r>
      <w:r>
        <w:rPr>
          <w:rFonts w:hint="eastAsia" w:ascii="宋体" w:hAnsi="宋体" w:eastAsia="宋体" w:cs="宋体"/>
          <w:b/>
          <w:bCs/>
          <w:sz w:val="32"/>
          <w:szCs w:val="32"/>
          <w:highlight w:val="none"/>
        </w:rPr>
        <w:t xml:space="preserve"> </w:t>
      </w:r>
      <w:r>
        <w:rPr>
          <w:rFonts w:hint="eastAsia" w:ascii="宋体" w:hAnsi="宋体" w:eastAsia="宋体" w:cs="宋体"/>
          <w:b/>
          <w:bCs/>
          <w:sz w:val="32"/>
          <w:szCs w:val="32"/>
          <w:highlight w:val="none"/>
          <w:lang w:val="zh-CN"/>
        </w:rPr>
        <w:t>号：SSSSSZ12501633_1</w:t>
      </w:r>
    </w:p>
    <w:p w14:paraId="7E89D960">
      <w:pPr>
        <w:autoSpaceDE w:val="0"/>
        <w:autoSpaceDN w:val="0"/>
        <w:adjustRightInd w:val="0"/>
        <w:spacing w:line="480" w:lineRule="auto"/>
        <w:ind w:left="1842" w:leftChars="877" w:firstLine="19" w:firstLineChars="6"/>
        <w:jc w:val="left"/>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zh-CN"/>
        </w:rPr>
        <w:t>招</w:t>
      </w:r>
      <w:r>
        <w:rPr>
          <w:rFonts w:hint="eastAsia" w:ascii="宋体" w:hAnsi="宋体" w:eastAsia="宋体" w:cs="宋体"/>
          <w:b/>
          <w:bCs/>
          <w:sz w:val="32"/>
          <w:szCs w:val="32"/>
          <w:highlight w:val="none"/>
        </w:rPr>
        <w:t xml:space="preserve"> </w:t>
      </w:r>
      <w:r>
        <w:rPr>
          <w:rFonts w:hint="eastAsia" w:ascii="宋体" w:hAnsi="宋体" w:eastAsia="宋体" w:cs="宋体"/>
          <w:b/>
          <w:bCs/>
          <w:sz w:val="32"/>
          <w:szCs w:val="32"/>
          <w:highlight w:val="none"/>
          <w:lang w:val="zh-CN"/>
        </w:rPr>
        <w:t>标</w:t>
      </w:r>
      <w:r>
        <w:rPr>
          <w:rFonts w:hint="eastAsia" w:ascii="宋体" w:hAnsi="宋体" w:eastAsia="宋体" w:cs="宋体"/>
          <w:b/>
          <w:bCs/>
          <w:sz w:val="32"/>
          <w:szCs w:val="32"/>
          <w:highlight w:val="none"/>
        </w:rPr>
        <w:t xml:space="preserve"> </w:t>
      </w:r>
      <w:r>
        <w:rPr>
          <w:rFonts w:hint="eastAsia" w:ascii="宋体" w:hAnsi="宋体" w:eastAsia="宋体" w:cs="宋体"/>
          <w:b/>
          <w:bCs/>
          <w:sz w:val="32"/>
          <w:szCs w:val="32"/>
          <w:highlight w:val="none"/>
          <w:lang w:val="zh-CN"/>
        </w:rPr>
        <w:t>人：东莞市水务环境投资控股集团有限公司</w:t>
      </w:r>
    </w:p>
    <w:p w14:paraId="3DDD7D91">
      <w:pPr>
        <w:autoSpaceDE w:val="0"/>
        <w:autoSpaceDN w:val="0"/>
        <w:adjustRightInd w:val="0"/>
        <w:spacing w:line="480" w:lineRule="auto"/>
        <w:ind w:left="1842" w:leftChars="877" w:firstLine="19" w:firstLineChars="6"/>
        <w:jc w:val="left"/>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zh-CN"/>
        </w:rPr>
        <w:t>招标代理机构：广东有德招标采购有限公司</w:t>
      </w:r>
    </w:p>
    <w:p w14:paraId="1C0E4982">
      <w:pPr>
        <w:autoSpaceDE w:val="0"/>
        <w:autoSpaceDN w:val="0"/>
        <w:adjustRightInd w:val="0"/>
        <w:ind w:right="-23" w:rightChars="-11"/>
        <w:jc w:val="left"/>
        <w:rPr>
          <w:rFonts w:hint="eastAsia" w:ascii="宋体" w:hAnsi="宋体" w:eastAsia="宋体" w:cs="宋体"/>
          <w:b/>
          <w:bCs/>
          <w:kern w:val="0"/>
          <w:sz w:val="32"/>
          <w:szCs w:val="32"/>
          <w:highlight w:val="none"/>
          <w:lang w:val="zh-CN"/>
        </w:rPr>
      </w:pPr>
    </w:p>
    <w:p w14:paraId="131B4626">
      <w:pPr>
        <w:autoSpaceDE w:val="0"/>
        <w:autoSpaceDN w:val="0"/>
        <w:adjustRightInd w:val="0"/>
        <w:ind w:right="-23" w:rightChars="-11"/>
        <w:jc w:val="center"/>
        <w:rPr>
          <w:rFonts w:hint="eastAsia" w:ascii="宋体" w:hAnsi="宋体" w:eastAsia="宋体" w:cs="宋体"/>
          <w:b/>
          <w:bCs/>
          <w:kern w:val="0"/>
          <w:sz w:val="84"/>
          <w:szCs w:val="84"/>
          <w:highlight w:val="none"/>
          <w:lang w:val="zh-CN"/>
        </w:rPr>
      </w:pPr>
    </w:p>
    <w:p w14:paraId="1C7F4F2B">
      <w:pPr>
        <w:autoSpaceDE w:val="0"/>
        <w:autoSpaceDN w:val="0"/>
        <w:adjustRightInd w:val="0"/>
        <w:spacing w:line="360" w:lineRule="auto"/>
        <w:ind w:left="357" w:leftChars="170" w:right="-23" w:rightChars="-11" w:firstLine="321" w:firstLineChars="100"/>
        <w:jc w:val="center"/>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en-US" w:eastAsia="zh-CN"/>
        </w:rPr>
        <w:t>2025</w:t>
      </w:r>
      <w:r>
        <w:rPr>
          <w:rFonts w:hint="eastAsia" w:ascii="宋体" w:hAnsi="宋体" w:eastAsia="宋体" w:cs="宋体"/>
          <w:b/>
          <w:bCs/>
          <w:sz w:val="32"/>
          <w:szCs w:val="32"/>
          <w:highlight w:val="none"/>
          <w:lang w:val="zh-CN"/>
        </w:rPr>
        <w:t>年</w:t>
      </w:r>
      <w:r>
        <w:rPr>
          <w:rFonts w:hint="eastAsia" w:ascii="宋体" w:hAnsi="宋体" w:eastAsia="宋体" w:cs="宋体"/>
          <w:b/>
          <w:bCs/>
          <w:sz w:val="32"/>
          <w:szCs w:val="32"/>
          <w:highlight w:val="none"/>
          <w:lang w:val="en-US" w:eastAsia="zh-CN"/>
        </w:rPr>
        <w:t>9</w:t>
      </w:r>
      <w:r>
        <w:rPr>
          <w:rFonts w:hint="eastAsia" w:ascii="宋体" w:hAnsi="宋体" w:eastAsia="宋体" w:cs="宋体"/>
          <w:b/>
          <w:bCs/>
          <w:sz w:val="32"/>
          <w:szCs w:val="32"/>
          <w:highlight w:val="none"/>
          <w:lang w:val="zh-CN"/>
        </w:rPr>
        <w:t>月</w:t>
      </w:r>
      <w:r>
        <w:rPr>
          <w:rFonts w:hint="eastAsia" w:ascii="宋体" w:hAnsi="宋体" w:eastAsia="宋体" w:cs="宋体"/>
          <w:b/>
          <w:bCs/>
          <w:sz w:val="32"/>
          <w:szCs w:val="32"/>
          <w:highlight w:val="none"/>
          <w:lang w:val="en-US" w:eastAsia="zh-CN"/>
        </w:rPr>
        <w:t>28</w:t>
      </w:r>
      <w:bookmarkStart w:id="745" w:name="_GoBack"/>
      <w:bookmarkEnd w:id="745"/>
      <w:r>
        <w:rPr>
          <w:rFonts w:hint="eastAsia" w:ascii="宋体" w:hAnsi="宋体" w:eastAsia="宋体" w:cs="宋体"/>
          <w:b/>
          <w:bCs/>
          <w:sz w:val="32"/>
          <w:szCs w:val="32"/>
          <w:highlight w:val="none"/>
          <w:lang w:val="zh-CN"/>
        </w:rPr>
        <w:t>日</w:t>
      </w:r>
    </w:p>
    <w:p w14:paraId="7B4D6E15">
      <w:pPr>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zh-CN"/>
        </w:rPr>
        <w:br w:type="page"/>
      </w:r>
    </w:p>
    <w:p w14:paraId="46A6A4F1">
      <w:pPr>
        <w:pageBreakBefore/>
        <w:spacing w:line="360" w:lineRule="auto"/>
        <w:jc w:val="center"/>
        <w:outlineLvl w:val="0"/>
        <w:rPr>
          <w:rFonts w:hint="eastAsia" w:ascii="宋体" w:hAnsi="宋体" w:eastAsia="宋体" w:cs="宋体"/>
          <w:b/>
          <w:color w:val="auto"/>
          <w:sz w:val="36"/>
          <w:szCs w:val="36"/>
          <w:highlight w:val="none"/>
        </w:rPr>
      </w:pPr>
      <w:bookmarkStart w:id="0" w:name="_Toc16773"/>
      <w:bookmarkStart w:id="1" w:name="_Toc7755"/>
      <w:r>
        <w:rPr>
          <w:rFonts w:hint="eastAsia" w:ascii="宋体" w:hAnsi="宋体" w:eastAsia="宋体" w:cs="宋体"/>
          <w:b/>
          <w:color w:val="auto"/>
          <w:sz w:val="36"/>
          <w:szCs w:val="36"/>
          <w:highlight w:val="none"/>
          <w:lang w:bidi="ar"/>
        </w:rPr>
        <w:t>重要提示</w:t>
      </w:r>
      <w:bookmarkEnd w:id="0"/>
      <w:bookmarkEnd w:id="1"/>
    </w:p>
    <w:p w14:paraId="27481C58">
      <w:pPr>
        <w:pStyle w:val="34"/>
        <w:widowControl w:val="0"/>
        <w:spacing w:before="0" w:beforeAutospacing="0" w:after="0" w:afterAutospacing="0" w:line="360" w:lineRule="auto"/>
        <w:ind w:firstLine="480" w:firstLineChars="200"/>
        <w:jc w:val="both"/>
        <w:outlineLvl w:val="0"/>
        <w:rPr>
          <w:rFonts w:hint="eastAsia" w:ascii="宋体" w:hAnsi="宋体" w:eastAsia="宋体" w:cs="宋体"/>
          <w:color w:val="auto"/>
          <w:sz w:val="24"/>
          <w:szCs w:val="24"/>
          <w:highlight w:val="none"/>
          <w:lang w:bidi="ar"/>
        </w:rPr>
      </w:pPr>
      <w:bookmarkStart w:id="2" w:name="_Toc12698"/>
      <w:bookmarkStart w:id="3" w:name="_Toc22951"/>
      <w:r>
        <w:rPr>
          <w:rFonts w:hint="eastAsia" w:ascii="宋体" w:hAnsi="宋体" w:eastAsia="宋体" w:cs="宋体"/>
          <w:color w:val="auto"/>
          <w:sz w:val="24"/>
          <w:szCs w:val="24"/>
          <w:highlight w:val="none"/>
          <w:lang w:bidi="ar"/>
        </w:rPr>
        <w:t>1. 本次招标项目采用电子标书。</w:t>
      </w:r>
      <w:bookmarkEnd w:id="2"/>
      <w:bookmarkEnd w:id="3"/>
    </w:p>
    <w:p w14:paraId="46BC0E92">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2. 投标人将被要求递交具备法律效力的电子投标文件。为此，投标人应当具备使用依法设立的电子认证服务提供者签发的电子签名认证证书对电子投标文件进行电子签名的能力。投标人可向依法设立的电子认证服务提供者申请办理电子签名认证证书（简称：数字证书，包括企业数字证书和个人数字证书）。</w:t>
      </w:r>
    </w:p>
    <w:p w14:paraId="2B028930">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3. 除特别说明外，招标文件相关条款中提及的以及第六篇“投标文件格式”中包括但不限于“企业数字证书电子签名”及“电子签名”等要求签名的均指由数字证书电子签章或电子签名。</w:t>
      </w:r>
    </w:p>
    <w:p w14:paraId="1C75D564">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4. 投标人必须使用计算机互联网络（以下简称网络）将投标文件以jjb格式上传提交至东莞市公共资源交易E网通管理平台建设工程交易系统（以下简称交易系统），并在网上签到时，关联到对应的投标项目中。</w:t>
      </w:r>
    </w:p>
    <w:p w14:paraId="0A9970D0">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5. 投标人在交易系统中对投标文件进行解密的电子签名认证证书必须为机构证书或制作本项目投标文件的业务证书。</w:t>
      </w:r>
    </w:p>
    <w:p w14:paraId="0AF0E9A7">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6. 投标人应及时提交投标文件，如在投标文件截止时间前因网络等任何原因未能成功上传投标文件，相关后果由投标人自行承担。</w:t>
      </w:r>
    </w:p>
    <w:p w14:paraId="167B26C8">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7.投标人上传投标文件时，需设置投标文件查询密码（用于查询投标文件递交情况、撤销投标文件及签到时匹配对应的招标文件）。成功上传投标文件后，交易系统将自动随机生成投标文件识别码。识别码是交易系统确认投标人提交投标文件的唯一凭证，投标人须妥善保管。识别码丢失后，投标人将无法找回投标文件，需重新上传提交。</w:t>
      </w:r>
    </w:p>
    <w:p w14:paraId="208B9FE9">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8.如未在投标文件递交截止时间前匹配对应的投标文件，视为投标人未提交。本招标文件中签到、投标文件匹配、投标保证金关联等时间均以东莞市公共资源交易E网通管理平台时间为准。</w:t>
      </w:r>
    </w:p>
    <w:p w14:paraId="2319788E">
      <w:pPr>
        <w:pStyle w:val="34"/>
        <w:widowControl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9.本招标项目在全国公共资源交易平台（广东省·东莞市）（https://ygp.gdzwfw.gov.cn/#/441900/index）等媒体发布招标公告，本项目招标公告及招标文件的修改、补充在全国公共资源交易平台（广东省·东莞市）发布。发布内容在其他媒体发布的文本如有不同之处，以在全国公共资源交易平台（广东省·东莞市）发布的文本为准。</w:t>
      </w:r>
    </w:p>
    <w:p w14:paraId="6C9AE37D">
      <w:pPr>
        <w:rPr>
          <w:rFonts w:hint="eastAsia" w:ascii="宋体" w:hAnsi="宋体" w:eastAsia="宋体" w:cs="宋体"/>
          <w:b/>
          <w:bCs/>
          <w:sz w:val="32"/>
          <w:szCs w:val="32"/>
          <w:highlight w:val="none"/>
          <w:lang w:val="zh-CN"/>
        </w:rPr>
      </w:pPr>
      <w:r>
        <w:rPr>
          <w:rFonts w:hint="eastAsia" w:ascii="宋体" w:hAnsi="宋体" w:eastAsia="宋体" w:cs="宋体"/>
          <w:b/>
          <w:bCs/>
          <w:sz w:val="32"/>
          <w:szCs w:val="32"/>
          <w:highlight w:val="none"/>
          <w:lang w:val="zh-CN"/>
        </w:rPr>
        <w:br w:type="page"/>
      </w:r>
    </w:p>
    <w:sdt>
      <w:sdtPr>
        <w:rPr>
          <w:rFonts w:hint="eastAsia" w:ascii="宋体" w:hAnsi="宋体" w:eastAsia="宋体" w:cs="宋体"/>
          <w:kern w:val="2"/>
          <w:sz w:val="21"/>
          <w:szCs w:val="22"/>
          <w:lang w:val="en-US" w:eastAsia="zh-CN" w:bidi="ar-SA"/>
        </w:rPr>
        <w:id w:val="147453449"/>
        <w15:color w:val="DBDBDB"/>
        <w:docPartObj>
          <w:docPartGallery w:val="Table of Contents"/>
          <w:docPartUnique/>
        </w:docPartObj>
      </w:sdtPr>
      <w:sdtEndPr>
        <w:rPr>
          <w:rFonts w:hint="eastAsia" w:ascii="宋体" w:hAnsi="宋体" w:eastAsia="宋体" w:cs="宋体"/>
          <w:kern w:val="2"/>
          <w:sz w:val="21"/>
          <w:szCs w:val="22"/>
          <w:lang w:val="en-US" w:eastAsia="zh-CN" w:bidi="ar-SA"/>
        </w:rPr>
      </w:sdtEndPr>
      <w:sdtContent>
        <w:p w14:paraId="58E08545">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目</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录</w:t>
          </w:r>
        </w:p>
        <w:p w14:paraId="5E06487F">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rPr>
            <w:fldChar w:fldCharType="begin"/>
          </w:r>
          <w:r>
            <w:rPr>
              <w:rFonts w:hint="eastAsia" w:ascii="宋体" w:hAnsi="宋体" w:eastAsia="宋体" w:cs="宋体"/>
            </w:rPr>
            <w:instrText xml:space="preserve">TOC \o "1-3" \h \u </w:instrText>
          </w:r>
          <w:r>
            <w:rPr>
              <w:rFonts w:hint="eastAsia" w:ascii="宋体" w:hAnsi="宋体" w:eastAsia="宋体" w:cs="宋体"/>
            </w:rPr>
            <w:fldChar w:fldCharType="separate"/>
          </w:r>
          <w:r>
            <w:rPr>
              <w:rFonts w:hint="eastAsia" w:ascii="宋体" w:hAnsi="宋体" w:eastAsia="宋体" w:cs="宋体"/>
              <w:b/>
              <w:bCs/>
            </w:rPr>
            <w:fldChar w:fldCharType="begin"/>
          </w:r>
          <w:r>
            <w:rPr>
              <w:rFonts w:hint="eastAsia" w:ascii="宋体" w:hAnsi="宋体" w:eastAsia="宋体" w:cs="宋体"/>
              <w:b/>
              <w:bCs/>
            </w:rPr>
            <w:instrText xml:space="preserve"> HYPERLINK \l _Toc11860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第一篇 招标公告</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_Toc11860 \h </w:instrText>
          </w:r>
          <w:r>
            <w:rPr>
              <w:rFonts w:hint="eastAsia" w:ascii="宋体" w:hAnsi="宋体" w:eastAsia="宋体" w:cs="宋体"/>
              <w:b/>
              <w:bCs/>
            </w:rPr>
            <w:fldChar w:fldCharType="separate"/>
          </w:r>
          <w:r>
            <w:rPr>
              <w:rFonts w:hint="eastAsia" w:ascii="宋体" w:hAnsi="宋体" w:eastAsia="宋体" w:cs="宋体"/>
              <w:b/>
              <w:bCs/>
            </w:rPr>
            <w:t>5</w:t>
          </w:r>
          <w:r>
            <w:rPr>
              <w:rFonts w:hint="eastAsia" w:ascii="宋体" w:hAnsi="宋体" w:eastAsia="宋体" w:cs="宋体"/>
              <w:b/>
              <w:bCs/>
            </w:rPr>
            <w:fldChar w:fldCharType="end"/>
          </w:r>
          <w:r>
            <w:rPr>
              <w:rFonts w:hint="eastAsia" w:ascii="宋体" w:hAnsi="宋体" w:eastAsia="宋体" w:cs="宋体"/>
              <w:b/>
              <w:bCs/>
            </w:rPr>
            <w:fldChar w:fldCharType="end"/>
          </w:r>
        </w:p>
        <w:p w14:paraId="61363865">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_Toc15359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第二篇</w:t>
          </w:r>
          <w:r>
            <w:rPr>
              <w:rFonts w:hint="eastAsia" w:ascii="宋体" w:hAnsi="宋体" w:eastAsia="宋体" w:cs="宋体"/>
              <w:b/>
              <w:bCs/>
              <w:kern w:val="44"/>
              <w:szCs w:val="32"/>
              <w:highlight w:val="none"/>
            </w:rPr>
            <w:t xml:space="preserve"> </w:t>
          </w:r>
          <w:r>
            <w:rPr>
              <w:rFonts w:hint="eastAsia" w:ascii="宋体" w:hAnsi="宋体" w:eastAsia="宋体" w:cs="宋体"/>
              <w:b/>
              <w:bCs/>
              <w:kern w:val="44"/>
              <w:szCs w:val="32"/>
              <w:highlight w:val="none"/>
              <w:lang w:val="zh-CN"/>
            </w:rPr>
            <w:t>投标人须知</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_Toc15359 \h </w:instrText>
          </w:r>
          <w:r>
            <w:rPr>
              <w:rFonts w:hint="eastAsia" w:ascii="宋体" w:hAnsi="宋体" w:eastAsia="宋体" w:cs="宋体"/>
              <w:b/>
              <w:bCs/>
            </w:rPr>
            <w:fldChar w:fldCharType="separate"/>
          </w:r>
          <w:r>
            <w:rPr>
              <w:rFonts w:hint="eastAsia" w:ascii="宋体" w:hAnsi="宋体" w:eastAsia="宋体" w:cs="宋体"/>
              <w:b/>
              <w:bCs/>
            </w:rPr>
            <w:t>8</w:t>
          </w:r>
          <w:r>
            <w:rPr>
              <w:rFonts w:hint="eastAsia" w:ascii="宋体" w:hAnsi="宋体" w:eastAsia="宋体" w:cs="宋体"/>
              <w:b/>
              <w:bCs/>
            </w:rPr>
            <w:fldChar w:fldCharType="end"/>
          </w:r>
          <w:r>
            <w:rPr>
              <w:rFonts w:hint="eastAsia" w:ascii="宋体" w:hAnsi="宋体" w:eastAsia="宋体" w:cs="宋体"/>
              <w:b/>
              <w:bCs/>
            </w:rPr>
            <w:fldChar w:fldCharType="end"/>
          </w:r>
        </w:p>
        <w:p w14:paraId="26712485">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_Toc14832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一、总则</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_Toc14832 \h </w:instrText>
          </w:r>
          <w:r>
            <w:rPr>
              <w:rFonts w:hint="eastAsia" w:ascii="宋体" w:hAnsi="宋体" w:eastAsia="宋体" w:cs="宋体"/>
              <w:b/>
              <w:bCs/>
            </w:rPr>
            <w:fldChar w:fldCharType="separate"/>
          </w:r>
          <w:r>
            <w:rPr>
              <w:rFonts w:hint="eastAsia" w:ascii="宋体" w:hAnsi="宋体" w:eastAsia="宋体" w:cs="宋体"/>
              <w:b/>
              <w:bCs/>
            </w:rPr>
            <w:t>8</w:t>
          </w:r>
          <w:r>
            <w:rPr>
              <w:rFonts w:hint="eastAsia" w:ascii="宋体" w:hAnsi="宋体" w:eastAsia="宋体" w:cs="宋体"/>
              <w:b/>
              <w:bCs/>
            </w:rPr>
            <w:fldChar w:fldCharType="end"/>
          </w:r>
          <w:r>
            <w:rPr>
              <w:rFonts w:hint="eastAsia" w:ascii="宋体" w:hAnsi="宋体" w:eastAsia="宋体" w:cs="宋体"/>
              <w:b/>
              <w:bCs/>
            </w:rPr>
            <w:fldChar w:fldCharType="end"/>
          </w:r>
        </w:p>
        <w:p w14:paraId="472D0A8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_Toc16288 </w:instrText>
          </w:r>
          <w:r>
            <w:rPr>
              <w:rFonts w:hint="eastAsia" w:ascii="宋体" w:hAnsi="宋体" w:eastAsia="宋体" w:cs="宋体"/>
            </w:rPr>
            <w:fldChar w:fldCharType="separate"/>
          </w:r>
          <w:r>
            <w:rPr>
              <w:rFonts w:hint="eastAsia" w:ascii="宋体" w:hAnsi="宋体" w:eastAsia="宋体" w:cs="宋体"/>
              <w:szCs w:val="21"/>
              <w:highlight w:val="none"/>
              <w:lang w:val="zh-CN"/>
            </w:rPr>
            <w:t>1 资金来源：企业自筹资金。</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_Toc16288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2600C894">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_Toc31095 </w:instrText>
          </w:r>
          <w:r>
            <w:rPr>
              <w:rFonts w:hint="eastAsia" w:ascii="宋体" w:hAnsi="宋体" w:eastAsia="宋体" w:cs="宋体"/>
            </w:rPr>
            <w:fldChar w:fldCharType="separate"/>
          </w:r>
          <w:r>
            <w:rPr>
              <w:rFonts w:hint="eastAsia" w:ascii="宋体" w:hAnsi="宋体" w:eastAsia="宋体" w:cs="宋体"/>
              <w:szCs w:val="21"/>
              <w:highlight w:val="none"/>
              <w:lang w:val="zh-CN"/>
            </w:rPr>
            <w:t>2 合格的投标人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_Toc31095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56D5156F">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_Toc20209 </w:instrText>
          </w:r>
          <w:r>
            <w:rPr>
              <w:rFonts w:hint="eastAsia" w:ascii="宋体" w:hAnsi="宋体" w:eastAsia="宋体" w:cs="宋体"/>
            </w:rPr>
            <w:fldChar w:fldCharType="separate"/>
          </w:r>
          <w:r>
            <w:rPr>
              <w:rFonts w:hint="eastAsia" w:ascii="宋体" w:hAnsi="宋体" w:eastAsia="宋体" w:cs="宋体"/>
              <w:szCs w:val="21"/>
              <w:highlight w:val="none"/>
              <w:lang w:val="zh-CN"/>
            </w:rPr>
            <w:t>3 合格的</w:t>
          </w:r>
          <w:r>
            <w:rPr>
              <w:rFonts w:hint="eastAsia" w:ascii="宋体" w:hAnsi="宋体" w:eastAsia="宋体" w:cs="宋体"/>
              <w:szCs w:val="21"/>
              <w:highlight w:val="none"/>
              <w:lang w:val="en-US" w:eastAsia="zh-CN"/>
            </w:rPr>
            <w:t>服务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_Toc20209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18C1E809">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_Toc23153 </w:instrText>
          </w:r>
          <w:r>
            <w:rPr>
              <w:rFonts w:hint="eastAsia" w:ascii="宋体" w:hAnsi="宋体" w:eastAsia="宋体" w:cs="宋体"/>
            </w:rPr>
            <w:fldChar w:fldCharType="separate"/>
          </w:r>
          <w:r>
            <w:rPr>
              <w:rFonts w:hint="eastAsia" w:ascii="宋体" w:hAnsi="宋体" w:eastAsia="宋体" w:cs="宋体"/>
              <w:szCs w:val="21"/>
              <w:highlight w:val="none"/>
              <w:lang w:val="zh-CN"/>
            </w:rPr>
            <w:t>4 其它说明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_Toc23153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315AFD84">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_Toc5462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二、招标文件</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_Toc5462 \h </w:instrText>
          </w:r>
          <w:r>
            <w:rPr>
              <w:rFonts w:hint="eastAsia" w:ascii="宋体" w:hAnsi="宋体" w:eastAsia="宋体" w:cs="宋体"/>
              <w:b/>
              <w:bCs/>
            </w:rPr>
            <w:fldChar w:fldCharType="separate"/>
          </w:r>
          <w:r>
            <w:rPr>
              <w:rFonts w:hint="eastAsia" w:ascii="宋体" w:hAnsi="宋体" w:eastAsia="宋体" w:cs="宋体"/>
              <w:b/>
              <w:bCs/>
            </w:rPr>
            <w:t>9</w:t>
          </w:r>
          <w:r>
            <w:rPr>
              <w:rFonts w:hint="eastAsia" w:ascii="宋体" w:hAnsi="宋体" w:eastAsia="宋体" w:cs="宋体"/>
              <w:b/>
              <w:bCs/>
            </w:rPr>
            <w:fldChar w:fldCharType="end"/>
          </w:r>
          <w:r>
            <w:rPr>
              <w:rFonts w:hint="eastAsia" w:ascii="宋体" w:hAnsi="宋体" w:eastAsia="宋体" w:cs="宋体"/>
              <w:b/>
              <w:bCs/>
            </w:rPr>
            <w:fldChar w:fldCharType="end"/>
          </w:r>
        </w:p>
        <w:p w14:paraId="5D7E7F52">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_Toc2283 </w:instrText>
          </w:r>
          <w:r>
            <w:rPr>
              <w:rFonts w:hint="eastAsia" w:ascii="宋体" w:hAnsi="宋体" w:eastAsia="宋体" w:cs="宋体"/>
            </w:rPr>
            <w:fldChar w:fldCharType="separate"/>
          </w:r>
          <w:r>
            <w:rPr>
              <w:rFonts w:hint="eastAsia" w:ascii="宋体" w:hAnsi="宋体" w:eastAsia="宋体" w:cs="宋体"/>
              <w:szCs w:val="21"/>
              <w:highlight w:val="none"/>
              <w:lang w:val="zh-CN"/>
            </w:rPr>
            <w:t>5 招标文件的构成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_Toc2283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36C1FF2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_Toc19474 </w:instrText>
          </w:r>
          <w:r>
            <w:rPr>
              <w:rFonts w:hint="eastAsia" w:ascii="宋体" w:hAnsi="宋体" w:eastAsia="宋体" w:cs="宋体"/>
            </w:rPr>
            <w:fldChar w:fldCharType="separate"/>
          </w:r>
          <w:r>
            <w:rPr>
              <w:rFonts w:hint="eastAsia" w:ascii="宋体" w:hAnsi="宋体" w:eastAsia="宋体" w:cs="宋体"/>
              <w:szCs w:val="21"/>
              <w:highlight w:val="none"/>
              <w:lang w:val="zh-CN"/>
            </w:rPr>
            <w:t>6 招标文件的异议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_Toc19474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5F64B34F">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_Toc18648 </w:instrText>
          </w:r>
          <w:r>
            <w:rPr>
              <w:rFonts w:hint="eastAsia" w:ascii="宋体" w:hAnsi="宋体" w:eastAsia="宋体" w:cs="宋体"/>
            </w:rPr>
            <w:fldChar w:fldCharType="separate"/>
          </w:r>
          <w:r>
            <w:rPr>
              <w:rFonts w:hint="eastAsia" w:ascii="宋体" w:hAnsi="宋体" w:eastAsia="宋体" w:cs="宋体"/>
              <w:szCs w:val="21"/>
              <w:highlight w:val="none"/>
              <w:lang w:val="zh-CN"/>
            </w:rPr>
            <w:t>7 招标文件的澄清及修改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_Toc18648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3C51286E">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_Toc24583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三、投标文件的编制</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_Toc24583 \h </w:instrText>
          </w:r>
          <w:r>
            <w:rPr>
              <w:rFonts w:hint="eastAsia" w:ascii="宋体" w:hAnsi="宋体" w:eastAsia="宋体" w:cs="宋体"/>
              <w:b/>
              <w:bCs/>
            </w:rPr>
            <w:fldChar w:fldCharType="separate"/>
          </w:r>
          <w:r>
            <w:rPr>
              <w:rFonts w:hint="eastAsia" w:ascii="宋体" w:hAnsi="宋体" w:eastAsia="宋体" w:cs="宋体"/>
              <w:b/>
              <w:bCs/>
            </w:rPr>
            <w:t>11</w:t>
          </w:r>
          <w:r>
            <w:rPr>
              <w:rFonts w:hint="eastAsia" w:ascii="宋体" w:hAnsi="宋体" w:eastAsia="宋体" w:cs="宋体"/>
              <w:b/>
              <w:bCs/>
            </w:rPr>
            <w:fldChar w:fldCharType="end"/>
          </w:r>
          <w:r>
            <w:rPr>
              <w:rFonts w:hint="eastAsia" w:ascii="宋体" w:hAnsi="宋体" w:eastAsia="宋体" w:cs="宋体"/>
              <w:b/>
              <w:bCs/>
            </w:rPr>
            <w:fldChar w:fldCharType="end"/>
          </w:r>
        </w:p>
        <w:p w14:paraId="60789B4C">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_Toc4453 </w:instrText>
          </w:r>
          <w:r>
            <w:rPr>
              <w:rFonts w:hint="eastAsia" w:ascii="宋体" w:hAnsi="宋体" w:eastAsia="宋体" w:cs="宋体"/>
            </w:rPr>
            <w:fldChar w:fldCharType="separate"/>
          </w:r>
          <w:r>
            <w:rPr>
              <w:rFonts w:hint="eastAsia" w:ascii="宋体" w:hAnsi="宋体" w:eastAsia="宋体" w:cs="宋体"/>
              <w:szCs w:val="21"/>
              <w:highlight w:val="none"/>
              <w:lang w:val="zh-CN"/>
            </w:rPr>
            <w:t>8 投标使用的文字及度量衡单位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_Toc4453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14:paraId="55CE586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_Toc31286 </w:instrText>
          </w:r>
          <w:r>
            <w:rPr>
              <w:rFonts w:hint="eastAsia" w:ascii="宋体" w:hAnsi="宋体" w:eastAsia="宋体" w:cs="宋体"/>
            </w:rPr>
            <w:fldChar w:fldCharType="separate"/>
          </w:r>
          <w:r>
            <w:rPr>
              <w:rFonts w:hint="eastAsia" w:ascii="宋体" w:hAnsi="宋体" w:eastAsia="宋体" w:cs="宋体"/>
              <w:szCs w:val="21"/>
              <w:highlight w:val="none"/>
              <w:lang w:val="zh-CN"/>
            </w:rPr>
            <w:t>9</w:t>
          </w:r>
          <w:r>
            <w:rPr>
              <w:rFonts w:hint="eastAsia" w:ascii="宋体" w:hAnsi="宋体" w:eastAsia="宋体" w:cs="宋体"/>
              <w:szCs w:val="24"/>
              <w:highlight w:val="none"/>
              <w:lang w:val="zh-CN"/>
            </w:rPr>
            <w:t xml:space="preserve"> </w:t>
          </w:r>
          <w:r>
            <w:rPr>
              <w:rFonts w:hint="eastAsia" w:ascii="宋体" w:hAnsi="宋体" w:eastAsia="宋体" w:cs="宋体"/>
              <w:szCs w:val="21"/>
              <w:highlight w:val="none"/>
              <w:lang w:val="zh-CN"/>
            </w:rPr>
            <w:t>投标文件的组成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_Toc31286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14:paraId="3C8FA704">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_Toc17386 </w:instrText>
          </w:r>
          <w:r>
            <w:rPr>
              <w:rFonts w:hint="eastAsia" w:ascii="宋体" w:hAnsi="宋体" w:eastAsia="宋体" w:cs="宋体"/>
            </w:rPr>
            <w:fldChar w:fldCharType="separate"/>
          </w:r>
          <w:r>
            <w:rPr>
              <w:rFonts w:hint="eastAsia" w:ascii="宋体" w:hAnsi="宋体" w:eastAsia="宋体" w:cs="宋体"/>
              <w:szCs w:val="21"/>
              <w:highlight w:val="none"/>
              <w:lang w:val="zh-CN"/>
            </w:rPr>
            <w:t>10 投标函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_Toc17386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14:paraId="7D1EAB9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_Toc7391 </w:instrText>
          </w:r>
          <w:r>
            <w:rPr>
              <w:rFonts w:hint="eastAsia" w:ascii="宋体" w:hAnsi="宋体" w:eastAsia="宋体" w:cs="宋体"/>
            </w:rPr>
            <w:fldChar w:fldCharType="separate"/>
          </w:r>
          <w:r>
            <w:rPr>
              <w:rFonts w:hint="eastAsia" w:ascii="宋体" w:hAnsi="宋体" w:eastAsia="宋体" w:cs="宋体"/>
              <w:szCs w:val="21"/>
              <w:highlight w:val="none"/>
              <w:lang w:val="zh-CN"/>
            </w:rPr>
            <w:t>11 投标报价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_Toc7391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4A7020D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_Toc7573 </w:instrText>
          </w:r>
          <w:r>
            <w:rPr>
              <w:rFonts w:hint="eastAsia" w:ascii="宋体" w:hAnsi="宋体" w:eastAsia="宋体" w:cs="宋体"/>
            </w:rPr>
            <w:fldChar w:fldCharType="separate"/>
          </w:r>
          <w:r>
            <w:rPr>
              <w:rFonts w:hint="eastAsia" w:ascii="宋体" w:hAnsi="宋体" w:eastAsia="宋体" w:cs="宋体"/>
              <w:szCs w:val="21"/>
              <w:highlight w:val="none"/>
              <w:lang w:val="zh-CN"/>
            </w:rPr>
            <w:t>12 投标报价货币</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_Toc7573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6EE6B9E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_Toc9955 </w:instrText>
          </w:r>
          <w:r>
            <w:rPr>
              <w:rFonts w:hint="eastAsia" w:ascii="宋体" w:hAnsi="宋体" w:eastAsia="宋体" w:cs="宋体"/>
            </w:rPr>
            <w:fldChar w:fldCharType="separate"/>
          </w:r>
          <w:r>
            <w:rPr>
              <w:rFonts w:hint="eastAsia" w:ascii="宋体" w:hAnsi="宋体" w:eastAsia="宋体" w:cs="宋体"/>
              <w:szCs w:val="21"/>
              <w:highlight w:val="none"/>
              <w:lang w:val="zh-CN"/>
            </w:rPr>
            <w:t>13 证明投标人的合格性和资格的声明文件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_Toc9955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2E0ABDD6">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_Toc7708 </w:instrText>
          </w:r>
          <w:r>
            <w:rPr>
              <w:rFonts w:hint="eastAsia" w:ascii="宋体" w:hAnsi="宋体" w:eastAsia="宋体" w:cs="宋体"/>
            </w:rPr>
            <w:fldChar w:fldCharType="separate"/>
          </w:r>
          <w:r>
            <w:rPr>
              <w:rFonts w:hint="eastAsia" w:ascii="宋体" w:hAnsi="宋体" w:eastAsia="宋体" w:cs="宋体"/>
              <w:szCs w:val="21"/>
              <w:highlight w:val="none"/>
              <w:lang w:val="zh-CN"/>
            </w:rPr>
            <w:t>14 证明服务的合格性并符合招标文件规定的声明文件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_Toc7708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14:paraId="531D18B3">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_Toc7860 </w:instrText>
          </w:r>
          <w:r>
            <w:rPr>
              <w:rFonts w:hint="eastAsia" w:ascii="宋体" w:hAnsi="宋体" w:eastAsia="宋体" w:cs="宋体"/>
            </w:rPr>
            <w:fldChar w:fldCharType="separate"/>
          </w:r>
          <w:r>
            <w:rPr>
              <w:rFonts w:hint="eastAsia" w:ascii="宋体" w:hAnsi="宋体" w:eastAsia="宋体" w:cs="宋体"/>
              <w:szCs w:val="21"/>
              <w:highlight w:val="none"/>
              <w:lang w:val="zh-CN"/>
            </w:rPr>
            <w:t>15 投标保证金</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_Toc7860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14:paraId="2A63E48D">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_Toc24580 </w:instrText>
          </w:r>
          <w:r>
            <w:rPr>
              <w:rFonts w:hint="eastAsia" w:ascii="宋体" w:hAnsi="宋体" w:eastAsia="宋体" w:cs="宋体"/>
            </w:rPr>
            <w:fldChar w:fldCharType="separate"/>
          </w:r>
          <w:r>
            <w:rPr>
              <w:rFonts w:hint="eastAsia" w:ascii="宋体" w:hAnsi="宋体" w:eastAsia="宋体" w:cs="宋体"/>
              <w:szCs w:val="21"/>
              <w:highlight w:val="none"/>
              <w:lang w:val="zh-CN"/>
            </w:rPr>
            <w:t>16 投标有效期</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_Toc24580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3E1C0A80">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_Toc16430 </w:instrText>
          </w:r>
          <w:r>
            <w:rPr>
              <w:rFonts w:hint="eastAsia" w:ascii="宋体" w:hAnsi="宋体" w:eastAsia="宋体" w:cs="宋体"/>
            </w:rPr>
            <w:fldChar w:fldCharType="separate"/>
          </w:r>
          <w:r>
            <w:rPr>
              <w:rFonts w:hint="eastAsia" w:ascii="宋体" w:hAnsi="宋体" w:eastAsia="宋体" w:cs="宋体"/>
              <w:szCs w:val="21"/>
              <w:highlight w:val="none"/>
              <w:lang w:val="zh-CN"/>
            </w:rPr>
            <w:t>17 投标文件的编制和签署</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_Toc16430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rPr>
            <w:fldChar w:fldCharType="end"/>
          </w:r>
        </w:p>
        <w:p w14:paraId="170802BE">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_Toc7829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四、投标</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_Toc7829 \h </w:instrText>
          </w:r>
          <w:r>
            <w:rPr>
              <w:rFonts w:hint="eastAsia" w:ascii="宋体" w:hAnsi="宋体" w:eastAsia="宋体" w:cs="宋体"/>
              <w:b/>
              <w:bCs/>
            </w:rPr>
            <w:fldChar w:fldCharType="separate"/>
          </w:r>
          <w:r>
            <w:rPr>
              <w:rFonts w:hint="eastAsia" w:ascii="宋体" w:hAnsi="宋体" w:eastAsia="宋体" w:cs="宋体"/>
              <w:b/>
              <w:bCs/>
            </w:rPr>
            <w:t>17</w:t>
          </w:r>
          <w:r>
            <w:rPr>
              <w:rFonts w:hint="eastAsia" w:ascii="宋体" w:hAnsi="宋体" w:eastAsia="宋体" w:cs="宋体"/>
              <w:b/>
              <w:bCs/>
            </w:rPr>
            <w:fldChar w:fldCharType="end"/>
          </w:r>
          <w:r>
            <w:rPr>
              <w:rFonts w:hint="eastAsia" w:ascii="宋体" w:hAnsi="宋体" w:eastAsia="宋体" w:cs="宋体"/>
              <w:b/>
              <w:bCs/>
            </w:rPr>
            <w:fldChar w:fldCharType="end"/>
          </w:r>
        </w:p>
        <w:p w14:paraId="65247D5D">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_Toc22475 </w:instrText>
          </w:r>
          <w:r>
            <w:rPr>
              <w:rFonts w:hint="eastAsia" w:ascii="宋体" w:hAnsi="宋体" w:eastAsia="宋体" w:cs="宋体"/>
            </w:rPr>
            <w:fldChar w:fldCharType="separate"/>
          </w:r>
          <w:r>
            <w:rPr>
              <w:rFonts w:hint="eastAsia" w:ascii="宋体" w:hAnsi="宋体" w:eastAsia="宋体" w:cs="宋体"/>
              <w:szCs w:val="21"/>
              <w:highlight w:val="none"/>
              <w:lang w:val="zh-CN"/>
            </w:rPr>
            <w:t>18 投标文件的加密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_Toc22475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14:paraId="4BD2B443">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_Toc32766 </w:instrText>
          </w:r>
          <w:r>
            <w:rPr>
              <w:rFonts w:hint="eastAsia" w:ascii="宋体" w:hAnsi="宋体" w:eastAsia="宋体" w:cs="宋体"/>
            </w:rPr>
            <w:fldChar w:fldCharType="separate"/>
          </w:r>
          <w:r>
            <w:rPr>
              <w:rFonts w:hint="eastAsia" w:ascii="宋体" w:hAnsi="宋体" w:eastAsia="宋体" w:cs="宋体"/>
              <w:szCs w:val="21"/>
              <w:highlight w:val="none"/>
              <w:lang w:val="zh-CN"/>
            </w:rPr>
            <w:t>19 投标文件的提交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_Toc32766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14:paraId="41674E3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_Toc10027 </w:instrText>
          </w:r>
          <w:r>
            <w:rPr>
              <w:rFonts w:hint="eastAsia" w:ascii="宋体" w:hAnsi="宋体" w:eastAsia="宋体" w:cs="宋体"/>
            </w:rPr>
            <w:fldChar w:fldCharType="separate"/>
          </w:r>
          <w:r>
            <w:rPr>
              <w:rFonts w:hint="eastAsia" w:ascii="宋体" w:hAnsi="宋体" w:eastAsia="宋体" w:cs="宋体"/>
              <w:szCs w:val="21"/>
              <w:highlight w:val="none"/>
              <w:lang w:val="zh-CN"/>
            </w:rPr>
            <w:t>20 投标会时间、地点及投标文件提交的截止时间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_Toc10027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14:paraId="7F469F53">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_Toc20231 </w:instrText>
          </w:r>
          <w:r>
            <w:rPr>
              <w:rFonts w:hint="eastAsia" w:ascii="宋体" w:hAnsi="宋体" w:eastAsia="宋体" w:cs="宋体"/>
            </w:rPr>
            <w:fldChar w:fldCharType="separate"/>
          </w:r>
          <w:r>
            <w:rPr>
              <w:rFonts w:hint="eastAsia" w:ascii="宋体" w:hAnsi="宋体" w:eastAsia="宋体" w:cs="宋体"/>
              <w:szCs w:val="21"/>
              <w:highlight w:val="none"/>
              <w:lang w:val="zh-CN"/>
            </w:rPr>
            <w:t>21 投标文件的拒绝</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_Toc20231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64FC6331">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_Toc1676 </w:instrText>
          </w:r>
          <w:r>
            <w:rPr>
              <w:rFonts w:hint="eastAsia" w:ascii="宋体" w:hAnsi="宋体" w:eastAsia="宋体" w:cs="宋体"/>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 xml:space="preserve">2 </w:t>
          </w:r>
          <w:r>
            <w:rPr>
              <w:rFonts w:hint="eastAsia" w:ascii="宋体" w:hAnsi="宋体" w:eastAsia="宋体" w:cs="宋体"/>
              <w:szCs w:val="21"/>
              <w:highlight w:val="none"/>
              <w:lang w:val="zh-CN"/>
            </w:rPr>
            <w:t>投标文件的补充、修改与撤回</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_Toc1676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487B9EE3">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_Toc29729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五、开标与评标</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_Toc29729 \h </w:instrText>
          </w:r>
          <w:r>
            <w:rPr>
              <w:rFonts w:hint="eastAsia" w:ascii="宋体" w:hAnsi="宋体" w:eastAsia="宋体" w:cs="宋体"/>
              <w:b/>
              <w:bCs/>
            </w:rPr>
            <w:fldChar w:fldCharType="separate"/>
          </w:r>
          <w:r>
            <w:rPr>
              <w:rFonts w:hint="eastAsia" w:ascii="宋体" w:hAnsi="宋体" w:eastAsia="宋体" w:cs="宋体"/>
              <w:b/>
              <w:bCs/>
            </w:rPr>
            <w:t>18</w:t>
          </w:r>
          <w:r>
            <w:rPr>
              <w:rFonts w:hint="eastAsia" w:ascii="宋体" w:hAnsi="宋体" w:eastAsia="宋体" w:cs="宋体"/>
              <w:b/>
              <w:bCs/>
            </w:rPr>
            <w:fldChar w:fldCharType="end"/>
          </w:r>
          <w:r>
            <w:rPr>
              <w:rFonts w:hint="eastAsia" w:ascii="宋体" w:hAnsi="宋体" w:eastAsia="宋体" w:cs="宋体"/>
              <w:b/>
              <w:bCs/>
            </w:rPr>
            <w:fldChar w:fldCharType="end"/>
          </w:r>
        </w:p>
        <w:p w14:paraId="7B92A5A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_Toc19111 </w:instrText>
          </w:r>
          <w:r>
            <w:rPr>
              <w:rFonts w:hint="eastAsia" w:ascii="宋体" w:hAnsi="宋体" w:eastAsia="宋体" w:cs="宋体"/>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 xml:space="preserve">3 </w:t>
          </w:r>
          <w:r>
            <w:rPr>
              <w:rFonts w:hint="eastAsia" w:ascii="宋体" w:hAnsi="宋体" w:eastAsia="宋体" w:cs="宋体"/>
              <w:szCs w:val="21"/>
              <w:highlight w:val="none"/>
              <w:lang w:val="zh-CN"/>
            </w:rPr>
            <w:t>开标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_Toc19111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14:paraId="3BE187B9">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_Toc5684 </w:instrText>
          </w:r>
          <w:r>
            <w:rPr>
              <w:rFonts w:hint="eastAsia" w:ascii="宋体" w:hAnsi="宋体" w:eastAsia="宋体" w:cs="宋体"/>
            </w:rPr>
            <w:fldChar w:fldCharType="separate"/>
          </w:r>
          <w:r>
            <w:rPr>
              <w:rFonts w:hint="eastAsia" w:ascii="宋体" w:hAnsi="宋体" w:eastAsia="宋体" w:cs="宋体"/>
              <w:szCs w:val="21"/>
              <w:highlight w:val="none"/>
            </w:rPr>
            <w:t>24</w:t>
          </w:r>
          <w:r>
            <w:rPr>
              <w:rFonts w:hint="eastAsia" w:ascii="宋体" w:hAnsi="宋体" w:eastAsia="宋体" w:cs="宋体"/>
              <w:szCs w:val="21"/>
              <w:highlight w:val="none"/>
              <w:lang w:val="zh-CN"/>
            </w:rPr>
            <w:t xml:space="preserve"> </w:t>
          </w:r>
          <w:r>
            <w:rPr>
              <w:rFonts w:hint="eastAsia" w:ascii="宋体" w:hAnsi="宋体" w:eastAsia="宋体" w:cs="宋体"/>
              <w:kern w:val="0"/>
              <w:szCs w:val="24"/>
              <w:highlight w:val="none"/>
            </w:rPr>
            <w:t>评标过程的保密性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_Toc5684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3ED2E232">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_Toc32615 </w:instrText>
          </w:r>
          <w:r>
            <w:rPr>
              <w:rFonts w:hint="eastAsia" w:ascii="宋体" w:hAnsi="宋体" w:eastAsia="宋体" w:cs="宋体"/>
            </w:rPr>
            <w:fldChar w:fldCharType="separate"/>
          </w:r>
          <w:r>
            <w:rPr>
              <w:rFonts w:hint="eastAsia" w:ascii="宋体" w:hAnsi="宋体" w:eastAsia="宋体" w:cs="宋体"/>
              <w:szCs w:val="21"/>
              <w:highlight w:val="none"/>
            </w:rPr>
            <w:t>25</w:t>
          </w:r>
          <w:r>
            <w:rPr>
              <w:rFonts w:hint="eastAsia" w:ascii="宋体" w:hAnsi="宋体" w:eastAsia="宋体" w:cs="宋体"/>
              <w:szCs w:val="21"/>
              <w:highlight w:val="none"/>
              <w:lang w:val="zh-CN"/>
            </w:rPr>
            <w:t xml:space="preserve"> 评标委员会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_Toc32615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6680B26A">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_Toc29870 </w:instrText>
          </w:r>
          <w:r>
            <w:rPr>
              <w:rFonts w:hint="eastAsia" w:ascii="宋体" w:hAnsi="宋体" w:eastAsia="宋体" w:cs="宋体"/>
            </w:rPr>
            <w:fldChar w:fldCharType="separate"/>
          </w:r>
          <w:r>
            <w:rPr>
              <w:rFonts w:hint="eastAsia" w:ascii="宋体" w:hAnsi="宋体" w:eastAsia="宋体" w:cs="宋体"/>
              <w:szCs w:val="21"/>
              <w:highlight w:val="none"/>
              <w:lang w:val="zh-CN"/>
            </w:rPr>
            <w:t>26</w:t>
          </w:r>
          <w:r>
            <w:rPr>
              <w:rFonts w:hint="eastAsia" w:ascii="宋体" w:hAnsi="宋体" w:eastAsia="宋体" w:cs="宋体"/>
              <w:szCs w:val="21"/>
              <w:highlight w:val="none"/>
            </w:rPr>
            <w:t xml:space="preserve"> </w:t>
          </w:r>
          <w:r>
            <w:rPr>
              <w:rFonts w:hint="eastAsia" w:ascii="宋体" w:hAnsi="宋体" w:eastAsia="宋体" w:cs="宋体"/>
              <w:szCs w:val="21"/>
              <w:highlight w:val="none"/>
              <w:lang w:val="zh-CN"/>
            </w:rPr>
            <w:t>投标文件的有效性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_Toc29870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rPr>
            <w:fldChar w:fldCharType="end"/>
          </w:r>
        </w:p>
        <w:p w14:paraId="2486444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_Toc22266 </w:instrText>
          </w:r>
          <w:r>
            <w:rPr>
              <w:rFonts w:hint="eastAsia" w:ascii="宋体" w:hAnsi="宋体" w:eastAsia="宋体" w:cs="宋体"/>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7</w:t>
          </w:r>
          <w:r>
            <w:rPr>
              <w:rFonts w:hint="eastAsia" w:ascii="宋体" w:hAnsi="宋体" w:eastAsia="宋体" w:cs="宋体"/>
              <w:szCs w:val="21"/>
              <w:highlight w:val="none"/>
              <w:lang w:val="zh-CN"/>
            </w:rPr>
            <w:t xml:space="preserve"> 投标文件的初审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_Toc22266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14:paraId="3C1A9E88">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_Toc14701 </w:instrText>
          </w:r>
          <w:r>
            <w:rPr>
              <w:rFonts w:hint="eastAsia" w:ascii="宋体" w:hAnsi="宋体" w:eastAsia="宋体" w:cs="宋体"/>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8</w:t>
          </w:r>
          <w:r>
            <w:rPr>
              <w:rFonts w:hint="eastAsia" w:ascii="宋体" w:hAnsi="宋体" w:eastAsia="宋体" w:cs="宋体"/>
              <w:szCs w:val="21"/>
              <w:highlight w:val="none"/>
              <w:lang w:val="zh-CN"/>
            </w:rPr>
            <w:t xml:space="preserve"> 投标文件的澄清</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_Toc14701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14:paraId="1C611A15">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_Toc6675 </w:instrText>
          </w:r>
          <w:r>
            <w:rPr>
              <w:rFonts w:hint="eastAsia" w:ascii="宋体" w:hAnsi="宋体" w:eastAsia="宋体" w:cs="宋体"/>
            </w:rPr>
            <w:fldChar w:fldCharType="separate"/>
          </w:r>
          <w:r>
            <w:rPr>
              <w:rFonts w:hint="eastAsia" w:ascii="宋体" w:hAnsi="宋体" w:eastAsia="宋体" w:cs="宋体"/>
              <w:szCs w:val="21"/>
              <w:highlight w:val="none"/>
              <w:lang w:val="zh-CN"/>
            </w:rPr>
            <w:t>2</w:t>
          </w:r>
          <w:r>
            <w:rPr>
              <w:rFonts w:hint="eastAsia" w:ascii="宋体" w:hAnsi="宋体" w:eastAsia="宋体" w:cs="宋体"/>
              <w:szCs w:val="21"/>
              <w:highlight w:val="none"/>
            </w:rPr>
            <w:t>9</w:t>
          </w:r>
          <w:r>
            <w:rPr>
              <w:rFonts w:hint="eastAsia" w:ascii="宋体" w:hAnsi="宋体" w:eastAsia="宋体" w:cs="宋体"/>
              <w:szCs w:val="21"/>
              <w:highlight w:val="none"/>
              <w:lang w:val="zh-CN"/>
            </w:rPr>
            <w:t xml:space="preserve"> 对投标文件的比较和评价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_Toc6675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14:paraId="2207077E">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_Toc16591 </w:instrText>
          </w:r>
          <w:r>
            <w:rPr>
              <w:rFonts w:hint="eastAsia" w:ascii="宋体" w:hAnsi="宋体" w:eastAsia="宋体" w:cs="宋体"/>
            </w:rPr>
            <w:fldChar w:fldCharType="separate"/>
          </w:r>
          <w:r>
            <w:rPr>
              <w:rFonts w:hint="eastAsia" w:ascii="宋体" w:hAnsi="宋体" w:eastAsia="宋体" w:cs="宋体"/>
              <w:szCs w:val="21"/>
              <w:highlight w:val="none"/>
            </w:rPr>
            <w:t>30</w:t>
          </w:r>
          <w:r>
            <w:rPr>
              <w:rFonts w:hint="eastAsia" w:ascii="宋体" w:hAnsi="宋体" w:eastAsia="宋体" w:cs="宋体"/>
              <w:szCs w:val="21"/>
              <w:highlight w:val="none"/>
              <w:lang w:val="zh-CN"/>
            </w:rPr>
            <w:t xml:space="preserve"> 评标原则及方法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_Toc16591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14:paraId="62A0CADC">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szCs w:val="21"/>
              <w:highlight w:val="none"/>
              <w:lang w:val="zh-CN"/>
            </w:rPr>
            <w:fldChar w:fldCharType="begin"/>
          </w:r>
          <w:r>
            <w:rPr>
              <w:rFonts w:hint="eastAsia" w:ascii="宋体" w:hAnsi="宋体" w:eastAsia="宋体" w:cs="宋体"/>
              <w:szCs w:val="21"/>
              <w:highlight w:val="none"/>
              <w:lang w:val="zh-CN"/>
            </w:rPr>
            <w:instrText xml:space="preserve"> HYPERLINK \l _Toc15343 </w:instrText>
          </w:r>
          <w:r>
            <w:rPr>
              <w:rFonts w:hint="eastAsia" w:ascii="宋体" w:hAnsi="宋体" w:eastAsia="宋体" w:cs="宋体"/>
              <w:szCs w:val="21"/>
              <w:highlight w:val="none"/>
              <w:lang w:val="zh-CN"/>
            </w:rPr>
            <w:fldChar w:fldCharType="separate"/>
          </w:r>
          <w:r>
            <w:rPr>
              <w:rFonts w:hint="eastAsia" w:ascii="宋体" w:hAnsi="宋体" w:eastAsia="宋体" w:cs="宋体"/>
              <w:szCs w:val="21"/>
              <w:highlight w:val="none"/>
              <w:lang w:val="zh-CN"/>
            </w:rPr>
            <w:t>31 评标结果公示及异议、投诉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_Toc15343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14:paraId="23312EF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szCs w:val="21"/>
              <w:highlight w:val="none"/>
              <w:lang w:val="zh-CN"/>
            </w:rPr>
            <w:fldChar w:fldCharType="begin"/>
          </w:r>
          <w:r>
            <w:rPr>
              <w:rFonts w:hint="eastAsia" w:ascii="宋体" w:hAnsi="宋体" w:eastAsia="宋体" w:cs="宋体"/>
              <w:szCs w:val="21"/>
              <w:highlight w:val="none"/>
              <w:lang w:val="zh-CN"/>
            </w:rPr>
            <w:instrText xml:space="preserve"> HYPERLINK \l _Toc30599 </w:instrText>
          </w:r>
          <w:r>
            <w:rPr>
              <w:rFonts w:hint="eastAsia" w:ascii="宋体" w:hAnsi="宋体" w:eastAsia="宋体" w:cs="宋体"/>
              <w:szCs w:val="21"/>
              <w:highlight w:val="none"/>
              <w:lang w:val="zh-CN"/>
            </w:rPr>
            <w:fldChar w:fldCharType="separate"/>
          </w:r>
          <w:r>
            <w:rPr>
              <w:rFonts w:hint="eastAsia" w:ascii="宋体" w:hAnsi="宋体" w:eastAsia="宋体" w:cs="宋体"/>
              <w:szCs w:val="21"/>
              <w:highlight w:val="none"/>
              <w:lang w:val="zh-CN"/>
            </w:rPr>
            <w:t>32 真实性审查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_Toc30599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14:paraId="4C81E6EF">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_Toc8903 </w:instrText>
          </w:r>
          <w:r>
            <w:rPr>
              <w:rFonts w:hint="eastAsia" w:ascii="宋体" w:hAnsi="宋体" w:eastAsia="宋体" w:cs="宋体"/>
            </w:rPr>
            <w:fldChar w:fldCharType="separate"/>
          </w:r>
          <w:r>
            <w:rPr>
              <w:rFonts w:hint="eastAsia" w:ascii="宋体" w:hAnsi="宋体" w:eastAsia="宋体" w:cs="宋体"/>
              <w:szCs w:val="21"/>
              <w:highlight w:val="none"/>
            </w:rPr>
            <w:t>33</w:t>
          </w:r>
          <w:r>
            <w:rPr>
              <w:rFonts w:hint="eastAsia" w:ascii="宋体" w:hAnsi="宋体" w:eastAsia="宋体" w:cs="宋体"/>
              <w:szCs w:val="21"/>
              <w:highlight w:val="none"/>
              <w:lang w:val="zh-CN"/>
            </w:rPr>
            <w:t xml:space="preserve"> 评标委员会和招标人接受或拒绝任何投标或所有投标的权利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_Toc8903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14:paraId="48B0CB05">
          <w:pPr>
            <w:pStyle w:val="31"/>
            <w:keepNext w:val="0"/>
            <w:keepLines w:val="0"/>
            <w:pageBreakBefore w:val="0"/>
            <w:widowControl w:val="0"/>
            <w:tabs>
              <w:tab w:val="right" w:leader="dot" w:pos="10154"/>
            </w:tabs>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_Toc32732 </w:instrText>
          </w:r>
          <w:r>
            <w:rPr>
              <w:rFonts w:hint="eastAsia" w:ascii="宋体" w:hAnsi="宋体" w:eastAsia="宋体" w:cs="宋体"/>
              <w:b/>
              <w:bCs/>
            </w:rPr>
            <w:fldChar w:fldCharType="separate"/>
          </w:r>
          <w:r>
            <w:rPr>
              <w:rFonts w:hint="eastAsia" w:ascii="宋体" w:hAnsi="宋体" w:eastAsia="宋体" w:cs="宋体"/>
              <w:b/>
              <w:bCs/>
              <w:kern w:val="44"/>
              <w:szCs w:val="21"/>
              <w:highlight w:val="none"/>
              <w:lang w:val="zh-CN"/>
            </w:rPr>
            <w:t>六、授予合同</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_Toc32732 \h </w:instrText>
          </w:r>
          <w:r>
            <w:rPr>
              <w:rFonts w:hint="eastAsia" w:ascii="宋体" w:hAnsi="宋体" w:eastAsia="宋体" w:cs="宋体"/>
              <w:b/>
              <w:bCs/>
            </w:rPr>
            <w:fldChar w:fldCharType="separate"/>
          </w:r>
          <w:r>
            <w:rPr>
              <w:rFonts w:hint="eastAsia" w:ascii="宋体" w:hAnsi="宋体" w:eastAsia="宋体" w:cs="宋体"/>
              <w:b/>
              <w:bCs/>
            </w:rPr>
            <w:t>22</w:t>
          </w:r>
          <w:r>
            <w:rPr>
              <w:rFonts w:hint="eastAsia" w:ascii="宋体" w:hAnsi="宋体" w:eastAsia="宋体" w:cs="宋体"/>
              <w:b/>
              <w:bCs/>
            </w:rPr>
            <w:fldChar w:fldCharType="end"/>
          </w:r>
          <w:r>
            <w:rPr>
              <w:rFonts w:hint="eastAsia" w:ascii="宋体" w:hAnsi="宋体" w:eastAsia="宋体" w:cs="宋体"/>
              <w:b/>
              <w:bCs/>
            </w:rPr>
            <w:fldChar w:fldCharType="end"/>
          </w:r>
        </w:p>
        <w:p w14:paraId="68FBCACB">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_Toc8531 </w:instrText>
          </w:r>
          <w:r>
            <w:rPr>
              <w:rFonts w:hint="eastAsia" w:ascii="宋体" w:hAnsi="宋体" w:eastAsia="宋体" w:cs="宋体"/>
            </w:rPr>
            <w:fldChar w:fldCharType="separate"/>
          </w:r>
          <w:r>
            <w:rPr>
              <w:rFonts w:hint="eastAsia" w:ascii="宋体" w:hAnsi="宋体" w:eastAsia="宋体" w:cs="宋体"/>
              <w:szCs w:val="21"/>
              <w:highlight w:val="none"/>
            </w:rPr>
            <w:t>34</w:t>
          </w:r>
          <w:r>
            <w:rPr>
              <w:rFonts w:hint="eastAsia" w:ascii="宋体" w:hAnsi="宋体" w:eastAsia="宋体" w:cs="宋体"/>
              <w:szCs w:val="21"/>
              <w:highlight w:val="none"/>
              <w:lang w:val="zh-CN"/>
            </w:rPr>
            <w:t xml:space="preserve"> 授予合同的准则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_Toc8531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14:paraId="5DDB2F3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_Toc21308 </w:instrText>
          </w:r>
          <w:r>
            <w:rPr>
              <w:rFonts w:hint="eastAsia" w:ascii="宋体" w:hAnsi="宋体" w:eastAsia="宋体" w:cs="宋体"/>
            </w:rPr>
            <w:fldChar w:fldCharType="separate"/>
          </w:r>
          <w:r>
            <w:rPr>
              <w:rFonts w:hint="eastAsia" w:ascii="宋体" w:hAnsi="宋体" w:eastAsia="宋体" w:cs="宋体"/>
              <w:szCs w:val="21"/>
              <w:highlight w:val="none"/>
            </w:rPr>
            <w:t>35</w:t>
          </w:r>
          <w:r>
            <w:rPr>
              <w:rFonts w:hint="eastAsia" w:ascii="宋体" w:hAnsi="宋体" w:eastAsia="宋体" w:cs="宋体"/>
              <w:szCs w:val="21"/>
              <w:highlight w:val="none"/>
              <w:lang w:val="zh-CN"/>
            </w:rPr>
            <w:t xml:space="preserve"> 中标通知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_Toc21308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14:paraId="3B480567">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_Toc31041 </w:instrText>
          </w:r>
          <w:r>
            <w:rPr>
              <w:rFonts w:hint="eastAsia" w:ascii="宋体" w:hAnsi="宋体" w:eastAsia="宋体" w:cs="宋体"/>
            </w:rPr>
            <w:fldChar w:fldCharType="separate"/>
          </w:r>
          <w:r>
            <w:rPr>
              <w:rFonts w:hint="eastAsia" w:ascii="宋体" w:hAnsi="宋体" w:eastAsia="宋体" w:cs="宋体"/>
              <w:szCs w:val="21"/>
              <w:highlight w:val="none"/>
            </w:rPr>
            <w:t>36</w:t>
          </w:r>
          <w:r>
            <w:rPr>
              <w:rFonts w:hint="eastAsia" w:ascii="宋体" w:hAnsi="宋体" w:eastAsia="宋体" w:cs="宋体"/>
              <w:szCs w:val="21"/>
              <w:highlight w:val="none"/>
              <w:lang w:val="zh-CN"/>
            </w:rPr>
            <w:t xml:space="preserve"> 签署合同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_Toc31041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rPr>
            <w:fldChar w:fldCharType="end"/>
          </w:r>
        </w:p>
        <w:p w14:paraId="19BB207E">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_Toc6114 </w:instrText>
          </w:r>
          <w:r>
            <w:rPr>
              <w:rFonts w:hint="eastAsia" w:ascii="宋体" w:hAnsi="宋体" w:eastAsia="宋体" w:cs="宋体"/>
            </w:rPr>
            <w:fldChar w:fldCharType="separate"/>
          </w:r>
          <w:r>
            <w:rPr>
              <w:rFonts w:hint="eastAsia" w:ascii="宋体" w:hAnsi="宋体" w:eastAsia="宋体" w:cs="宋体"/>
              <w:szCs w:val="21"/>
              <w:highlight w:val="none"/>
            </w:rPr>
            <w:t xml:space="preserve">37 </w:t>
          </w:r>
          <w:r>
            <w:rPr>
              <w:rFonts w:hint="eastAsia" w:ascii="宋体" w:hAnsi="宋体" w:eastAsia="宋体" w:cs="宋体"/>
              <w:szCs w:val="21"/>
              <w:highlight w:val="none"/>
              <w:lang w:val="zh-CN"/>
            </w:rPr>
            <w:t>履约担保</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_Toc6114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rPr>
            <w:fldChar w:fldCharType="end"/>
          </w:r>
        </w:p>
        <w:p w14:paraId="0573BBD4">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_Toc11309 </w:instrText>
          </w:r>
          <w:r>
            <w:rPr>
              <w:rFonts w:hint="eastAsia" w:ascii="宋体" w:hAnsi="宋体" w:eastAsia="宋体" w:cs="宋体"/>
            </w:rPr>
            <w:fldChar w:fldCharType="separate"/>
          </w:r>
          <w:r>
            <w:rPr>
              <w:rFonts w:hint="eastAsia" w:ascii="宋体" w:hAnsi="宋体" w:eastAsia="宋体" w:cs="宋体"/>
              <w:szCs w:val="21"/>
              <w:highlight w:val="none"/>
            </w:rPr>
            <w:t>38</w:t>
          </w:r>
          <w:r>
            <w:rPr>
              <w:rFonts w:hint="eastAsia" w:ascii="宋体" w:hAnsi="宋体" w:eastAsia="宋体" w:cs="宋体"/>
              <w:szCs w:val="21"/>
              <w:highlight w:val="none"/>
              <w:lang w:val="zh-CN"/>
            </w:rPr>
            <w:t xml:space="preserve"> 在合同履行中变更采购范围的权利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_Toc11309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69EE3BC8">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_Toc22944 </w:instrText>
          </w:r>
          <w:r>
            <w:rPr>
              <w:rFonts w:hint="eastAsia" w:ascii="宋体" w:hAnsi="宋体" w:eastAsia="宋体" w:cs="宋体"/>
            </w:rPr>
            <w:fldChar w:fldCharType="separate"/>
          </w:r>
          <w:r>
            <w:rPr>
              <w:rFonts w:hint="eastAsia" w:ascii="宋体" w:hAnsi="宋体" w:eastAsia="宋体" w:cs="宋体"/>
              <w:szCs w:val="21"/>
              <w:highlight w:val="none"/>
            </w:rPr>
            <w:t>39</w:t>
          </w:r>
          <w:r>
            <w:rPr>
              <w:rFonts w:hint="eastAsia" w:ascii="宋体" w:hAnsi="宋体" w:eastAsia="宋体" w:cs="宋体"/>
              <w:szCs w:val="21"/>
              <w:highlight w:val="none"/>
              <w:lang w:val="zh-CN"/>
            </w:rPr>
            <w:t xml:space="preserve"> 中标服务费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_Toc22944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0D7E8E60">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_Toc23317 </w:instrText>
          </w:r>
          <w:r>
            <w:rPr>
              <w:rFonts w:hint="eastAsia" w:ascii="宋体" w:hAnsi="宋体" w:eastAsia="宋体" w:cs="宋体"/>
            </w:rPr>
            <w:fldChar w:fldCharType="separate"/>
          </w:r>
          <w:r>
            <w:rPr>
              <w:rFonts w:hint="eastAsia" w:ascii="宋体" w:hAnsi="宋体" w:eastAsia="宋体" w:cs="宋体"/>
              <w:szCs w:val="21"/>
              <w:highlight w:val="none"/>
            </w:rPr>
            <w:t>40</w:t>
          </w:r>
          <w:r>
            <w:rPr>
              <w:rFonts w:hint="eastAsia" w:ascii="宋体" w:hAnsi="宋体" w:eastAsia="宋体" w:cs="宋体"/>
              <w:szCs w:val="21"/>
              <w:highlight w:val="none"/>
              <w:lang w:val="zh-CN"/>
            </w:rPr>
            <w:t xml:space="preserve"> 发票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_Toc23317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4C92C3BD">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_Toc5624 </w:instrText>
          </w:r>
          <w:r>
            <w:rPr>
              <w:rFonts w:hint="eastAsia" w:ascii="宋体" w:hAnsi="宋体" w:eastAsia="宋体" w:cs="宋体"/>
            </w:rPr>
            <w:fldChar w:fldCharType="separate"/>
          </w:r>
          <w:r>
            <w:rPr>
              <w:rFonts w:hint="eastAsia" w:ascii="宋体" w:hAnsi="宋体" w:eastAsia="宋体" w:cs="宋体"/>
              <w:szCs w:val="21"/>
              <w:highlight w:val="none"/>
            </w:rPr>
            <w:t>41 招标相关补充约定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_Toc5624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5BA0CE05">
          <w:pPr>
            <w:pStyle w:val="21"/>
            <w:keepNext w:val="0"/>
            <w:keepLines w:val="0"/>
            <w:pageBreakBefore w:val="0"/>
            <w:widowControl w:val="0"/>
            <w:tabs>
              <w:tab w:val="right" w:leader="dot" w:pos="10154"/>
              <w:tab w:val="clear" w:pos="1014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_Toc20859 </w:instrText>
          </w:r>
          <w:r>
            <w:rPr>
              <w:rFonts w:hint="eastAsia" w:ascii="宋体" w:hAnsi="宋体" w:eastAsia="宋体" w:cs="宋体"/>
            </w:rPr>
            <w:fldChar w:fldCharType="separate"/>
          </w:r>
          <w:r>
            <w:rPr>
              <w:rFonts w:hint="eastAsia" w:ascii="宋体" w:hAnsi="宋体" w:eastAsia="宋体" w:cs="宋体"/>
              <w:szCs w:val="21"/>
              <w:highlight w:val="none"/>
            </w:rPr>
            <w:t>4</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 xml:space="preserve"> 本次招标活动的最终解释权归招标代理机构及招标人所有。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_Toc20859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62EE9332">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_Toc7329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第三篇 用户需求书</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_Toc7329 \h </w:instrText>
          </w:r>
          <w:r>
            <w:rPr>
              <w:rFonts w:hint="eastAsia" w:ascii="宋体" w:hAnsi="宋体" w:eastAsia="宋体" w:cs="宋体"/>
              <w:b/>
              <w:bCs/>
            </w:rPr>
            <w:fldChar w:fldCharType="separate"/>
          </w:r>
          <w:r>
            <w:rPr>
              <w:rFonts w:hint="eastAsia" w:ascii="宋体" w:hAnsi="宋体" w:eastAsia="宋体" w:cs="宋体"/>
              <w:b/>
              <w:bCs/>
            </w:rPr>
            <w:t>26</w:t>
          </w:r>
          <w:r>
            <w:rPr>
              <w:rFonts w:hint="eastAsia" w:ascii="宋体" w:hAnsi="宋体" w:eastAsia="宋体" w:cs="宋体"/>
              <w:b/>
              <w:bCs/>
            </w:rPr>
            <w:fldChar w:fldCharType="end"/>
          </w:r>
          <w:r>
            <w:rPr>
              <w:rFonts w:hint="eastAsia" w:ascii="宋体" w:hAnsi="宋体" w:eastAsia="宋体" w:cs="宋体"/>
              <w:b/>
              <w:bCs/>
            </w:rPr>
            <w:fldChar w:fldCharType="end"/>
          </w:r>
        </w:p>
        <w:p w14:paraId="74201C8F">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_Toc15247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第四篇 合同条款格式</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_Toc15247 \h </w:instrText>
          </w:r>
          <w:r>
            <w:rPr>
              <w:rFonts w:hint="eastAsia" w:ascii="宋体" w:hAnsi="宋体" w:eastAsia="宋体" w:cs="宋体"/>
              <w:b/>
              <w:bCs/>
            </w:rPr>
            <w:fldChar w:fldCharType="separate"/>
          </w:r>
          <w:r>
            <w:rPr>
              <w:rFonts w:hint="eastAsia" w:ascii="宋体" w:hAnsi="宋体" w:eastAsia="宋体" w:cs="宋体"/>
              <w:b/>
              <w:bCs/>
            </w:rPr>
            <w:t>28</w:t>
          </w:r>
          <w:r>
            <w:rPr>
              <w:rFonts w:hint="eastAsia" w:ascii="宋体" w:hAnsi="宋体" w:eastAsia="宋体" w:cs="宋体"/>
              <w:b/>
              <w:bCs/>
            </w:rPr>
            <w:fldChar w:fldCharType="end"/>
          </w:r>
          <w:r>
            <w:rPr>
              <w:rFonts w:hint="eastAsia" w:ascii="宋体" w:hAnsi="宋体" w:eastAsia="宋体" w:cs="宋体"/>
              <w:b/>
              <w:bCs/>
            </w:rPr>
            <w:fldChar w:fldCharType="end"/>
          </w:r>
        </w:p>
        <w:p w14:paraId="2144ECE4">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_Toc12626 </w:instrText>
          </w:r>
          <w:r>
            <w:rPr>
              <w:rFonts w:hint="eastAsia" w:ascii="宋体" w:hAnsi="宋体" w:eastAsia="宋体" w:cs="宋体"/>
              <w:b/>
              <w:bCs/>
            </w:rPr>
            <w:fldChar w:fldCharType="separate"/>
          </w:r>
          <w:r>
            <w:rPr>
              <w:rFonts w:hint="eastAsia" w:ascii="宋体" w:hAnsi="宋体" w:eastAsia="宋体" w:cs="宋体"/>
              <w:b/>
              <w:bCs/>
              <w:szCs w:val="32"/>
              <w:highlight w:val="none"/>
              <w:lang w:val="zh-CN"/>
            </w:rPr>
            <w:t>第五篇 相关保函格式</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_Toc12626 \h </w:instrText>
          </w:r>
          <w:r>
            <w:rPr>
              <w:rFonts w:hint="eastAsia" w:ascii="宋体" w:hAnsi="宋体" w:eastAsia="宋体" w:cs="宋体"/>
              <w:b/>
              <w:bCs/>
            </w:rPr>
            <w:fldChar w:fldCharType="separate"/>
          </w:r>
          <w:r>
            <w:rPr>
              <w:rFonts w:hint="eastAsia" w:ascii="宋体" w:hAnsi="宋体" w:eastAsia="宋体" w:cs="宋体"/>
              <w:b/>
              <w:bCs/>
            </w:rPr>
            <w:t>46</w:t>
          </w:r>
          <w:r>
            <w:rPr>
              <w:rFonts w:hint="eastAsia" w:ascii="宋体" w:hAnsi="宋体" w:eastAsia="宋体" w:cs="宋体"/>
              <w:b/>
              <w:bCs/>
            </w:rPr>
            <w:fldChar w:fldCharType="end"/>
          </w:r>
          <w:r>
            <w:rPr>
              <w:rFonts w:hint="eastAsia" w:ascii="宋体" w:hAnsi="宋体" w:eastAsia="宋体" w:cs="宋体"/>
              <w:b/>
              <w:bCs/>
            </w:rPr>
            <w:fldChar w:fldCharType="end"/>
          </w:r>
        </w:p>
        <w:p w14:paraId="1C8FDA06">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fldChar w:fldCharType="begin"/>
          </w:r>
          <w:r>
            <w:rPr>
              <w:rFonts w:hint="eastAsia" w:ascii="宋体" w:hAnsi="宋体" w:eastAsia="宋体" w:cs="宋体"/>
              <w:b/>
              <w:bCs/>
            </w:rPr>
            <w:instrText xml:space="preserve"> HYPERLINK \l _Toc25246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第六篇 投标文件格式</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_Toc25246 \h </w:instrText>
          </w:r>
          <w:r>
            <w:rPr>
              <w:rFonts w:hint="eastAsia" w:ascii="宋体" w:hAnsi="宋体" w:eastAsia="宋体" w:cs="宋体"/>
              <w:b/>
              <w:bCs/>
            </w:rPr>
            <w:fldChar w:fldCharType="separate"/>
          </w:r>
          <w:r>
            <w:rPr>
              <w:rFonts w:hint="eastAsia" w:ascii="宋体" w:hAnsi="宋体" w:eastAsia="宋体" w:cs="宋体"/>
              <w:b/>
              <w:bCs/>
            </w:rPr>
            <w:t>49</w:t>
          </w:r>
          <w:r>
            <w:rPr>
              <w:rFonts w:hint="eastAsia" w:ascii="宋体" w:hAnsi="宋体" w:eastAsia="宋体" w:cs="宋体"/>
              <w:b/>
              <w:bCs/>
            </w:rPr>
            <w:fldChar w:fldCharType="end"/>
          </w:r>
          <w:r>
            <w:rPr>
              <w:rFonts w:hint="eastAsia" w:ascii="宋体" w:hAnsi="宋体" w:eastAsia="宋体" w:cs="宋体"/>
              <w:b/>
              <w:bCs/>
            </w:rPr>
            <w:fldChar w:fldCharType="end"/>
          </w:r>
        </w:p>
        <w:p w14:paraId="0E7AA961">
          <w:pPr>
            <w:pStyle w:val="28"/>
            <w:keepNext w:val="0"/>
            <w:keepLines w:val="0"/>
            <w:pageBreakBefore w:val="0"/>
            <w:widowControl w:val="0"/>
            <w:tabs>
              <w:tab w:val="right" w:leader="dot" w:pos="10154"/>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b/>
              <w:bCs/>
            </w:rPr>
            <w:fldChar w:fldCharType="begin"/>
          </w:r>
          <w:r>
            <w:rPr>
              <w:rFonts w:hint="eastAsia" w:ascii="宋体" w:hAnsi="宋体" w:eastAsia="宋体" w:cs="宋体"/>
              <w:b/>
              <w:bCs/>
            </w:rPr>
            <w:instrText xml:space="preserve"> HYPERLINK \l _Toc22667 </w:instrText>
          </w:r>
          <w:r>
            <w:rPr>
              <w:rFonts w:hint="eastAsia" w:ascii="宋体" w:hAnsi="宋体" w:eastAsia="宋体" w:cs="宋体"/>
              <w:b/>
              <w:bCs/>
            </w:rPr>
            <w:fldChar w:fldCharType="separate"/>
          </w:r>
          <w:r>
            <w:rPr>
              <w:rFonts w:hint="eastAsia" w:ascii="宋体" w:hAnsi="宋体" w:eastAsia="宋体" w:cs="宋体"/>
              <w:b/>
              <w:bCs/>
              <w:kern w:val="44"/>
              <w:szCs w:val="32"/>
              <w:highlight w:val="none"/>
              <w:lang w:val="zh-CN"/>
            </w:rPr>
            <w:t>附件一：评标工作大纲</w:t>
          </w:r>
          <w:r>
            <w:rPr>
              <w:rFonts w:hint="eastAsia" w:ascii="宋体" w:hAnsi="宋体" w:eastAsia="宋体" w:cs="宋体"/>
              <w:b/>
              <w:bCs/>
            </w:rPr>
            <w:tab/>
          </w:r>
          <w:r>
            <w:rPr>
              <w:rFonts w:hint="eastAsia" w:ascii="宋体" w:hAnsi="宋体" w:eastAsia="宋体" w:cs="宋体"/>
              <w:b/>
              <w:bCs/>
            </w:rPr>
            <w:fldChar w:fldCharType="begin"/>
          </w:r>
          <w:r>
            <w:rPr>
              <w:rFonts w:hint="eastAsia" w:ascii="宋体" w:hAnsi="宋体" w:eastAsia="宋体" w:cs="宋体"/>
              <w:b/>
              <w:bCs/>
            </w:rPr>
            <w:instrText xml:space="preserve"> PAGEREF _Toc22667 \h </w:instrText>
          </w:r>
          <w:r>
            <w:rPr>
              <w:rFonts w:hint="eastAsia" w:ascii="宋体" w:hAnsi="宋体" w:eastAsia="宋体" w:cs="宋体"/>
              <w:b/>
              <w:bCs/>
            </w:rPr>
            <w:fldChar w:fldCharType="separate"/>
          </w:r>
          <w:r>
            <w:rPr>
              <w:rFonts w:hint="eastAsia" w:ascii="宋体" w:hAnsi="宋体" w:eastAsia="宋体" w:cs="宋体"/>
              <w:b/>
              <w:bCs/>
            </w:rPr>
            <w:t>85</w:t>
          </w:r>
          <w:r>
            <w:rPr>
              <w:rFonts w:hint="eastAsia" w:ascii="宋体" w:hAnsi="宋体" w:eastAsia="宋体" w:cs="宋体"/>
              <w:b/>
              <w:bCs/>
            </w:rPr>
            <w:fldChar w:fldCharType="end"/>
          </w:r>
          <w:r>
            <w:rPr>
              <w:rFonts w:hint="eastAsia" w:ascii="宋体" w:hAnsi="宋体" w:eastAsia="宋体" w:cs="宋体"/>
              <w:b/>
              <w:bCs/>
            </w:rPr>
            <w:fldChar w:fldCharType="end"/>
          </w:r>
        </w:p>
        <w:p w14:paraId="6EFEE9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end"/>
          </w:r>
        </w:p>
      </w:sdtContent>
    </w:sdt>
    <w:p w14:paraId="3BD3C4AF">
      <w:pPr>
        <w:pageBreakBefore/>
        <w:tabs>
          <w:tab w:val="left" w:pos="1080"/>
        </w:tabs>
        <w:autoSpaceDE w:val="0"/>
        <w:autoSpaceDN w:val="0"/>
        <w:adjustRightInd w:val="0"/>
        <w:spacing w:line="360" w:lineRule="auto"/>
        <w:ind w:left="-167" w:leftChars="-100" w:hanging="43"/>
        <w:jc w:val="center"/>
        <w:outlineLvl w:val="0"/>
        <w:rPr>
          <w:rFonts w:hint="eastAsia" w:ascii="宋体" w:hAnsi="宋体" w:eastAsia="宋体" w:cs="宋体"/>
          <w:b/>
          <w:bCs/>
          <w:kern w:val="44"/>
          <w:sz w:val="32"/>
          <w:szCs w:val="32"/>
          <w:highlight w:val="none"/>
          <w:lang w:val="zh-CN"/>
        </w:rPr>
      </w:pPr>
      <w:bookmarkStart w:id="4" w:name="_Toc17326"/>
      <w:bookmarkStart w:id="5" w:name="_Toc450662846"/>
      <w:bookmarkStart w:id="6" w:name="_Toc2723_WPSOffice_Level1"/>
      <w:bookmarkStart w:id="7" w:name="_Toc486167660"/>
      <w:bookmarkStart w:id="8" w:name="_Toc20249"/>
      <w:bookmarkStart w:id="9" w:name="_Toc4869"/>
      <w:bookmarkStart w:id="10" w:name="_Toc11860"/>
      <w:bookmarkStart w:id="11" w:name="_Toc142508310"/>
      <w:r>
        <w:rPr>
          <w:rFonts w:hint="eastAsia" w:ascii="宋体" w:hAnsi="宋体" w:eastAsia="宋体" w:cs="宋体"/>
          <w:b/>
          <w:bCs/>
          <w:kern w:val="44"/>
          <w:sz w:val="32"/>
          <w:szCs w:val="32"/>
          <w:highlight w:val="none"/>
          <w:lang w:val="zh-CN"/>
        </w:rPr>
        <w:t>第一篇 招标公告</w:t>
      </w:r>
      <w:bookmarkEnd w:id="4"/>
      <w:bookmarkEnd w:id="5"/>
      <w:bookmarkEnd w:id="6"/>
      <w:bookmarkEnd w:id="7"/>
      <w:bookmarkEnd w:id="8"/>
      <w:bookmarkEnd w:id="9"/>
      <w:bookmarkEnd w:id="10"/>
      <w:bookmarkEnd w:id="11"/>
    </w:p>
    <w:p w14:paraId="7CD65067">
      <w:pPr>
        <w:autoSpaceDE w:val="0"/>
        <w:autoSpaceDN w:val="0"/>
        <w:adjustRightInd w:val="0"/>
        <w:snapToGrid w:val="0"/>
        <w:spacing w:line="360" w:lineRule="auto"/>
        <w:ind w:right="-34" w:firstLine="420" w:firstLineChars="200"/>
        <w:rPr>
          <w:rFonts w:hint="eastAsia" w:ascii="宋体" w:hAnsi="宋体" w:eastAsia="宋体" w:cs="宋体"/>
          <w:szCs w:val="21"/>
          <w:highlight w:val="none"/>
          <w:lang w:val="zh-CN"/>
        </w:rPr>
      </w:pPr>
      <w:r>
        <w:rPr>
          <w:rFonts w:hint="eastAsia" w:ascii="宋体" w:hAnsi="宋体" w:eastAsia="宋体" w:cs="宋体"/>
          <w:kern w:val="0"/>
          <w:szCs w:val="21"/>
          <w:highlight w:val="none"/>
        </w:rPr>
        <w:t>广东有德招标采购有限公司</w:t>
      </w:r>
      <w:r>
        <w:rPr>
          <w:rFonts w:hint="eastAsia" w:ascii="宋体" w:hAnsi="宋体" w:eastAsia="宋体" w:cs="宋体"/>
          <w:szCs w:val="21"/>
          <w:highlight w:val="none"/>
          <w:lang w:val="zh-CN"/>
        </w:rPr>
        <w:t>（以下简称“招标代理机构”）受</w:t>
      </w:r>
      <w:r>
        <w:rPr>
          <w:rFonts w:hint="eastAsia" w:ascii="宋体" w:hAnsi="宋体" w:eastAsia="宋体" w:cs="宋体"/>
          <w:kern w:val="0"/>
          <w:szCs w:val="21"/>
          <w:highlight w:val="none"/>
          <w:lang w:eastAsia="zh-CN"/>
        </w:rPr>
        <w:t>东莞市水务环境投资控股集团有限公司</w:t>
      </w:r>
      <w:r>
        <w:rPr>
          <w:rFonts w:hint="eastAsia" w:ascii="宋体" w:hAnsi="宋体" w:eastAsia="宋体" w:cs="宋体"/>
          <w:szCs w:val="21"/>
          <w:highlight w:val="none"/>
          <w:lang w:val="zh-CN"/>
        </w:rPr>
        <w:t>（以下简称“招标人”）的委托，对</w:t>
      </w:r>
      <w:bookmarkStart w:id="12" w:name="_Hlk41903390"/>
      <w:r>
        <w:rPr>
          <w:rFonts w:hint="eastAsia" w:ascii="宋体" w:hAnsi="宋体" w:eastAsia="宋体" w:cs="宋体"/>
          <w:kern w:val="0"/>
          <w:szCs w:val="21"/>
          <w:highlight w:val="none"/>
          <w:lang w:eastAsia="zh-CN"/>
        </w:rPr>
        <w:t>东莞市水务环境投资控股集团有限公司注册发行60亿元公司债承销商采购项目（重新招标）</w:t>
      </w:r>
      <w:r>
        <w:rPr>
          <w:rFonts w:hint="eastAsia" w:ascii="宋体" w:hAnsi="宋体" w:eastAsia="宋体" w:cs="宋体"/>
          <w:szCs w:val="21"/>
          <w:highlight w:val="none"/>
          <w:lang w:val="zh-CN"/>
        </w:rPr>
        <w:t>(招标编号：SSSSSZ12501633_1)</w:t>
      </w:r>
      <w:bookmarkEnd w:id="12"/>
      <w:r>
        <w:rPr>
          <w:rFonts w:hint="eastAsia" w:ascii="宋体" w:hAnsi="宋体" w:eastAsia="宋体" w:cs="宋体"/>
          <w:szCs w:val="21"/>
          <w:highlight w:val="none"/>
          <w:lang w:val="zh-CN"/>
        </w:rPr>
        <w:t>进行国内公开招标，</w:t>
      </w:r>
      <w:r>
        <w:rPr>
          <w:rFonts w:hint="eastAsia" w:ascii="宋体" w:hAnsi="宋体" w:eastAsia="宋体" w:cs="宋体"/>
          <w:bCs/>
          <w:kern w:val="0"/>
          <w:szCs w:val="21"/>
          <w:highlight w:val="none"/>
        </w:rPr>
        <w:t>详情请参见本招标文件。</w:t>
      </w:r>
      <w:r>
        <w:rPr>
          <w:rFonts w:hint="eastAsia" w:ascii="宋体" w:hAnsi="宋体" w:eastAsia="宋体" w:cs="宋体"/>
          <w:kern w:val="0"/>
          <w:szCs w:val="21"/>
          <w:highlight w:val="none"/>
        </w:rPr>
        <w:t>欢迎符合条件的合格投标人参加投标，</w:t>
      </w:r>
      <w:r>
        <w:rPr>
          <w:rFonts w:hint="eastAsia" w:ascii="宋体" w:hAnsi="宋体" w:eastAsia="宋体" w:cs="宋体"/>
          <w:bCs/>
          <w:kern w:val="0"/>
          <w:szCs w:val="21"/>
          <w:highlight w:val="none"/>
        </w:rPr>
        <w:t>有关事项如下：</w:t>
      </w:r>
    </w:p>
    <w:p w14:paraId="47ABB7F8">
      <w:pPr>
        <w:autoSpaceDE w:val="0"/>
        <w:autoSpaceDN w:val="0"/>
        <w:adjustRightInd w:val="0"/>
        <w:spacing w:line="360" w:lineRule="auto"/>
        <w:ind w:right="-29" w:rightChars="-14" w:firstLine="420" w:firstLineChars="200"/>
        <w:rPr>
          <w:rFonts w:hint="eastAsia" w:ascii="宋体" w:hAnsi="宋体" w:eastAsia="宋体" w:cs="宋体"/>
          <w:szCs w:val="21"/>
          <w:highlight w:val="none"/>
          <w:lang w:val="zh-CN"/>
        </w:rPr>
      </w:pPr>
    </w:p>
    <w:p w14:paraId="27CF97A5">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招标范围：（具体内容详见：第三篇用户需求书）。</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3678"/>
        <w:gridCol w:w="2742"/>
        <w:gridCol w:w="3212"/>
      </w:tblGrid>
      <w:tr w14:paraId="36B1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5" w:type="pct"/>
            <w:noWrap w:val="0"/>
            <w:vAlign w:val="center"/>
          </w:tcPr>
          <w:p w14:paraId="3B63631A">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773" w:type="pct"/>
            <w:noWrap w:val="0"/>
            <w:vAlign w:val="center"/>
          </w:tcPr>
          <w:p w14:paraId="6BF5CF1F">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1322" w:type="pct"/>
            <w:noWrap w:val="0"/>
            <w:vAlign w:val="center"/>
          </w:tcPr>
          <w:p w14:paraId="35B16BC1">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最高承销费率（%/年）</w:t>
            </w:r>
          </w:p>
        </w:tc>
        <w:tc>
          <w:tcPr>
            <w:tcW w:w="1548" w:type="pct"/>
            <w:noWrap w:val="0"/>
            <w:vAlign w:val="center"/>
          </w:tcPr>
          <w:p w14:paraId="7E9326F8">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服务期限</w:t>
            </w:r>
          </w:p>
        </w:tc>
      </w:tr>
      <w:tr w14:paraId="68DC2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355" w:type="pct"/>
            <w:noWrap w:val="0"/>
            <w:vAlign w:val="center"/>
          </w:tcPr>
          <w:p w14:paraId="5A05DB24">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773" w:type="pct"/>
            <w:noWrap w:val="0"/>
            <w:vAlign w:val="center"/>
          </w:tcPr>
          <w:p w14:paraId="3B7675F1">
            <w:pPr>
              <w:spacing w:line="360" w:lineRule="auto"/>
              <w:jc w:val="center"/>
              <w:rPr>
                <w:rFonts w:hint="eastAsia" w:ascii="宋体" w:hAnsi="宋体" w:eastAsia="宋体" w:cs="宋体"/>
                <w:sz w:val="21"/>
                <w:szCs w:val="21"/>
              </w:rPr>
            </w:pPr>
            <w:r>
              <w:rPr>
                <w:rFonts w:hint="eastAsia" w:ascii="宋体" w:hAnsi="宋体" w:eastAsia="宋体" w:cs="Times New Roman"/>
                <w:kern w:val="0"/>
                <w:szCs w:val="21"/>
                <w:highlight w:val="none"/>
                <w:lang w:eastAsia="zh-CN"/>
              </w:rPr>
              <w:t>东莞市水务环境投资控股集团有限公司注册发行60亿元公司债承销商采购项目（重新招标）</w:t>
            </w:r>
          </w:p>
        </w:tc>
        <w:tc>
          <w:tcPr>
            <w:tcW w:w="1322" w:type="pct"/>
            <w:noWrap w:val="0"/>
            <w:vAlign w:val="center"/>
          </w:tcPr>
          <w:p w14:paraId="3E2AE3F2">
            <w:pPr>
              <w:spacing w:line="360" w:lineRule="auto"/>
              <w:jc w:val="center"/>
              <w:rPr>
                <w:rFonts w:hint="eastAsia" w:ascii="宋体" w:hAnsi="宋体" w:eastAsia="宋体" w:cs="宋体"/>
                <w:sz w:val="21"/>
                <w:szCs w:val="21"/>
              </w:rPr>
            </w:pPr>
            <w:r>
              <w:rPr>
                <w:rFonts w:hint="eastAsia" w:ascii="宋体" w:hAnsi="宋体" w:eastAsia="宋体" w:cs="宋体"/>
                <w:sz w:val="21"/>
                <w:szCs w:val="21"/>
              </w:rPr>
              <w:t>0.09%/年</w:t>
            </w:r>
          </w:p>
        </w:tc>
        <w:tc>
          <w:tcPr>
            <w:tcW w:w="1548" w:type="pct"/>
            <w:noWrap w:val="0"/>
            <w:vAlign w:val="center"/>
          </w:tcPr>
          <w:p w14:paraId="00F3F68F">
            <w:pPr>
              <w:pStyle w:val="129"/>
              <w:snapToGrid w:val="0"/>
              <w:spacing w:line="360" w:lineRule="auto"/>
              <w:ind w:firstLine="0" w:firstLineChars="0"/>
              <w:jc w:val="center"/>
              <w:rPr>
                <w:rFonts w:hint="eastAsia" w:ascii="宋体" w:hAnsi="宋体" w:eastAsia="宋体" w:cs="宋体"/>
                <w:szCs w:val="21"/>
              </w:rPr>
            </w:pPr>
            <w:r>
              <w:rPr>
                <w:rFonts w:hint="eastAsia" w:ascii="宋体" w:hAnsi="宋体" w:eastAsia="宋体" w:cs="宋体"/>
                <w:szCs w:val="21"/>
              </w:rPr>
              <w:t>自签订服务合同之日起至本项目工作全部完成止。</w:t>
            </w:r>
          </w:p>
        </w:tc>
      </w:tr>
    </w:tbl>
    <w:p w14:paraId="66EBB5C4">
      <w:pPr>
        <w:autoSpaceDE w:val="0"/>
        <w:autoSpaceDN w:val="0"/>
        <w:adjustRightInd w:val="0"/>
        <w:spacing w:line="360" w:lineRule="auto"/>
        <w:ind w:right="-29" w:rightChars="-14"/>
        <w:rPr>
          <w:rFonts w:hint="eastAsia" w:ascii="宋体" w:hAnsi="宋体" w:eastAsia="宋体" w:cs="宋体"/>
          <w:szCs w:val="21"/>
          <w:highlight w:val="none"/>
          <w:lang w:val="zh-CN"/>
        </w:rPr>
      </w:pPr>
    </w:p>
    <w:p w14:paraId="06EA0C0C">
      <w:pPr>
        <w:numPr>
          <w:ilvl w:val="0"/>
          <w:numId w:val="1"/>
        </w:numPr>
        <w:autoSpaceDE w:val="0"/>
        <w:autoSpaceDN w:val="0"/>
        <w:adjustRightInd w:val="0"/>
        <w:snapToGrid w:val="0"/>
        <w:spacing w:line="360" w:lineRule="auto"/>
        <w:ind w:right="-34"/>
        <w:jc w:val="left"/>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合格投标人资格要求：</w:t>
      </w:r>
    </w:p>
    <w:p w14:paraId="04B5EE88">
      <w:pPr>
        <w:pStyle w:val="159"/>
        <w:spacing w:line="360" w:lineRule="auto"/>
        <w:ind w:left="422" w:right="-29" w:rightChars="-14" w:hanging="422" w:hangingChars="200"/>
        <w:jc w:val="both"/>
        <w:rPr>
          <w:rFonts w:hint="eastAsia" w:ascii="宋体" w:hAnsi="宋体" w:eastAsia="宋体" w:cs="宋体"/>
          <w:b/>
          <w:sz w:val="21"/>
          <w:szCs w:val="21"/>
          <w:highlight w:val="none"/>
          <w:lang w:val="zh-CN"/>
        </w:rPr>
      </w:pPr>
      <w:r>
        <w:rPr>
          <w:rFonts w:hint="eastAsia" w:ascii="宋体" w:hAnsi="宋体" w:eastAsia="宋体" w:cs="宋体"/>
          <w:b/>
          <w:sz w:val="21"/>
          <w:szCs w:val="21"/>
          <w:highlight w:val="none"/>
          <w:lang w:val="zh-CN"/>
        </w:rPr>
        <w:t xml:space="preserve">2.1 </w:t>
      </w:r>
      <w:r>
        <w:rPr>
          <w:rFonts w:hint="eastAsia" w:hAnsi="宋体" w:eastAsia="宋体"/>
          <w:b/>
          <w:sz w:val="21"/>
          <w:szCs w:val="21"/>
          <w:highlight w:val="none"/>
          <w:lang w:val="zh-CN"/>
        </w:rPr>
        <w:t>在中华人民共和国境内登记注册的具有独立承担民事责任能力的证券公司或其分支机构（分支机构投标的，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r>
        <w:rPr>
          <w:rFonts w:hint="eastAsia" w:ascii="宋体" w:hAnsi="宋体" w:eastAsia="宋体" w:cs="宋体"/>
          <w:b/>
          <w:sz w:val="21"/>
          <w:szCs w:val="21"/>
          <w:highlight w:val="none"/>
          <w:lang w:val="zh-CN"/>
        </w:rPr>
        <w:t>；</w:t>
      </w:r>
    </w:p>
    <w:p w14:paraId="0A8614D7">
      <w:pPr>
        <w:pStyle w:val="159"/>
        <w:spacing w:line="360" w:lineRule="auto"/>
        <w:ind w:left="422" w:right="-29" w:rightChars="-14" w:hanging="422" w:hangingChars="200"/>
        <w:jc w:val="both"/>
        <w:rPr>
          <w:rFonts w:hint="eastAsia" w:ascii="宋体" w:hAnsi="宋体" w:eastAsia="宋体" w:cs="宋体"/>
          <w:b/>
          <w:sz w:val="21"/>
          <w:szCs w:val="21"/>
          <w:highlight w:val="none"/>
          <w:lang w:val="en-US" w:eastAsia="zh-CN"/>
        </w:rPr>
      </w:pPr>
      <w:bookmarkStart w:id="13" w:name="_Toc25819"/>
      <w:r>
        <w:rPr>
          <w:rFonts w:hint="eastAsia" w:ascii="宋体" w:hAnsi="宋体" w:eastAsia="宋体" w:cs="宋体"/>
          <w:b/>
          <w:sz w:val="21"/>
          <w:szCs w:val="21"/>
          <w:highlight w:val="none"/>
          <w:lang w:val="zh-CN"/>
        </w:rPr>
        <w:t xml:space="preserve">2.2 </w:t>
      </w:r>
      <w:r>
        <w:rPr>
          <w:rFonts w:hint="eastAsia" w:hAnsi="宋体" w:eastAsia="宋体"/>
          <w:b/>
          <w:sz w:val="21"/>
          <w:szCs w:val="21"/>
          <w:highlight w:val="none"/>
          <w:lang w:val="zh-CN"/>
        </w:rPr>
        <w:t>投标人或其上级法人（分支机构投标时其所属的证券公司法人）具备公司债主承销商及服务资质（须提供《经营证券期货业务许可证》扫描件）</w:t>
      </w:r>
      <w:r>
        <w:rPr>
          <w:rFonts w:hint="eastAsia" w:ascii="宋体" w:hAnsi="宋体" w:eastAsia="宋体" w:cs="宋体"/>
          <w:b/>
          <w:sz w:val="21"/>
          <w:szCs w:val="21"/>
          <w:highlight w:val="none"/>
          <w:lang w:val="zh-CN"/>
        </w:rPr>
        <w:t>；</w:t>
      </w:r>
    </w:p>
    <w:p w14:paraId="3954E79B">
      <w:pPr>
        <w:pStyle w:val="159"/>
        <w:spacing w:line="360" w:lineRule="auto"/>
        <w:ind w:left="422" w:leftChars="0" w:right="-29" w:rightChars="-14" w:hanging="422" w:hangingChars="200"/>
        <w:jc w:val="both"/>
        <w:rPr>
          <w:rFonts w:hint="eastAsia" w:hAnsi="宋体" w:eastAsia="宋体"/>
          <w:b/>
          <w:sz w:val="21"/>
          <w:szCs w:val="21"/>
          <w:highlight w:val="none"/>
          <w:lang w:val="zh-CN"/>
        </w:rPr>
      </w:pPr>
      <w:r>
        <w:rPr>
          <w:rFonts w:hint="eastAsia" w:ascii="宋体" w:hAnsi="宋体" w:eastAsia="宋体" w:cs="宋体"/>
          <w:b/>
          <w:sz w:val="21"/>
          <w:szCs w:val="21"/>
          <w:highlight w:val="none"/>
          <w:lang w:val="en-US" w:eastAsia="zh-CN"/>
        </w:rPr>
        <w:t xml:space="preserve">2.3 </w:t>
      </w:r>
      <w:r>
        <w:rPr>
          <w:rFonts w:hint="eastAsia" w:hAnsi="宋体" w:eastAsia="宋体"/>
          <w:b/>
          <w:sz w:val="21"/>
          <w:szCs w:val="21"/>
          <w:highlight w:val="none"/>
          <w:lang w:val="zh-CN"/>
        </w:rPr>
        <w:t>投标人目前未被监管机构暂停承销公司债业务，以及没有未结案的因公司债发行业务或其他业务被监管机构立案调查事项，投标人应提供书面声明承诺不存在上述事项；如招标人在投标人中标后发现存在上述事项，有权取消其中标资格；</w:t>
      </w:r>
    </w:p>
    <w:p w14:paraId="2C97D2CE">
      <w:pPr>
        <w:pStyle w:val="159"/>
        <w:spacing w:line="360" w:lineRule="auto"/>
        <w:ind w:left="422" w:right="-29" w:rightChars="-14" w:hanging="422" w:hangingChars="200"/>
        <w:jc w:val="both"/>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2.4 投标人2022年1月1日以来具有一份担任主承销商发行企业3年期公司债的业绩（合同签订日期为2022年1月1日或以后）</w:t>
      </w:r>
    </w:p>
    <w:p w14:paraId="526CC2AF">
      <w:pPr>
        <w:pStyle w:val="159"/>
        <w:spacing w:line="360" w:lineRule="auto"/>
        <w:ind w:right="-29" w:rightChars="-14" w:firstLine="0" w:firstLineChars="0"/>
        <w:jc w:val="both"/>
        <w:rPr>
          <w:rFonts w:hint="eastAsia" w:ascii="宋体" w:hAnsi="宋体" w:eastAsia="宋体" w:cs="宋体"/>
          <w:b/>
          <w:sz w:val="21"/>
          <w:szCs w:val="21"/>
          <w:highlight w:val="none"/>
          <w:lang w:val="zh-CN"/>
        </w:rPr>
      </w:pPr>
      <w:r>
        <w:rPr>
          <w:rFonts w:hint="eastAsia" w:hAnsi="宋体" w:eastAsia="宋体" w:cs="宋体"/>
          <w:b/>
          <w:sz w:val="21"/>
          <w:szCs w:val="21"/>
          <w:highlight w:val="none"/>
          <w:lang w:val="en-US" w:eastAsia="zh-CN"/>
        </w:rPr>
        <w:t xml:space="preserve">2.5 </w:t>
      </w:r>
      <w:r>
        <w:rPr>
          <w:rFonts w:hint="eastAsia" w:ascii="宋体" w:hAnsi="宋体" w:eastAsia="宋体" w:cs="宋体"/>
          <w:b/>
          <w:sz w:val="21"/>
          <w:szCs w:val="21"/>
          <w:highlight w:val="none"/>
          <w:lang w:val="zh-CN"/>
        </w:rPr>
        <w:t>本项目不接受联合体投标</w:t>
      </w:r>
      <w:bookmarkEnd w:id="13"/>
      <w:r>
        <w:rPr>
          <w:rFonts w:hint="eastAsia" w:ascii="宋体" w:hAnsi="宋体" w:eastAsia="宋体" w:cs="宋体"/>
          <w:b/>
          <w:sz w:val="21"/>
          <w:szCs w:val="21"/>
          <w:highlight w:val="none"/>
          <w:lang w:val="zh-CN"/>
        </w:rPr>
        <w:t>；</w:t>
      </w:r>
    </w:p>
    <w:p w14:paraId="425D6C3D">
      <w:pPr>
        <w:pStyle w:val="159"/>
        <w:spacing w:line="360" w:lineRule="auto"/>
        <w:ind w:right="-29" w:rightChars="-14" w:firstLine="0" w:firstLineChars="0"/>
        <w:jc w:val="both"/>
        <w:rPr>
          <w:rFonts w:hint="eastAsia" w:ascii="宋体" w:hAnsi="宋体" w:eastAsia="宋体" w:cs="宋体"/>
          <w:b/>
          <w:color w:val="auto"/>
          <w:sz w:val="21"/>
          <w:szCs w:val="21"/>
          <w:highlight w:val="none"/>
          <w:lang w:val="zh-CN"/>
        </w:rPr>
      </w:pPr>
      <w:r>
        <w:rPr>
          <w:rFonts w:hint="eastAsia" w:ascii="宋体" w:hAnsi="宋体" w:eastAsia="宋体" w:cs="宋体"/>
          <w:b/>
          <w:sz w:val="21"/>
          <w:szCs w:val="21"/>
          <w:highlight w:val="none"/>
          <w:lang w:val="en-US" w:eastAsia="zh-CN"/>
        </w:rPr>
        <w:t>2.</w:t>
      </w:r>
      <w:r>
        <w:rPr>
          <w:rFonts w:hint="eastAsia" w:hAnsi="宋体" w:eastAsia="宋体" w:cs="宋体"/>
          <w:b/>
          <w:sz w:val="21"/>
          <w:szCs w:val="21"/>
          <w:highlight w:val="none"/>
          <w:lang w:val="en-US" w:eastAsia="zh-CN"/>
        </w:rPr>
        <w:t>6</w:t>
      </w:r>
      <w:r>
        <w:rPr>
          <w:rFonts w:hint="eastAsia" w:ascii="宋体" w:hAnsi="宋体" w:eastAsia="宋体" w:cs="宋体"/>
          <w:b/>
          <w:sz w:val="21"/>
          <w:szCs w:val="21"/>
          <w:highlight w:val="none"/>
          <w:lang w:val="en-US" w:eastAsia="zh-CN"/>
        </w:rPr>
        <w:t xml:space="preserve"> </w:t>
      </w:r>
      <w:r>
        <w:rPr>
          <w:rFonts w:hint="eastAsia" w:ascii="宋体" w:hAnsi="宋体" w:eastAsia="宋体" w:cs="宋体"/>
          <w:b/>
          <w:color w:val="auto"/>
          <w:sz w:val="21"/>
          <w:szCs w:val="21"/>
          <w:highlight w:val="none"/>
          <w:lang w:val="zh-CN"/>
        </w:rPr>
        <w:t>其他要求：</w:t>
      </w:r>
    </w:p>
    <w:p w14:paraId="6E2B17F3">
      <w:pPr>
        <w:pStyle w:val="159"/>
        <w:keepNext w:val="0"/>
        <w:keepLines w:val="0"/>
        <w:pageBreakBefore w:val="0"/>
        <w:kinsoku/>
        <w:overflowPunct/>
        <w:topLinePunct w:val="0"/>
        <w:autoSpaceDE/>
        <w:autoSpaceDN/>
        <w:bidi w:val="0"/>
        <w:spacing w:line="360" w:lineRule="auto"/>
        <w:ind w:left="420" w:leftChars="200" w:firstLine="0" w:firstLineChars="0"/>
        <w:jc w:val="both"/>
        <w:outlineLvl w:val="1"/>
        <w:rPr>
          <w:rFonts w:hint="eastAsia" w:ascii="宋体" w:hAnsi="宋体" w:eastAsia="宋体" w:cs="宋体"/>
          <w:b/>
          <w:color w:val="auto"/>
          <w:sz w:val="21"/>
          <w:szCs w:val="21"/>
          <w:highlight w:val="none"/>
          <w:lang w:val="zh-CN"/>
        </w:rPr>
      </w:pPr>
      <w:bookmarkStart w:id="14" w:name="_Toc19234"/>
      <w:bookmarkStart w:id="15" w:name="_Toc26562"/>
      <w:r>
        <w:rPr>
          <w:rFonts w:hint="eastAsia" w:ascii="宋体" w:hAnsi="宋体" w:eastAsia="宋体" w:cs="宋体"/>
          <w:b/>
          <w:color w:val="auto"/>
          <w:sz w:val="21"/>
          <w:szCs w:val="21"/>
          <w:highlight w:val="none"/>
          <w:lang w:val="zh-CN"/>
        </w:rPr>
        <w:t>（1）投标人应在东莞市公共资源交易企业库建档；</w:t>
      </w:r>
      <w:bookmarkEnd w:id="14"/>
      <w:bookmarkEnd w:id="15"/>
    </w:p>
    <w:p w14:paraId="53EE56B9">
      <w:pPr>
        <w:pStyle w:val="159"/>
        <w:keepNext w:val="0"/>
        <w:keepLines w:val="0"/>
        <w:pageBreakBefore w:val="0"/>
        <w:kinsoku/>
        <w:overflowPunct/>
        <w:topLinePunct w:val="0"/>
        <w:autoSpaceDE/>
        <w:autoSpaceDN/>
        <w:bidi w:val="0"/>
        <w:spacing w:line="360" w:lineRule="auto"/>
        <w:ind w:left="420" w:leftChars="200" w:firstLine="0" w:firstLineChars="0"/>
        <w:jc w:val="both"/>
        <w:rPr>
          <w:rFonts w:hint="eastAsia" w:ascii="宋体" w:hAnsi="宋体" w:eastAsia="宋体" w:cs="宋体"/>
          <w:b/>
          <w:color w:val="auto"/>
          <w:sz w:val="21"/>
          <w:szCs w:val="21"/>
          <w:highlight w:val="none"/>
          <w:lang w:val="zh-CN"/>
        </w:rPr>
      </w:pPr>
      <w:r>
        <w:rPr>
          <w:rFonts w:hint="eastAsia" w:ascii="宋体" w:hAnsi="宋体" w:eastAsia="宋体" w:cs="宋体"/>
          <w:b/>
          <w:color w:val="auto"/>
          <w:sz w:val="21"/>
          <w:szCs w:val="21"/>
          <w:highlight w:val="none"/>
          <w:lang w:val="zh-CN"/>
        </w:rPr>
        <w:t>（2）在招标文件规定的东莞市公共资源交易E网通管理平台建设工程交易系统（以下简称交易系统）信息数据采集时间前，投标人已在东莞市公共资源交易企业库建档，且法人、法定代表人名称或企业、人员资质证书等与本次招标项目密切相关的信息发生变更时已办结该变更的登记手续，投标人应登录交易系统核实企业填报数据真实有效。</w:t>
      </w:r>
    </w:p>
    <w:p w14:paraId="25B03DDA">
      <w:pPr>
        <w:autoSpaceDE w:val="0"/>
        <w:autoSpaceDN w:val="0"/>
        <w:adjustRightInd w:val="0"/>
        <w:spacing w:line="360" w:lineRule="auto"/>
        <w:ind w:right="-29" w:rightChars="-14" w:firstLine="420" w:firstLineChars="200"/>
        <w:rPr>
          <w:rFonts w:hint="eastAsia" w:ascii="宋体" w:hAnsi="宋体" w:eastAsia="宋体" w:cs="宋体"/>
          <w:szCs w:val="21"/>
          <w:highlight w:val="none"/>
          <w:lang w:val="zh-CN"/>
        </w:rPr>
      </w:pPr>
    </w:p>
    <w:p w14:paraId="317BF58D">
      <w:pPr>
        <w:numPr>
          <w:ilvl w:val="0"/>
          <w:numId w:val="1"/>
        </w:numPr>
        <w:autoSpaceDE w:val="0"/>
        <w:autoSpaceDN w:val="0"/>
        <w:adjustRightInd w:val="0"/>
        <w:snapToGrid w:val="0"/>
        <w:spacing w:line="360" w:lineRule="auto"/>
        <w:ind w:right="-34"/>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获取招标文件的方式：凡有意参加投标者，可于</w:t>
      </w:r>
      <w:r>
        <w:rPr>
          <w:rFonts w:hint="eastAsia" w:ascii="宋体" w:hAnsi="宋体" w:eastAsia="宋体" w:cs="宋体"/>
          <w:color w:val="auto"/>
          <w:szCs w:val="21"/>
          <w:highlight w:val="none"/>
          <w:u w:val="single"/>
          <w:lang w:val="en-US" w:eastAsia="zh-CN"/>
        </w:rPr>
        <w:t>2025</w:t>
      </w:r>
      <w:r>
        <w:rPr>
          <w:rFonts w:hint="eastAsia" w:ascii="宋体" w:hAnsi="宋体" w:eastAsia="宋体" w:cs="宋体"/>
          <w:color w:val="auto"/>
          <w:szCs w:val="21"/>
          <w:highlight w:val="none"/>
          <w:u w:val="single"/>
          <w:lang w:val="zh-CN"/>
        </w:rPr>
        <w:t>年</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u w:val="single"/>
          <w:lang w:val="zh-CN"/>
        </w:rPr>
        <w:t>月</w:t>
      </w:r>
      <w:r>
        <w:rPr>
          <w:rFonts w:hint="eastAsia" w:ascii="宋体" w:hAnsi="宋体" w:eastAsia="宋体" w:cs="宋体"/>
          <w:color w:val="auto"/>
          <w:szCs w:val="21"/>
          <w:highlight w:val="none"/>
          <w:u w:val="single"/>
          <w:lang w:val="en-US" w:eastAsia="zh-CN"/>
        </w:rPr>
        <w:t>29</w:t>
      </w:r>
      <w:r>
        <w:rPr>
          <w:rFonts w:hint="eastAsia" w:ascii="宋体" w:hAnsi="宋体" w:eastAsia="宋体" w:cs="宋体"/>
          <w:color w:val="auto"/>
          <w:szCs w:val="21"/>
          <w:highlight w:val="none"/>
          <w:u w:val="single"/>
          <w:lang w:val="zh-CN"/>
        </w:rPr>
        <w:t>日</w:t>
      </w:r>
      <w:r>
        <w:rPr>
          <w:rFonts w:hint="eastAsia" w:ascii="宋体" w:hAnsi="宋体" w:eastAsia="宋体" w:cs="宋体"/>
          <w:color w:val="auto"/>
          <w:szCs w:val="21"/>
          <w:highlight w:val="none"/>
          <w:lang w:val="zh-CN"/>
        </w:rPr>
        <w:t>至投标截止时间前登录交易系统下载本次招标项目的招标文件等资料。</w:t>
      </w:r>
    </w:p>
    <w:p w14:paraId="57D7168B">
      <w:pPr>
        <w:autoSpaceDE w:val="0"/>
        <w:autoSpaceDN w:val="0"/>
        <w:adjustRightInd w:val="0"/>
        <w:spacing w:line="360" w:lineRule="auto"/>
        <w:ind w:left="630" w:leftChars="100" w:right="-29" w:rightChars="-14" w:hanging="420" w:hangingChars="200"/>
        <w:rPr>
          <w:rFonts w:hint="eastAsia" w:ascii="宋体" w:hAnsi="宋体" w:eastAsia="宋体" w:cs="宋体"/>
          <w:szCs w:val="21"/>
          <w:highlight w:val="none"/>
          <w:lang w:val="zh-CN"/>
        </w:rPr>
      </w:pPr>
    </w:p>
    <w:p w14:paraId="7723CE18">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招标代理机构在递交投标文件截止时间当天通过“信用中国”网站（www.creditchina.gov.cn）查询投标人（含其不具有独立法人资格的分支机构）信用记录。招标代理机构对投标人信用记录进行甄别，对列入失信被执行人、重大税收违法失信主体、</w:t>
      </w:r>
      <w:r>
        <w:rPr>
          <w:rFonts w:hint="eastAsia" w:ascii="宋体" w:hAnsi="宋体" w:eastAsia="宋体" w:cs="宋体"/>
          <w:color w:val="auto"/>
          <w:szCs w:val="21"/>
          <w:highlight w:val="none"/>
          <w:lang w:val="en-US" w:eastAsia="zh-CN"/>
        </w:rPr>
        <w:t>政府采购</w:t>
      </w:r>
      <w:r>
        <w:rPr>
          <w:rFonts w:hint="eastAsia" w:ascii="宋体" w:hAnsi="宋体" w:eastAsia="宋体" w:cs="宋体"/>
          <w:szCs w:val="21"/>
          <w:highlight w:val="none"/>
          <w:lang w:val="zh-CN"/>
        </w:rPr>
        <w:t>严重违法失信行为记录名单的投标人，做好相关记录（处罚期限届满的除外）。</w:t>
      </w:r>
    </w:p>
    <w:p w14:paraId="1B73F55B">
      <w:pPr>
        <w:autoSpaceDE w:val="0"/>
        <w:autoSpaceDN w:val="0"/>
        <w:adjustRightInd w:val="0"/>
        <w:spacing w:line="360" w:lineRule="auto"/>
        <w:ind w:right="-29" w:rightChars="-14" w:firstLine="420"/>
        <w:rPr>
          <w:rFonts w:hint="eastAsia" w:ascii="宋体" w:hAnsi="宋体" w:eastAsia="宋体" w:cs="宋体"/>
          <w:szCs w:val="21"/>
          <w:highlight w:val="none"/>
          <w:lang w:val="zh-CN"/>
        </w:rPr>
      </w:pPr>
    </w:p>
    <w:p w14:paraId="6AACA11F">
      <w:pPr>
        <w:pStyle w:val="45"/>
        <w:rPr>
          <w:rFonts w:hint="eastAsia"/>
          <w:lang w:val="zh-CN"/>
        </w:rPr>
      </w:pPr>
    </w:p>
    <w:p w14:paraId="427BEF76">
      <w:pPr>
        <w:keepNext w:val="0"/>
        <w:keepLines w:val="0"/>
        <w:pageBreakBefore w:val="0"/>
        <w:numPr>
          <w:ilvl w:val="0"/>
          <w:numId w:val="1"/>
        </w:numPr>
        <w:kinsoku/>
        <w:overflowPunct/>
        <w:topLinePunct w:val="0"/>
        <w:autoSpaceDE w:val="0"/>
        <w:autoSpaceDN w:val="0"/>
        <w:bidi w:val="0"/>
        <w:adjustRightInd w:val="0"/>
        <w:snapToGrid w:val="0"/>
        <w:spacing w:line="360" w:lineRule="auto"/>
        <w:ind w:right="-34"/>
        <w:jc w:val="left"/>
        <w:outlineLvl w:val="0"/>
        <w:rPr>
          <w:rFonts w:hint="eastAsia" w:ascii="宋体" w:hAnsi="宋体" w:eastAsia="宋体" w:cs="宋体"/>
          <w:color w:val="auto"/>
          <w:szCs w:val="21"/>
          <w:highlight w:val="none"/>
          <w:lang w:val="zh-CN"/>
        </w:rPr>
      </w:pPr>
      <w:bookmarkStart w:id="16" w:name="_Toc10505"/>
      <w:bookmarkStart w:id="17" w:name="_Toc15579"/>
      <w:r>
        <w:rPr>
          <w:rFonts w:hint="eastAsia" w:ascii="宋体" w:hAnsi="宋体" w:eastAsia="宋体" w:cs="宋体"/>
          <w:color w:val="auto"/>
          <w:szCs w:val="21"/>
          <w:highlight w:val="none"/>
          <w:lang w:val="zh-CN"/>
        </w:rPr>
        <w:t>投标会时间、地点及投标文件提交截止时间：</w:t>
      </w:r>
      <w:bookmarkEnd w:id="16"/>
      <w:bookmarkEnd w:id="17"/>
    </w:p>
    <w:p w14:paraId="051EE054">
      <w:pPr>
        <w:pStyle w:val="159"/>
        <w:keepNext w:val="0"/>
        <w:keepLines w:val="0"/>
        <w:pageBreakBefore w:val="0"/>
        <w:kinsoku/>
        <w:overflowPunct/>
        <w:topLinePunct w:val="0"/>
        <w:bidi w:val="0"/>
        <w:spacing w:line="360" w:lineRule="auto"/>
        <w:ind w:left="420" w:hanging="420" w:hangingChars="200"/>
        <w:jc w:val="both"/>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 xml:space="preserve">5.1 </w:t>
      </w:r>
      <w:r>
        <w:rPr>
          <w:rFonts w:hint="eastAsia" w:ascii="宋体" w:hAnsi="宋体" w:eastAsia="宋体" w:cs="宋体"/>
          <w:bCs/>
          <w:color w:val="auto"/>
          <w:sz w:val="21"/>
          <w:szCs w:val="21"/>
          <w:highlight w:val="none"/>
          <w:lang w:val="zh-CN"/>
        </w:rPr>
        <w:t>投标会召开时间：</w:t>
      </w:r>
      <w:r>
        <w:rPr>
          <w:rFonts w:hint="eastAsia" w:hAnsi="宋体" w:eastAsia="宋体" w:cs="宋体"/>
          <w:bCs/>
          <w:color w:val="auto"/>
          <w:sz w:val="21"/>
          <w:szCs w:val="21"/>
          <w:highlight w:val="none"/>
          <w:u w:val="single"/>
          <w:lang w:val="en-US" w:eastAsia="zh-CN"/>
        </w:rPr>
        <w:t>2025</w:t>
      </w:r>
      <w:r>
        <w:rPr>
          <w:rFonts w:hint="eastAsia" w:ascii="宋体" w:hAnsi="宋体" w:eastAsia="宋体" w:cs="宋体"/>
          <w:bCs/>
          <w:color w:val="auto"/>
          <w:sz w:val="21"/>
          <w:szCs w:val="21"/>
          <w:highlight w:val="none"/>
          <w:u w:val="single"/>
          <w:lang w:val="zh-CN"/>
        </w:rPr>
        <w:t>年</w:t>
      </w:r>
      <w:r>
        <w:rPr>
          <w:rFonts w:hint="eastAsia" w:hAnsi="宋体" w:eastAsia="宋体" w:cs="宋体"/>
          <w:bCs/>
          <w:color w:val="auto"/>
          <w:sz w:val="21"/>
          <w:szCs w:val="21"/>
          <w:highlight w:val="none"/>
          <w:u w:val="single"/>
          <w:lang w:val="en-US" w:eastAsia="zh-CN"/>
        </w:rPr>
        <w:t>10</w:t>
      </w:r>
      <w:r>
        <w:rPr>
          <w:rFonts w:hint="eastAsia" w:ascii="宋体" w:hAnsi="宋体" w:eastAsia="宋体" w:cs="宋体"/>
          <w:bCs/>
          <w:color w:val="auto"/>
          <w:sz w:val="21"/>
          <w:szCs w:val="21"/>
          <w:highlight w:val="none"/>
          <w:u w:val="single"/>
          <w:lang w:val="zh-CN"/>
        </w:rPr>
        <w:t>月</w:t>
      </w:r>
      <w:r>
        <w:rPr>
          <w:rFonts w:hint="eastAsia" w:hAnsi="宋体" w:eastAsia="宋体" w:cs="宋体"/>
          <w:bCs/>
          <w:color w:val="auto"/>
          <w:sz w:val="21"/>
          <w:szCs w:val="21"/>
          <w:highlight w:val="none"/>
          <w:u w:val="single"/>
          <w:lang w:val="en-US" w:eastAsia="zh-CN"/>
        </w:rPr>
        <w:t>20</w:t>
      </w:r>
      <w:r>
        <w:rPr>
          <w:rFonts w:hint="eastAsia" w:ascii="宋体" w:hAnsi="宋体" w:eastAsia="宋体" w:cs="宋体"/>
          <w:bCs/>
          <w:color w:val="auto"/>
          <w:sz w:val="21"/>
          <w:szCs w:val="21"/>
          <w:highlight w:val="none"/>
          <w:u w:val="single"/>
          <w:lang w:val="zh-CN"/>
        </w:rPr>
        <w:t>日</w:t>
      </w:r>
      <w:r>
        <w:rPr>
          <w:rFonts w:hint="eastAsia" w:hAnsi="宋体" w:eastAsia="宋体" w:cs="宋体"/>
          <w:bCs/>
          <w:color w:val="auto"/>
          <w:sz w:val="21"/>
          <w:szCs w:val="21"/>
          <w:highlight w:val="none"/>
          <w:u w:val="single"/>
          <w:lang w:val="en-US" w:eastAsia="zh-CN"/>
        </w:rPr>
        <w:t>9</w:t>
      </w:r>
      <w:r>
        <w:rPr>
          <w:rFonts w:hint="eastAsia" w:ascii="宋体" w:hAnsi="宋体" w:eastAsia="宋体" w:cs="宋体"/>
          <w:bCs/>
          <w:color w:val="auto"/>
          <w:sz w:val="21"/>
          <w:szCs w:val="21"/>
          <w:highlight w:val="none"/>
          <w:u w:val="single"/>
          <w:lang w:val="zh-CN"/>
        </w:rPr>
        <w:t>时</w:t>
      </w:r>
      <w:r>
        <w:rPr>
          <w:rFonts w:hint="eastAsia" w:hAnsi="宋体" w:eastAsia="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lang w:val="zh-CN"/>
        </w:rPr>
        <w:t>分</w:t>
      </w:r>
      <w:r>
        <w:rPr>
          <w:rFonts w:hint="eastAsia" w:ascii="宋体" w:hAnsi="宋体" w:eastAsia="宋体" w:cs="宋体"/>
          <w:bCs/>
          <w:color w:val="auto"/>
          <w:sz w:val="21"/>
          <w:szCs w:val="21"/>
          <w:highlight w:val="none"/>
          <w:lang w:val="zh-CN"/>
        </w:rPr>
        <w:t>，投标会召开地点：东莞市南城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13</w:t>
      </w:r>
      <w:r>
        <w:rPr>
          <w:rFonts w:hint="eastAsia" w:ascii="宋体" w:hAnsi="宋体" w:eastAsia="宋体" w:cs="宋体"/>
          <w:bCs/>
          <w:color w:val="auto"/>
          <w:sz w:val="21"/>
          <w:szCs w:val="21"/>
          <w:highlight w:val="none"/>
          <w:lang w:val="zh-CN"/>
        </w:rPr>
        <w:t>）；</w:t>
      </w:r>
    </w:p>
    <w:p w14:paraId="0BFABA6A">
      <w:pPr>
        <w:pStyle w:val="159"/>
        <w:keepNext w:val="0"/>
        <w:keepLines w:val="0"/>
        <w:pageBreakBefore w:val="0"/>
        <w:kinsoku/>
        <w:overflowPunct/>
        <w:topLinePunct w:val="0"/>
        <w:bidi w:val="0"/>
        <w:spacing w:line="360" w:lineRule="auto"/>
        <w:ind w:left="420" w:hanging="420" w:hangingChars="200"/>
        <w:jc w:val="both"/>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5.</w:t>
      </w:r>
      <w:r>
        <w:rPr>
          <w:rFonts w:hint="eastAsia" w:ascii="宋体" w:hAnsi="宋体" w:eastAsia="宋体" w:cs="宋体"/>
          <w:bCs/>
          <w:color w:val="auto"/>
          <w:sz w:val="21"/>
          <w:szCs w:val="21"/>
          <w:highlight w:val="none"/>
          <w:lang w:val="en-US" w:eastAsia="zh-CN"/>
        </w:rPr>
        <w:t>2</w:t>
      </w:r>
      <w:r>
        <w:rPr>
          <w:rFonts w:hint="eastAsia" w:ascii="宋体" w:hAnsi="宋体" w:eastAsia="宋体" w:cs="宋体"/>
          <w:bCs/>
          <w:color w:val="auto"/>
          <w:sz w:val="21"/>
          <w:szCs w:val="21"/>
          <w:highlight w:val="none"/>
          <w:lang w:val="zh-CN"/>
        </w:rPr>
        <w:t xml:space="preserve"> 投标文件递交的截止时间（投标截止时间，下同）：</w:t>
      </w:r>
      <w:r>
        <w:rPr>
          <w:rFonts w:hint="eastAsia" w:hAnsi="宋体" w:eastAsia="宋体" w:cs="宋体"/>
          <w:bCs/>
          <w:color w:val="auto"/>
          <w:sz w:val="21"/>
          <w:szCs w:val="21"/>
          <w:highlight w:val="none"/>
          <w:u w:val="single"/>
          <w:lang w:val="en-US" w:eastAsia="zh-CN"/>
        </w:rPr>
        <w:t>2025</w:t>
      </w:r>
      <w:r>
        <w:rPr>
          <w:rFonts w:hint="eastAsia" w:ascii="宋体" w:hAnsi="宋体" w:eastAsia="宋体" w:cs="宋体"/>
          <w:bCs/>
          <w:color w:val="auto"/>
          <w:sz w:val="21"/>
          <w:szCs w:val="21"/>
          <w:highlight w:val="none"/>
          <w:u w:val="single"/>
          <w:lang w:val="zh-CN"/>
        </w:rPr>
        <w:t>年</w:t>
      </w:r>
      <w:r>
        <w:rPr>
          <w:rFonts w:hint="eastAsia" w:hAnsi="宋体" w:eastAsia="宋体" w:cs="宋体"/>
          <w:bCs/>
          <w:color w:val="auto"/>
          <w:sz w:val="21"/>
          <w:szCs w:val="21"/>
          <w:highlight w:val="none"/>
          <w:u w:val="single"/>
          <w:lang w:val="en-US" w:eastAsia="zh-CN"/>
        </w:rPr>
        <w:t>10</w:t>
      </w:r>
      <w:r>
        <w:rPr>
          <w:rFonts w:hint="eastAsia" w:ascii="宋体" w:hAnsi="宋体" w:eastAsia="宋体" w:cs="宋体"/>
          <w:bCs/>
          <w:color w:val="auto"/>
          <w:sz w:val="21"/>
          <w:szCs w:val="21"/>
          <w:highlight w:val="none"/>
          <w:u w:val="single"/>
          <w:lang w:val="zh-CN"/>
        </w:rPr>
        <w:t>月</w:t>
      </w:r>
      <w:r>
        <w:rPr>
          <w:rFonts w:hint="eastAsia" w:hAnsi="宋体" w:eastAsia="宋体" w:cs="宋体"/>
          <w:bCs/>
          <w:color w:val="auto"/>
          <w:sz w:val="21"/>
          <w:szCs w:val="21"/>
          <w:highlight w:val="none"/>
          <w:u w:val="single"/>
          <w:lang w:val="en-US" w:eastAsia="zh-CN"/>
        </w:rPr>
        <w:t>20</w:t>
      </w:r>
      <w:r>
        <w:rPr>
          <w:rFonts w:hint="eastAsia" w:ascii="宋体" w:hAnsi="宋体" w:eastAsia="宋体" w:cs="宋体"/>
          <w:bCs/>
          <w:color w:val="auto"/>
          <w:sz w:val="21"/>
          <w:szCs w:val="21"/>
          <w:highlight w:val="none"/>
          <w:u w:val="single"/>
          <w:lang w:val="zh-CN"/>
        </w:rPr>
        <w:t>日</w:t>
      </w:r>
      <w:r>
        <w:rPr>
          <w:rFonts w:hint="eastAsia" w:hAnsi="宋体" w:eastAsia="宋体" w:cs="宋体"/>
          <w:bCs/>
          <w:color w:val="auto"/>
          <w:sz w:val="21"/>
          <w:szCs w:val="21"/>
          <w:highlight w:val="none"/>
          <w:u w:val="single"/>
          <w:lang w:val="en-US" w:eastAsia="zh-CN"/>
        </w:rPr>
        <w:t>9</w:t>
      </w:r>
      <w:r>
        <w:rPr>
          <w:rFonts w:hint="eastAsia" w:ascii="宋体" w:hAnsi="宋体" w:eastAsia="宋体" w:cs="宋体"/>
          <w:bCs/>
          <w:color w:val="auto"/>
          <w:sz w:val="21"/>
          <w:szCs w:val="21"/>
          <w:highlight w:val="none"/>
          <w:u w:val="single"/>
          <w:lang w:val="zh-CN"/>
        </w:rPr>
        <w:t>时</w:t>
      </w:r>
      <w:r>
        <w:rPr>
          <w:rFonts w:hint="eastAsia" w:hAnsi="宋体" w:eastAsia="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lang w:val="zh-CN"/>
        </w:rPr>
        <w:t>分，</w:t>
      </w:r>
      <w:r>
        <w:rPr>
          <w:rFonts w:hint="eastAsia" w:ascii="宋体" w:hAnsi="宋体" w:eastAsia="宋体" w:cs="宋体"/>
          <w:bCs/>
          <w:color w:val="auto"/>
          <w:sz w:val="21"/>
          <w:szCs w:val="21"/>
          <w:highlight w:val="none"/>
          <w:lang w:val="zh-CN"/>
        </w:rPr>
        <w:t>地点：通过东莞市公共资源交易E网通管理平台建设工程交易系统网上提交；</w:t>
      </w:r>
    </w:p>
    <w:p w14:paraId="3C8AD3E4">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5.</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lang w:val="zh-CN"/>
        </w:rPr>
        <w:t xml:space="preserve"> 投标人必须通过交易系统在线上传投标文件，上述方式外提交的投标文件及逾期通过网络上传的电子投标文件，招标人不予受理。</w:t>
      </w:r>
    </w:p>
    <w:p w14:paraId="25E1DAAC">
      <w:pPr>
        <w:autoSpaceDE w:val="0"/>
        <w:autoSpaceDN w:val="0"/>
        <w:adjustRightInd w:val="0"/>
        <w:spacing w:line="360" w:lineRule="auto"/>
        <w:ind w:right="-29" w:rightChars="-14" w:firstLine="210" w:firstLineChars="100"/>
        <w:rPr>
          <w:rFonts w:hint="eastAsia" w:ascii="宋体" w:hAnsi="宋体" w:eastAsia="宋体" w:cs="宋体"/>
          <w:kern w:val="0"/>
          <w:szCs w:val="21"/>
          <w:highlight w:val="none"/>
        </w:rPr>
      </w:pPr>
    </w:p>
    <w:p w14:paraId="7611517F">
      <w:pPr>
        <w:keepNext w:val="0"/>
        <w:keepLines w:val="0"/>
        <w:pageBreakBefore w:val="0"/>
        <w:numPr>
          <w:ilvl w:val="0"/>
          <w:numId w:val="1"/>
        </w:numPr>
        <w:kinsoku/>
        <w:overflowPunct/>
        <w:topLinePunct w:val="0"/>
        <w:bidi w:val="0"/>
        <w:snapToGrid w:val="0"/>
        <w:spacing w:line="360" w:lineRule="auto"/>
        <w:ind w:right="-34"/>
        <w:outlineLvl w:val="0"/>
        <w:rPr>
          <w:rFonts w:hint="eastAsia" w:ascii="宋体" w:hAnsi="宋体" w:eastAsia="宋体" w:cs="宋体"/>
          <w:bCs/>
          <w:color w:val="auto"/>
          <w:sz w:val="21"/>
          <w:szCs w:val="21"/>
          <w:highlight w:val="none"/>
          <w:lang w:val="zh-CN"/>
        </w:rPr>
      </w:pPr>
      <w:bookmarkStart w:id="18" w:name="_Toc19461"/>
      <w:bookmarkStart w:id="19" w:name="_Toc8363"/>
      <w:r>
        <w:rPr>
          <w:rFonts w:hint="eastAsia" w:ascii="宋体" w:hAnsi="宋体" w:eastAsia="宋体" w:cs="宋体"/>
          <w:bCs/>
          <w:color w:val="auto"/>
          <w:sz w:val="21"/>
          <w:szCs w:val="21"/>
          <w:highlight w:val="none"/>
          <w:lang w:val="zh-CN"/>
        </w:rPr>
        <w:t>开标时间和地点：</w:t>
      </w:r>
      <w:bookmarkEnd w:id="18"/>
      <w:bookmarkEnd w:id="19"/>
    </w:p>
    <w:p w14:paraId="669D2387">
      <w:pPr>
        <w:pStyle w:val="159"/>
        <w:keepNext w:val="0"/>
        <w:keepLines w:val="0"/>
        <w:pageBreakBefore w:val="0"/>
        <w:kinsoku/>
        <w:overflowPunct/>
        <w:topLinePunct w:val="0"/>
        <w:bidi w:val="0"/>
        <w:spacing w:line="360" w:lineRule="auto"/>
        <w:ind w:left="420" w:hanging="420" w:hangingChars="200"/>
        <w:outlineLvl w:val="1"/>
        <w:rPr>
          <w:rFonts w:hint="eastAsia" w:ascii="宋体" w:hAnsi="宋体" w:eastAsia="宋体" w:cs="宋体"/>
          <w:bCs/>
          <w:color w:val="auto"/>
          <w:sz w:val="21"/>
          <w:szCs w:val="21"/>
          <w:highlight w:val="none"/>
          <w:lang w:val="zh-CN"/>
        </w:rPr>
      </w:pPr>
      <w:bookmarkStart w:id="20" w:name="_Toc8817"/>
      <w:bookmarkStart w:id="21" w:name="_Toc15059"/>
      <w:r>
        <w:rPr>
          <w:rFonts w:hint="eastAsia" w:ascii="宋体" w:hAnsi="宋体" w:eastAsia="宋体" w:cs="宋体"/>
          <w:bCs/>
          <w:color w:val="auto"/>
          <w:sz w:val="21"/>
          <w:szCs w:val="21"/>
          <w:highlight w:val="none"/>
          <w:lang w:val="zh-CN" w:eastAsia="zh-CN"/>
        </w:rPr>
        <w:t xml:space="preserve">6.1 </w:t>
      </w:r>
      <w:r>
        <w:rPr>
          <w:rFonts w:hint="eastAsia" w:ascii="宋体" w:hAnsi="宋体" w:eastAsia="宋体" w:cs="宋体"/>
          <w:bCs/>
          <w:color w:val="auto"/>
          <w:sz w:val="21"/>
          <w:szCs w:val="21"/>
          <w:highlight w:val="none"/>
          <w:lang w:val="zh-CN"/>
        </w:rPr>
        <w:t>开标时间：同投标截止时间；</w:t>
      </w:r>
      <w:bookmarkEnd w:id="20"/>
      <w:bookmarkEnd w:id="21"/>
    </w:p>
    <w:p w14:paraId="7BDAA7A4">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eastAsia="zh-CN"/>
        </w:rPr>
        <w:t xml:space="preserve">6.2 </w:t>
      </w:r>
      <w:r>
        <w:rPr>
          <w:rFonts w:hint="eastAsia" w:ascii="宋体" w:hAnsi="宋体" w:eastAsia="宋体" w:cs="宋体"/>
          <w:bCs/>
          <w:color w:val="auto"/>
          <w:sz w:val="21"/>
          <w:szCs w:val="21"/>
          <w:highlight w:val="none"/>
          <w:lang w:val="zh-CN"/>
        </w:rPr>
        <w:t>开标地点：东莞市南城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13</w:t>
      </w:r>
      <w:r>
        <w:rPr>
          <w:rFonts w:hint="eastAsia" w:ascii="宋体" w:hAnsi="宋体" w:eastAsia="宋体" w:cs="宋体"/>
          <w:bCs/>
          <w:color w:val="auto"/>
          <w:sz w:val="21"/>
          <w:szCs w:val="21"/>
          <w:highlight w:val="none"/>
          <w:lang w:val="zh-CN"/>
        </w:rPr>
        <w:t>）。</w:t>
      </w:r>
    </w:p>
    <w:p w14:paraId="19914889">
      <w:pPr>
        <w:autoSpaceDE w:val="0"/>
        <w:autoSpaceDN w:val="0"/>
        <w:adjustRightInd w:val="0"/>
        <w:spacing w:line="360" w:lineRule="auto"/>
        <w:ind w:left="210" w:leftChars="100" w:right="-29" w:rightChars="-14"/>
        <w:rPr>
          <w:rFonts w:hint="eastAsia" w:ascii="宋体" w:hAnsi="宋体" w:eastAsia="宋体" w:cs="宋体"/>
          <w:szCs w:val="21"/>
          <w:highlight w:val="none"/>
          <w:lang w:val="zh-CN"/>
        </w:rPr>
      </w:pPr>
    </w:p>
    <w:p w14:paraId="2CA8BB84">
      <w:pPr>
        <w:keepNext w:val="0"/>
        <w:keepLines w:val="0"/>
        <w:pageBreakBefore w:val="0"/>
        <w:widowControl w:val="0"/>
        <w:numPr>
          <w:ilvl w:val="0"/>
          <w:numId w:val="1"/>
        </w:numPr>
        <w:kinsoku/>
        <w:wordWrap w:val="0"/>
        <w:overflowPunct/>
        <w:topLinePunct w:val="0"/>
        <w:autoSpaceDE w:val="0"/>
        <w:autoSpaceDN w:val="0"/>
        <w:bidi w:val="0"/>
        <w:adjustRightInd w:val="0"/>
        <w:snapToGrid w:val="0"/>
        <w:spacing w:line="360" w:lineRule="auto"/>
        <w:ind w:left="363" w:right="-34" w:hanging="363"/>
        <w:jc w:val="left"/>
        <w:textAlignment w:val="auto"/>
        <w:rPr>
          <w:rFonts w:hint="eastAsia" w:ascii="宋体" w:hAnsi="宋体" w:eastAsia="宋体" w:cs="宋体"/>
          <w:bCs/>
          <w:color w:val="auto"/>
          <w:szCs w:val="21"/>
          <w:highlight w:val="none"/>
        </w:rPr>
      </w:pPr>
      <w:r>
        <w:rPr>
          <w:rFonts w:hint="eastAsia" w:ascii="宋体" w:hAnsi="宋体" w:eastAsia="宋体" w:cs="宋体"/>
          <w:bCs/>
          <w:szCs w:val="21"/>
          <w:highlight w:val="none"/>
        </w:rPr>
        <w:t>本项目相关公告在以下媒介发布：</w:t>
      </w:r>
      <w:r>
        <w:rPr>
          <w:rFonts w:hint="eastAsia" w:ascii="宋体" w:hAnsi="宋体" w:eastAsia="宋体" w:cs="宋体"/>
          <w:bCs/>
          <w:color w:val="auto"/>
          <w:szCs w:val="21"/>
          <w:highlight w:val="none"/>
        </w:rPr>
        <w:t>全国公共资源交易平台（广东省·东莞市）（https://ygp.gdzwfw.gov.cn/#/441900/index）</w:t>
      </w:r>
      <w:r>
        <w:rPr>
          <w:rFonts w:hint="eastAsia" w:ascii="宋体" w:hAnsi="宋体" w:eastAsia="宋体" w:cs="宋体"/>
          <w:bCs/>
          <w:color w:val="auto"/>
          <w:szCs w:val="21"/>
          <w:highlight w:val="none"/>
          <w:lang w:eastAsia="zh-CN"/>
        </w:rPr>
        <w:t>、</w:t>
      </w:r>
      <w:r>
        <w:rPr>
          <w:rFonts w:hint="eastAsia" w:ascii="宋体" w:hAnsi="宋体" w:eastAsia="宋体" w:cs="宋体"/>
          <w:bCs/>
          <w:szCs w:val="21"/>
          <w:highlight w:val="none"/>
        </w:rPr>
        <w:t>中国招标投标公共服务平台（www.cebpubservice.com）、</w:t>
      </w:r>
      <w:r>
        <w:rPr>
          <w:rFonts w:hint="eastAsia" w:ascii="宋体" w:hAnsi="宋体" w:eastAsia="宋体" w:cs="宋体"/>
          <w:bCs/>
          <w:szCs w:val="21"/>
          <w:highlight w:val="none"/>
          <w:lang w:eastAsia="zh-CN"/>
        </w:rPr>
        <w:t>东莞市水务环境投资控股集团有限公司网</w:t>
      </w:r>
      <w:r>
        <w:rPr>
          <w:rFonts w:hint="eastAsia" w:ascii="宋体" w:hAnsi="宋体" w:eastAsia="宋体" w:cs="宋体"/>
          <w:bCs/>
          <w:szCs w:val="21"/>
          <w:highlight w:val="none"/>
          <w:lang w:val="en-US" w:eastAsia="zh-CN"/>
        </w:rPr>
        <w:t>站</w:t>
      </w:r>
      <w:r>
        <w:rPr>
          <w:rFonts w:hint="eastAsia" w:ascii="宋体" w:hAnsi="宋体" w:eastAsia="宋体" w:cs="宋体"/>
          <w:bCs/>
          <w:szCs w:val="21"/>
          <w:highlight w:val="none"/>
        </w:rPr>
        <w:t>（www.dgswjt.cn）、招标代理</w:t>
      </w:r>
      <w:r>
        <w:rPr>
          <w:rFonts w:hint="eastAsia" w:ascii="宋体" w:hAnsi="宋体" w:eastAsia="宋体" w:cs="宋体"/>
          <w:bCs/>
          <w:color w:val="auto"/>
          <w:szCs w:val="21"/>
          <w:highlight w:val="none"/>
          <w:lang w:val="en-US" w:eastAsia="zh-CN"/>
        </w:rPr>
        <w:t>机构</w:t>
      </w:r>
      <w:r>
        <w:rPr>
          <w:rFonts w:hint="eastAsia" w:ascii="宋体" w:hAnsi="宋体" w:eastAsia="宋体" w:cs="宋体"/>
          <w:bCs/>
          <w:color w:val="auto"/>
          <w:szCs w:val="21"/>
          <w:highlight w:val="none"/>
        </w:rPr>
        <w:t>网站（</w:t>
      </w:r>
      <w:r>
        <w:rPr>
          <w:rFonts w:hint="eastAsia" w:ascii="宋体" w:hAnsi="宋体" w:eastAsia="宋体" w:cs="宋体"/>
          <w:bCs/>
          <w:color w:val="auto"/>
          <w:szCs w:val="21"/>
          <w:highlight w:val="none"/>
          <w:u w:val="none"/>
        </w:rPr>
        <w:t>www.youde.net</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lang w:val="zh-CN"/>
        </w:rPr>
        <w:t>。</w:t>
      </w:r>
    </w:p>
    <w:p w14:paraId="4B131880">
      <w:pPr>
        <w:pStyle w:val="45"/>
        <w:rPr>
          <w:rFonts w:hint="eastAsia" w:ascii="宋体" w:hAnsi="宋体" w:eastAsia="宋体" w:cs="宋体"/>
        </w:rPr>
      </w:pPr>
    </w:p>
    <w:p w14:paraId="49A107A7">
      <w:pPr>
        <w:keepNext w:val="0"/>
        <w:keepLines w:val="0"/>
        <w:pageBreakBefore w:val="0"/>
        <w:numPr>
          <w:ilvl w:val="0"/>
          <w:numId w:val="1"/>
        </w:numPr>
        <w:kinsoku/>
        <w:overflowPunct/>
        <w:topLinePunct w:val="0"/>
        <w:autoSpaceDE w:val="0"/>
        <w:autoSpaceDN w:val="0"/>
        <w:bidi w:val="0"/>
        <w:adjustRightInd w:val="0"/>
        <w:snapToGrid w:val="0"/>
        <w:spacing w:line="360" w:lineRule="auto"/>
        <w:ind w:right="-34"/>
        <w:jc w:val="left"/>
        <w:outlineLvl w:val="0"/>
        <w:rPr>
          <w:rFonts w:hint="eastAsia" w:ascii="宋体" w:hAnsi="宋体" w:eastAsia="宋体" w:cs="宋体"/>
          <w:color w:val="auto"/>
          <w:szCs w:val="21"/>
          <w:highlight w:val="none"/>
        </w:rPr>
      </w:pPr>
      <w:bookmarkStart w:id="22" w:name="_Toc3809"/>
      <w:bookmarkStart w:id="23" w:name="_Toc16545"/>
      <w:r>
        <w:rPr>
          <w:rFonts w:hint="eastAsia" w:ascii="宋体" w:hAnsi="宋体" w:eastAsia="宋体" w:cs="宋体"/>
          <w:color w:val="auto"/>
          <w:szCs w:val="21"/>
          <w:highlight w:val="none"/>
        </w:rPr>
        <w:t>投标保证金</w:t>
      </w:r>
      <w:bookmarkEnd w:id="22"/>
      <w:bookmarkEnd w:id="23"/>
    </w:p>
    <w:p w14:paraId="42826CC0">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.1 本次招标投标人须提交投标保证金金额：</w:t>
      </w:r>
      <w:r>
        <w:rPr>
          <w:rFonts w:hint="eastAsia" w:ascii="宋体" w:hAnsi="宋体" w:eastAsia="宋体" w:cs="宋体"/>
          <w:bCs/>
          <w:color w:val="auto"/>
          <w:sz w:val="21"/>
          <w:szCs w:val="21"/>
          <w:highlight w:val="none"/>
          <w:lang w:val="zh-CN" w:eastAsia="zh-CN"/>
        </w:rPr>
        <w:t>2</w:t>
      </w:r>
      <w:r>
        <w:rPr>
          <w:rFonts w:hint="eastAsia" w:ascii="宋体" w:hAnsi="宋体" w:eastAsia="宋体" w:cs="宋体"/>
          <w:bCs/>
          <w:color w:val="auto"/>
          <w:sz w:val="21"/>
          <w:szCs w:val="21"/>
          <w:highlight w:val="none"/>
          <w:lang w:val="zh-CN"/>
        </w:rPr>
        <w:t>0,000.00元。</w:t>
      </w:r>
    </w:p>
    <w:p w14:paraId="3D43B9A2">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.2.1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zh-CN"/>
        </w:rPr>
        <w:t>投标保证金形式：单项投标保证金；银行电子保函；保险电子保单；</w:t>
      </w:r>
    </w:p>
    <w:p w14:paraId="1EBD3D12">
      <w:pPr>
        <w:pStyle w:val="159"/>
        <w:keepNext w:val="0"/>
        <w:keepLines w:val="0"/>
        <w:pageBreakBefore w:val="0"/>
        <w:kinsoku/>
        <w:overflowPunct/>
        <w:topLinePunct w:val="0"/>
        <w:bidi w:val="0"/>
        <w:spacing w:line="360" w:lineRule="auto"/>
        <w:ind w:left="420" w:leftChars="200" w:firstLine="0" w:firstLineChars="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其它：      /       。</w:t>
      </w:r>
    </w:p>
    <w:p w14:paraId="2C450807">
      <w:pPr>
        <w:pStyle w:val="159"/>
        <w:keepNext w:val="0"/>
        <w:keepLines w:val="0"/>
        <w:pageBreakBefore w:val="0"/>
        <w:kinsoku/>
        <w:overflowPunct/>
        <w:topLinePunct w:val="0"/>
        <w:bidi w:val="0"/>
        <w:spacing w:line="360" w:lineRule="auto"/>
        <w:ind w:left="420" w:hanging="420" w:hangingChars="200"/>
        <w:outlineLvl w:val="1"/>
        <w:rPr>
          <w:rFonts w:hint="eastAsia" w:ascii="宋体" w:hAnsi="宋体" w:eastAsia="宋体" w:cs="宋体"/>
          <w:bCs/>
          <w:color w:val="auto"/>
          <w:sz w:val="21"/>
          <w:szCs w:val="21"/>
          <w:highlight w:val="none"/>
          <w:lang w:val="zh-CN"/>
        </w:rPr>
      </w:pPr>
      <w:bookmarkStart w:id="24" w:name="_Toc31252"/>
      <w:bookmarkStart w:id="25" w:name="_Toc14886"/>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w:t>
      </w:r>
      <w:r>
        <w:rPr>
          <w:rFonts w:hint="eastAsia" w:ascii="宋体" w:hAnsi="宋体" w:eastAsia="宋体" w:cs="宋体"/>
          <w:bCs/>
          <w:color w:val="auto"/>
          <w:sz w:val="21"/>
          <w:szCs w:val="21"/>
          <w:highlight w:val="none"/>
          <w:lang w:val="en-US" w:eastAsia="zh-CN"/>
        </w:rPr>
        <w:t xml:space="preserve">3 </w:t>
      </w:r>
      <w:r>
        <w:rPr>
          <w:rFonts w:hint="eastAsia" w:ascii="宋体" w:hAnsi="宋体" w:eastAsia="宋体" w:cs="宋体"/>
          <w:bCs/>
          <w:color w:val="auto"/>
          <w:sz w:val="21"/>
          <w:szCs w:val="21"/>
          <w:highlight w:val="none"/>
          <w:lang w:val="zh-CN"/>
        </w:rPr>
        <w:t>投标保证金形式注意事项：</w:t>
      </w:r>
      <w:bookmarkEnd w:id="24"/>
      <w:bookmarkEnd w:id="25"/>
    </w:p>
    <w:p w14:paraId="1EA92175">
      <w:pPr>
        <w:pStyle w:val="159"/>
        <w:keepNext w:val="0"/>
        <w:keepLines w:val="0"/>
        <w:pageBreakBefore w:val="0"/>
        <w:kinsoku/>
        <w:overflowPunct/>
        <w:topLinePunct w:val="0"/>
        <w:bidi w:val="0"/>
        <w:spacing w:line="360" w:lineRule="auto"/>
        <w:ind w:left="420" w:hanging="420" w:hangingChars="200"/>
        <w:outlineLvl w:val="2"/>
        <w:rPr>
          <w:rFonts w:hint="eastAsia" w:ascii="宋体" w:hAnsi="宋体" w:eastAsia="宋体" w:cs="宋体"/>
          <w:bCs/>
          <w:color w:val="auto"/>
          <w:sz w:val="21"/>
          <w:szCs w:val="21"/>
          <w:highlight w:val="none"/>
          <w:lang w:val="zh-CN"/>
        </w:rPr>
      </w:pPr>
      <w:bookmarkStart w:id="26" w:name="_Toc21912"/>
      <w:bookmarkStart w:id="27" w:name="_Toc26630"/>
      <w:r>
        <w:rPr>
          <w:rFonts w:hint="eastAsia" w:ascii="宋体" w:hAnsi="宋体" w:eastAsia="宋体" w:cs="宋体"/>
          <w:bCs/>
          <w:color w:val="auto"/>
          <w:sz w:val="21"/>
          <w:szCs w:val="21"/>
          <w:highlight w:val="none"/>
          <w:lang w:val="zh-CN"/>
        </w:rPr>
        <w:t>（1）投标保证金到账时间应为投标保证金的关联时间。</w:t>
      </w:r>
      <w:bookmarkEnd w:id="26"/>
      <w:bookmarkEnd w:id="27"/>
    </w:p>
    <w:p w14:paraId="284557B5">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（2）投标保证金数据超过投标截止时间后到达交易系统的，无法关联。</w:t>
      </w:r>
    </w:p>
    <w:p w14:paraId="43294549">
      <w:pPr>
        <w:pStyle w:val="159"/>
        <w:keepNext w:val="0"/>
        <w:keepLines w:val="0"/>
        <w:pageBreakBefore w:val="0"/>
        <w:kinsoku/>
        <w:overflowPunct/>
        <w:topLinePunct w:val="0"/>
        <w:bidi w:val="0"/>
        <w:spacing w:line="360" w:lineRule="auto"/>
        <w:ind w:left="420" w:hanging="420" w:hangingChars="200"/>
        <w:outlineLvl w:val="2"/>
        <w:rPr>
          <w:rFonts w:hint="eastAsia" w:ascii="宋体" w:hAnsi="宋体" w:eastAsia="宋体" w:cs="宋体"/>
          <w:bCs/>
          <w:color w:val="auto"/>
          <w:sz w:val="21"/>
          <w:szCs w:val="21"/>
          <w:highlight w:val="none"/>
          <w:lang w:val="zh-CN"/>
        </w:rPr>
      </w:pPr>
      <w:bookmarkStart w:id="28" w:name="_Toc2829"/>
      <w:bookmarkStart w:id="29" w:name="_Toc12832"/>
      <w:r>
        <w:rPr>
          <w:rFonts w:hint="eastAsia" w:ascii="宋体" w:hAnsi="宋体" w:eastAsia="宋体" w:cs="宋体"/>
          <w:bCs/>
          <w:color w:val="auto"/>
          <w:sz w:val="21"/>
          <w:szCs w:val="21"/>
          <w:highlight w:val="none"/>
          <w:lang w:val="zh-CN"/>
        </w:rPr>
        <w:t>（3）投标人应提前办理投标保证金手续，自行承担数据延误风险。</w:t>
      </w:r>
      <w:bookmarkEnd w:id="28"/>
      <w:bookmarkEnd w:id="29"/>
    </w:p>
    <w:p w14:paraId="03714380">
      <w:pPr>
        <w:numPr>
          <w:ilvl w:val="-1"/>
          <w:numId w:val="0"/>
        </w:numPr>
        <w:autoSpaceDE w:val="0"/>
        <w:autoSpaceDN w:val="0"/>
        <w:adjustRightInd w:val="0"/>
        <w:snapToGrid w:val="0"/>
        <w:spacing w:line="360" w:lineRule="auto"/>
        <w:ind w:left="0" w:right="-34" w:firstLine="0"/>
        <w:jc w:val="left"/>
        <w:rPr>
          <w:rFonts w:hint="eastAsia" w:ascii="宋体" w:hAnsi="宋体" w:eastAsia="宋体" w:cs="宋体"/>
          <w:szCs w:val="21"/>
          <w:highlight w:val="none"/>
        </w:rPr>
      </w:pPr>
    </w:p>
    <w:p w14:paraId="459AE2A2">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rPr>
      </w:pPr>
      <w:r>
        <w:rPr>
          <w:rFonts w:hint="eastAsia" w:ascii="宋体" w:hAnsi="宋体" w:eastAsia="宋体" w:cs="宋体"/>
          <w:bCs/>
          <w:szCs w:val="21"/>
          <w:highlight w:val="none"/>
          <w:lang w:val="zh-CN"/>
        </w:rPr>
        <w:t>招标人联系方式</w:t>
      </w:r>
    </w:p>
    <w:p w14:paraId="280DC2FF">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招标人：</w:t>
      </w:r>
      <w:r>
        <w:rPr>
          <w:rFonts w:hint="eastAsia" w:ascii="宋体" w:hAnsi="宋体" w:eastAsia="宋体" w:cs="宋体"/>
          <w:color w:val="auto"/>
          <w:kern w:val="0"/>
          <w:szCs w:val="21"/>
          <w:highlight w:val="none"/>
          <w:lang w:eastAsia="zh-CN"/>
        </w:rPr>
        <w:t>东莞市水务环境投资控股集团有限公司</w:t>
      </w:r>
    </w:p>
    <w:p w14:paraId="10A5FF99">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地  址：</w:t>
      </w:r>
      <w:r>
        <w:rPr>
          <w:rFonts w:hint="eastAsia" w:ascii="宋体" w:hAnsi="宋体" w:eastAsia="宋体" w:cs="Times New Roman"/>
          <w:color w:val="auto"/>
          <w:kern w:val="0"/>
          <w:szCs w:val="21"/>
          <w:highlight w:val="none"/>
        </w:rPr>
        <w:t>东莞市东城街道育华路1号</w:t>
      </w:r>
    </w:p>
    <w:p w14:paraId="52B3FEE8">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lang w:val="en-US"/>
        </w:rPr>
      </w:pPr>
      <w:r>
        <w:rPr>
          <w:rFonts w:hint="eastAsia" w:ascii="宋体" w:hAnsi="宋体" w:eastAsia="宋体" w:cs="宋体"/>
          <w:kern w:val="0"/>
          <w:szCs w:val="21"/>
          <w:highlight w:val="none"/>
        </w:rPr>
        <w:t>联系人：</w:t>
      </w:r>
      <w:r>
        <w:rPr>
          <w:rFonts w:hint="eastAsia" w:ascii="宋体" w:hAnsi="宋体" w:eastAsia="宋体" w:cs="Times New Roman"/>
          <w:color w:val="auto"/>
          <w:kern w:val="0"/>
          <w:szCs w:val="21"/>
          <w:highlight w:val="none"/>
          <w:lang w:val="en-US" w:eastAsia="zh-CN"/>
        </w:rPr>
        <w:t>黄紫薇、曾月阳</w:t>
      </w:r>
    </w:p>
    <w:p w14:paraId="1F653C71">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电  话：</w:t>
      </w:r>
      <w:r>
        <w:rPr>
          <w:rFonts w:hint="eastAsia" w:ascii="宋体" w:hAnsi="宋体" w:eastAsia="宋体" w:cs="Times New Roman"/>
          <w:color w:val="auto"/>
          <w:kern w:val="0"/>
          <w:szCs w:val="21"/>
          <w:highlight w:val="none"/>
          <w:lang w:val="en-US" w:eastAsia="zh-CN"/>
        </w:rPr>
        <w:t>0769-22669037</w:t>
      </w:r>
    </w:p>
    <w:p w14:paraId="2BBEE34C">
      <w:pPr>
        <w:autoSpaceDE w:val="0"/>
        <w:autoSpaceDN w:val="0"/>
        <w:adjustRightInd w:val="0"/>
        <w:spacing w:line="360" w:lineRule="auto"/>
        <w:ind w:right="-29" w:rightChars="-14" w:firstLine="420"/>
        <w:rPr>
          <w:rFonts w:hint="eastAsia" w:ascii="宋体" w:hAnsi="宋体" w:eastAsia="宋体" w:cs="宋体"/>
          <w:kern w:val="0"/>
          <w:szCs w:val="21"/>
          <w:highlight w:val="none"/>
        </w:rPr>
      </w:pPr>
    </w:p>
    <w:p w14:paraId="3880C4A0">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rPr>
      </w:pPr>
      <w:r>
        <w:rPr>
          <w:rFonts w:hint="eastAsia" w:ascii="宋体" w:hAnsi="宋体" w:eastAsia="宋体" w:cs="宋体"/>
          <w:szCs w:val="21"/>
          <w:highlight w:val="none"/>
        </w:rPr>
        <w:t>招标代理机构</w:t>
      </w:r>
      <w:r>
        <w:rPr>
          <w:rFonts w:hint="eastAsia" w:ascii="宋体" w:hAnsi="宋体" w:eastAsia="宋体" w:cs="宋体"/>
          <w:szCs w:val="21"/>
          <w:highlight w:val="none"/>
          <w:lang w:val="en-US" w:eastAsia="zh-CN"/>
        </w:rPr>
        <w:t>及异议受理</w:t>
      </w:r>
      <w:r>
        <w:rPr>
          <w:rFonts w:hint="eastAsia" w:ascii="宋体" w:hAnsi="宋体" w:eastAsia="宋体" w:cs="宋体"/>
          <w:szCs w:val="21"/>
          <w:highlight w:val="none"/>
        </w:rPr>
        <w:t>联系方式</w:t>
      </w:r>
    </w:p>
    <w:p w14:paraId="0AECD20E">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bookmarkStart w:id="30" w:name="_Toc486167661"/>
      <w:bookmarkStart w:id="31" w:name="_Toc31764_WPSOffice_Level1"/>
      <w:bookmarkStart w:id="32" w:name="_Toc450662847"/>
      <w:r>
        <w:rPr>
          <w:rFonts w:hint="eastAsia" w:ascii="宋体" w:hAnsi="宋体" w:eastAsia="宋体" w:cs="宋体"/>
          <w:kern w:val="0"/>
          <w:szCs w:val="21"/>
          <w:highlight w:val="none"/>
        </w:rPr>
        <w:t>招标代理机构：</w:t>
      </w:r>
      <w:r>
        <w:rPr>
          <w:rFonts w:hint="eastAsia" w:ascii="宋体" w:hAnsi="宋体" w:eastAsia="宋体" w:cs="宋体"/>
          <w:color w:val="auto"/>
          <w:kern w:val="0"/>
          <w:sz w:val="21"/>
          <w:szCs w:val="21"/>
          <w:highlight w:val="none"/>
          <w:lang w:val="en-US" w:eastAsia="zh-CN" w:bidi="ar-SA"/>
        </w:rPr>
        <w:t>广东有德招标采购有限公司</w:t>
      </w:r>
    </w:p>
    <w:p w14:paraId="5DD75EF9">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地  址：</w:t>
      </w:r>
      <w:r>
        <w:rPr>
          <w:rFonts w:hint="eastAsia" w:ascii="宋体" w:hAnsi="宋体" w:eastAsia="宋体" w:cs="宋体"/>
          <w:color w:val="auto"/>
          <w:kern w:val="0"/>
          <w:sz w:val="21"/>
          <w:szCs w:val="21"/>
          <w:highlight w:val="none"/>
          <w:lang w:val="en-US" w:eastAsia="zh-CN" w:bidi="ar-SA"/>
        </w:rPr>
        <w:t>广东省东莞市东城街道新源路海德琥珀台6栋1703室</w:t>
      </w:r>
    </w:p>
    <w:p w14:paraId="67C3D157">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联系人：</w:t>
      </w:r>
      <w:r>
        <w:rPr>
          <w:rFonts w:hint="eastAsia" w:ascii="宋体" w:hAnsi="宋体" w:eastAsia="宋体" w:cs="宋体"/>
          <w:color w:val="auto"/>
          <w:kern w:val="0"/>
          <w:szCs w:val="21"/>
          <w:highlight w:val="none"/>
          <w:lang w:val="en-US" w:eastAsia="zh-CN"/>
        </w:rPr>
        <w:t>郑翠婷</w:t>
      </w:r>
    </w:p>
    <w:p w14:paraId="7FBDA381">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电  话：</w:t>
      </w:r>
      <w:r>
        <w:rPr>
          <w:rFonts w:hint="eastAsia" w:ascii="宋体" w:hAnsi="宋体" w:eastAsia="宋体" w:cs="宋体"/>
          <w:color w:val="auto"/>
          <w:szCs w:val="21"/>
        </w:rPr>
        <w:t>0769-23362836</w:t>
      </w:r>
      <w:r>
        <w:rPr>
          <w:rFonts w:hint="eastAsia" w:ascii="宋体" w:hAnsi="宋体" w:eastAsia="宋体" w:cs="宋体"/>
          <w:color w:val="auto"/>
          <w:szCs w:val="21"/>
          <w:lang w:val="en-US" w:eastAsia="zh-CN"/>
        </w:rPr>
        <w:t>-8019</w:t>
      </w:r>
    </w:p>
    <w:p w14:paraId="13C82487">
      <w:pPr>
        <w:pageBreakBefore/>
        <w:tabs>
          <w:tab w:val="left" w:pos="1080"/>
        </w:tabs>
        <w:autoSpaceDE w:val="0"/>
        <w:autoSpaceDN w:val="0"/>
        <w:adjustRightInd w:val="0"/>
        <w:spacing w:line="360" w:lineRule="auto"/>
        <w:ind w:left="-167" w:leftChars="-100" w:hanging="43"/>
        <w:jc w:val="center"/>
        <w:outlineLvl w:val="0"/>
        <w:rPr>
          <w:rFonts w:hint="eastAsia" w:ascii="宋体" w:hAnsi="宋体" w:eastAsia="宋体" w:cs="宋体"/>
          <w:b/>
          <w:bCs/>
          <w:kern w:val="44"/>
          <w:sz w:val="32"/>
          <w:szCs w:val="32"/>
          <w:highlight w:val="none"/>
        </w:rPr>
      </w:pPr>
      <w:bookmarkStart w:id="33" w:name="_Toc15111"/>
      <w:bookmarkStart w:id="34" w:name="_Toc142508311"/>
      <w:bookmarkStart w:id="35" w:name="_Toc18212"/>
      <w:bookmarkStart w:id="36" w:name="_Toc15359"/>
      <w:r>
        <w:rPr>
          <w:rFonts w:hint="eastAsia" w:ascii="宋体" w:hAnsi="宋体" w:eastAsia="宋体" w:cs="宋体"/>
          <w:b/>
          <w:bCs/>
          <w:kern w:val="44"/>
          <w:sz w:val="32"/>
          <w:szCs w:val="32"/>
          <w:highlight w:val="none"/>
          <w:lang w:val="zh-CN"/>
        </w:rPr>
        <w:t>第二篇</w:t>
      </w:r>
      <w:r>
        <w:rPr>
          <w:rFonts w:hint="eastAsia" w:ascii="宋体" w:hAnsi="宋体" w:eastAsia="宋体" w:cs="宋体"/>
          <w:b/>
          <w:bCs/>
          <w:kern w:val="44"/>
          <w:sz w:val="32"/>
          <w:szCs w:val="32"/>
          <w:highlight w:val="none"/>
        </w:rPr>
        <w:t xml:space="preserve"> </w:t>
      </w:r>
      <w:r>
        <w:rPr>
          <w:rFonts w:hint="eastAsia" w:ascii="宋体" w:hAnsi="宋体" w:eastAsia="宋体" w:cs="宋体"/>
          <w:b/>
          <w:bCs/>
          <w:kern w:val="44"/>
          <w:sz w:val="32"/>
          <w:szCs w:val="32"/>
          <w:highlight w:val="none"/>
          <w:lang w:val="zh-CN"/>
        </w:rPr>
        <w:t>投标人须知</w:t>
      </w:r>
      <w:bookmarkEnd w:id="30"/>
      <w:bookmarkEnd w:id="31"/>
      <w:bookmarkEnd w:id="32"/>
      <w:bookmarkEnd w:id="33"/>
      <w:bookmarkEnd w:id="34"/>
      <w:bookmarkEnd w:id="35"/>
      <w:bookmarkEnd w:id="36"/>
    </w:p>
    <w:p w14:paraId="58D7E4D5">
      <w:pPr>
        <w:keepNext/>
        <w:keepLines/>
        <w:autoSpaceDE w:val="0"/>
        <w:autoSpaceDN w:val="0"/>
        <w:adjustRightInd w:val="0"/>
        <w:spacing w:line="360" w:lineRule="auto"/>
        <w:jc w:val="left"/>
        <w:outlineLvl w:val="0"/>
        <w:rPr>
          <w:rFonts w:hint="eastAsia" w:ascii="宋体" w:hAnsi="宋体" w:eastAsia="宋体" w:cs="宋体"/>
          <w:b/>
          <w:bCs/>
          <w:kern w:val="44"/>
          <w:szCs w:val="21"/>
          <w:highlight w:val="none"/>
          <w:lang w:val="zh-CN"/>
        </w:rPr>
      </w:pPr>
      <w:bookmarkStart w:id="37" w:name="_Toc14832"/>
      <w:bookmarkStart w:id="38" w:name="_Toc24479"/>
      <w:bookmarkStart w:id="39" w:name="_Toc15366_WPSOffice_Level2"/>
      <w:bookmarkStart w:id="40" w:name="_Toc9555"/>
      <w:bookmarkStart w:id="41" w:name="_Toc142508312"/>
      <w:bookmarkStart w:id="42" w:name="_Toc486167662"/>
      <w:bookmarkStart w:id="43" w:name="_Toc140596871"/>
      <w:bookmarkStart w:id="44" w:name="_Toc450662848"/>
      <w:r>
        <w:rPr>
          <w:rFonts w:hint="eastAsia" w:ascii="宋体" w:hAnsi="宋体" w:eastAsia="宋体" w:cs="宋体"/>
          <w:b/>
          <w:bCs/>
          <w:kern w:val="44"/>
          <w:szCs w:val="21"/>
          <w:highlight w:val="none"/>
          <w:lang w:val="zh-CN"/>
        </w:rPr>
        <w:t>一、总则</w:t>
      </w:r>
      <w:bookmarkEnd w:id="37"/>
      <w:bookmarkEnd w:id="38"/>
      <w:bookmarkEnd w:id="39"/>
      <w:bookmarkEnd w:id="40"/>
      <w:bookmarkEnd w:id="41"/>
      <w:bookmarkEnd w:id="42"/>
      <w:bookmarkEnd w:id="43"/>
      <w:bookmarkEnd w:id="44"/>
    </w:p>
    <w:p w14:paraId="2E9BE409">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45" w:name="_Toc450662849"/>
      <w:bookmarkStart w:id="46" w:name="_Toc142508313"/>
      <w:bookmarkStart w:id="47" w:name="_Toc21710_WPSOffice_Level3"/>
      <w:bookmarkStart w:id="48" w:name="_Toc9608"/>
      <w:bookmarkStart w:id="49" w:name="_Toc486167663"/>
      <w:bookmarkStart w:id="50" w:name="_Toc16288"/>
      <w:bookmarkStart w:id="51" w:name="_Toc23333"/>
      <w:r>
        <w:rPr>
          <w:rFonts w:hint="eastAsia" w:ascii="宋体" w:hAnsi="宋体" w:eastAsia="宋体" w:cs="宋体"/>
          <w:szCs w:val="21"/>
          <w:highlight w:val="none"/>
          <w:lang w:val="zh-CN"/>
        </w:rPr>
        <w:t>1 资金来源：企业自筹资金。</w:t>
      </w:r>
      <w:bookmarkEnd w:id="45"/>
      <w:bookmarkEnd w:id="46"/>
      <w:bookmarkEnd w:id="47"/>
      <w:bookmarkEnd w:id="48"/>
      <w:bookmarkEnd w:id="49"/>
      <w:bookmarkEnd w:id="50"/>
      <w:bookmarkEnd w:id="51"/>
    </w:p>
    <w:p w14:paraId="38D6E9D0">
      <w:pPr>
        <w:autoSpaceDE w:val="0"/>
        <w:autoSpaceDN w:val="0"/>
        <w:adjustRightInd w:val="0"/>
        <w:jc w:val="left"/>
        <w:rPr>
          <w:rFonts w:hint="eastAsia" w:ascii="宋体" w:hAnsi="宋体" w:eastAsia="宋体" w:cs="宋体"/>
          <w:kern w:val="0"/>
          <w:sz w:val="24"/>
          <w:szCs w:val="24"/>
          <w:highlight w:val="none"/>
        </w:rPr>
      </w:pPr>
    </w:p>
    <w:p w14:paraId="07024797">
      <w:pPr>
        <w:tabs>
          <w:tab w:val="left" w:pos="570"/>
        </w:tabs>
        <w:autoSpaceDE w:val="0"/>
        <w:autoSpaceDN w:val="0"/>
        <w:adjustRightInd w:val="0"/>
        <w:spacing w:line="360" w:lineRule="auto"/>
        <w:ind w:left="357" w:leftChars="-100" w:hanging="567"/>
        <w:jc w:val="left"/>
        <w:outlineLvl w:val="2"/>
        <w:rPr>
          <w:rFonts w:hint="eastAsia" w:ascii="宋体" w:hAnsi="宋体" w:eastAsia="宋体" w:cs="宋体"/>
          <w:b/>
          <w:szCs w:val="21"/>
          <w:highlight w:val="none"/>
          <w:lang w:val="zh-CN"/>
        </w:rPr>
      </w:pPr>
      <w:bookmarkStart w:id="52" w:name="_Toc450662850"/>
      <w:bookmarkStart w:id="53" w:name="_Toc80_WPSOffice_Level3"/>
      <w:bookmarkStart w:id="54" w:name="_Toc18557"/>
      <w:bookmarkStart w:id="55" w:name="_Toc142508314"/>
      <w:bookmarkStart w:id="56" w:name="_Toc486167664"/>
      <w:bookmarkStart w:id="57" w:name="_Toc32244"/>
      <w:bookmarkStart w:id="58" w:name="_Toc31095"/>
      <w:r>
        <w:rPr>
          <w:rFonts w:hint="eastAsia" w:ascii="宋体" w:hAnsi="宋体" w:eastAsia="宋体" w:cs="宋体"/>
          <w:b/>
          <w:szCs w:val="21"/>
          <w:highlight w:val="none"/>
          <w:lang w:val="zh-CN"/>
        </w:rPr>
        <w:t>2 合格的投标人</w:t>
      </w:r>
      <w:bookmarkEnd w:id="52"/>
      <w:bookmarkEnd w:id="53"/>
      <w:bookmarkEnd w:id="54"/>
      <w:bookmarkEnd w:id="55"/>
      <w:bookmarkEnd w:id="56"/>
      <w:bookmarkEnd w:id="57"/>
      <w:bookmarkEnd w:id="58"/>
    </w:p>
    <w:p w14:paraId="2AB8316A">
      <w:pPr>
        <w:autoSpaceDE w:val="0"/>
        <w:autoSpaceDN w:val="0"/>
        <w:adjustRightInd w:val="0"/>
        <w:spacing w:line="360" w:lineRule="auto"/>
        <w:ind w:left="317" w:leftChars="-100" w:hanging="527" w:hangingChars="250"/>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2.1  合格的投标人条件见第一篇《招标公告》中第2条的“合格投标人资格要求”及本条以下2.2款至2.</w:t>
      </w:r>
      <w:r>
        <w:rPr>
          <w:rFonts w:hint="eastAsia" w:ascii="宋体" w:hAnsi="宋体" w:eastAsia="宋体" w:cs="宋体"/>
          <w:b/>
          <w:szCs w:val="21"/>
          <w:highlight w:val="none"/>
          <w:lang w:val="en-US" w:eastAsia="zh-CN"/>
        </w:rPr>
        <w:t>5</w:t>
      </w:r>
      <w:r>
        <w:rPr>
          <w:rFonts w:hint="eastAsia" w:ascii="宋体" w:hAnsi="宋体" w:eastAsia="宋体" w:cs="宋体"/>
          <w:b/>
          <w:szCs w:val="21"/>
          <w:highlight w:val="none"/>
          <w:lang w:val="zh-CN"/>
        </w:rPr>
        <w:t>款的通用要求。</w:t>
      </w:r>
    </w:p>
    <w:p w14:paraId="2AE98004">
      <w:pPr>
        <w:autoSpaceDE w:val="0"/>
        <w:autoSpaceDN w:val="0"/>
        <w:adjustRightInd w:val="0"/>
        <w:spacing w:line="360" w:lineRule="auto"/>
        <w:ind w:left="359" w:leftChars="-100" w:hanging="569" w:hangingChars="270"/>
        <w:rPr>
          <w:rFonts w:hint="eastAsia" w:ascii="宋体" w:hAnsi="宋体" w:eastAsia="宋体" w:cs="宋体"/>
          <w:b/>
          <w:kern w:val="0"/>
          <w:szCs w:val="21"/>
          <w:highlight w:val="none"/>
        </w:rPr>
      </w:pPr>
      <w:r>
        <w:rPr>
          <w:rFonts w:hint="eastAsia" w:ascii="宋体" w:hAnsi="宋体" w:eastAsia="宋体" w:cs="宋体"/>
          <w:b/>
          <w:kern w:val="0"/>
          <w:szCs w:val="24"/>
          <w:highlight w:val="none"/>
        </w:rPr>
        <w:t xml:space="preserve">2.2  </w:t>
      </w:r>
      <w:r>
        <w:rPr>
          <w:rFonts w:hint="eastAsia" w:ascii="宋体" w:hAnsi="宋体" w:eastAsia="宋体" w:cs="宋体"/>
          <w:b/>
          <w:kern w:val="0"/>
          <w:szCs w:val="21"/>
          <w:highlight w:val="none"/>
        </w:rPr>
        <w:t>投标人在参加本项目投标前的三年内不得在投标活动中存在《中华人民共和国招标投标法》第五十三条（相互串通投标或者与招标人串通投标，以向招标人或者评标委员会成员行贿的手段谋取中标）、第五十四条（以他人名义投标或者以其他方式弄虚作假，骗取中标）、第六十条（中标人不履行与招标人订立的合同）、《中华人民共和国招标投标法实施条例》第七十六条（将中标项目转让给他人的，将中标项目肢解后分别转让给他人的，违反招标投标法和本条例规定将中标项目的部分主体、关键性工作分包给他人的，或者分包人再次分包）、第七十七条（捏造事实、伪造材料或者以非法手段取得证明材料进行投诉）规定的违法行为，而受到各级管理部门的处罚。投标人存在前述处罚的，在投标文件中必须主动按招标文件的要求填报“最近3年投标人牵涉的其他（失信和违法）</w:t>
      </w:r>
      <w:r>
        <w:rPr>
          <w:rFonts w:hint="eastAsia" w:ascii="宋体" w:hAnsi="宋体" w:eastAsia="宋体" w:cs="宋体"/>
          <w:b/>
          <w:kern w:val="0"/>
          <w:szCs w:val="21"/>
          <w:highlight w:val="none"/>
          <w:lang w:val="zh-CN"/>
        </w:rPr>
        <w:t>处罚说明</w:t>
      </w:r>
      <w:r>
        <w:rPr>
          <w:rFonts w:hint="eastAsia" w:ascii="宋体" w:hAnsi="宋体" w:eastAsia="宋体" w:cs="宋体"/>
          <w:b/>
          <w:kern w:val="0"/>
          <w:szCs w:val="21"/>
          <w:highlight w:val="none"/>
        </w:rPr>
        <w:t>”，如果不主动填报而被事后发现的，将取消其投标（中标）资格，并按有关规定从重处理。</w:t>
      </w:r>
    </w:p>
    <w:p w14:paraId="56BAF349">
      <w:pPr>
        <w:autoSpaceDE w:val="0"/>
        <w:autoSpaceDN w:val="0"/>
        <w:adjustRightInd w:val="0"/>
        <w:spacing w:line="360" w:lineRule="auto"/>
        <w:ind w:left="317" w:leftChars="-100" w:hanging="527" w:hangingChars="250"/>
        <w:rPr>
          <w:rFonts w:hint="eastAsia" w:ascii="宋体" w:hAnsi="宋体" w:eastAsia="宋体" w:cs="宋体"/>
          <w:b/>
          <w:szCs w:val="21"/>
          <w:highlight w:val="none"/>
          <w:lang w:val="zh-CN"/>
        </w:rPr>
      </w:pPr>
      <w:r>
        <w:rPr>
          <w:rFonts w:hint="eastAsia" w:ascii="宋体" w:hAnsi="宋体" w:eastAsia="宋体" w:cs="宋体"/>
          <w:b/>
          <w:kern w:val="0"/>
          <w:szCs w:val="21"/>
          <w:highlight w:val="none"/>
          <w:lang w:val="zh-CN"/>
        </w:rPr>
        <w:t>2.3  投标人</w:t>
      </w:r>
      <w:r>
        <w:rPr>
          <w:rFonts w:hint="eastAsia" w:ascii="宋体" w:hAnsi="宋体" w:eastAsia="宋体" w:cs="宋体"/>
          <w:b/>
          <w:szCs w:val="21"/>
          <w:highlight w:val="none"/>
          <w:lang w:val="zh-CN"/>
        </w:rPr>
        <w:t>符合《中华人民共和国招标投标法》第二十六条规定。</w:t>
      </w:r>
    </w:p>
    <w:p w14:paraId="34A4617F">
      <w:pPr>
        <w:autoSpaceDE w:val="0"/>
        <w:autoSpaceDN w:val="0"/>
        <w:adjustRightInd w:val="0"/>
        <w:spacing w:line="360" w:lineRule="auto"/>
        <w:ind w:left="359" w:leftChars="-99" w:hanging="567" w:hangingChars="269"/>
        <w:rPr>
          <w:rFonts w:hint="eastAsia" w:ascii="宋体" w:hAnsi="宋体" w:eastAsia="宋体" w:cs="宋体"/>
          <w:b/>
          <w:kern w:val="0"/>
          <w:szCs w:val="21"/>
          <w:highlight w:val="none"/>
        </w:rPr>
      </w:pPr>
      <w:r>
        <w:rPr>
          <w:rFonts w:hint="eastAsia" w:ascii="宋体" w:hAnsi="宋体" w:eastAsia="宋体" w:cs="宋体"/>
          <w:b/>
          <w:kern w:val="0"/>
          <w:szCs w:val="21"/>
          <w:highlight w:val="none"/>
        </w:rPr>
        <w:t>2.4  投标人（含其不具有独立法人资格的分支机构）未被列入“信用中国”网站（www.creditchina.gov.cn）失信被执行人、重大税收违法失信主体、</w:t>
      </w:r>
      <w:r>
        <w:rPr>
          <w:rFonts w:hint="eastAsia" w:ascii="宋体" w:hAnsi="宋体" w:eastAsia="宋体" w:cs="宋体"/>
          <w:b/>
          <w:color w:val="auto"/>
          <w:kern w:val="0"/>
          <w:szCs w:val="21"/>
          <w:highlight w:val="none"/>
          <w:lang w:val="en-US" w:eastAsia="zh-CN"/>
        </w:rPr>
        <w:t>政府采购</w:t>
      </w:r>
      <w:r>
        <w:rPr>
          <w:rFonts w:hint="eastAsia" w:ascii="宋体" w:hAnsi="宋体" w:eastAsia="宋体" w:cs="宋体"/>
          <w:b/>
          <w:kern w:val="0"/>
          <w:szCs w:val="21"/>
          <w:highlight w:val="none"/>
        </w:rPr>
        <w:t>严重违法失信行为记录名单（处罚期限届满的除外）。</w:t>
      </w:r>
    </w:p>
    <w:p w14:paraId="7FDC61C5">
      <w:pPr>
        <w:autoSpaceDE w:val="0"/>
        <w:autoSpaceDN w:val="0"/>
        <w:adjustRightInd w:val="0"/>
        <w:spacing w:line="360" w:lineRule="auto"/>
        <w:ind w:left="317" w:leftChars="-100" w:hanging="527" w:hangingChars="250"/>
        <w:rPr>
          <w:rFonts w:hint="eastAsia" w:ascii="宋体" w:hAnsi="宋体" w:eastAsia="宋体" w:cs="宋体"/>
          <w:b/>
          <w:kern w:val="0"/>
          <w:szCs w:val="21"/>
          <w:highlight w:val="none"/>
          <w:lang w:val="zh-CN"/>
        </w:rPr>
      </w:pPr>
      <w:r>
        <w:rPr>
          <w:rFonts w:hint="eastAsia" w:ascii="宋体" w:hAnsi="宋体" w:eastAsia="宋体" w:cs="宋体"/>
          <w:b/>
          <w:szCs w:val="21"/>
          <w:highlight w:val="none"/>
          <w:lang w:val="zh-CN"/>
        </w:rPr>
        <w:t xml:space="preserve">2.5  </w:t>
      </w:r>
      <w:r>
        <w:rPr>
          <w:rFonts w:hint="eastAsia" w:ascii="宋体" w:hAnsi="宋体" w:eastAsia="宋体" w:cs="宋体"/>
          <w:b/>
          <w:kern w:val="0"/>
          <w:szCs w:val="21"/>
          <w:highlight w:val="none"/>
        </w:rPr>
        <w:t>根据《中华人民共和国招标投标法实施条例》第三十四条规定，与招标人存在利害关系可能影响招标公正性的法人、其他组织或者个人，不得参加投标；投标人负责人为同一人或者存在控股、管理关系的不同投标人，不得参加同一项目投标。上述情况一经发现，相关投标均无效</w:t>
      </w:r>
      <w:r>
        <w:rPr>
          <w:rFonts w:hint="eastAsia" w:ascii="宋体" w:hAnsi="宋体" w:eastAsia="宋体" w:cs="宋体"/>
          <w:b/>
          <w:szCs w:val="21"/>
          <w:highlight w:val="none"/>
          <w:lang w:val="zh-CN"/>
        </w:rPr>
        <w:t>。</w:t>
      </w:r>
    </w:p>
    <w:p w14:paraId="79011833">
      <w:pPr>
        <w:tabs>
          <w:tab w:val="left" w:pos="426"/>
        </w:tabs>
        <w:autoSpaceDE w:val="0"/>
        <w:autoSpaceDN w:val="0"/>
        <w:adjustRightInd w:val="0"/>
        <w:spacing w:line="360" w:lineRule="auto"/>
        <w:ind w:left="319" w:leftChars="-100" w:hanging="529" w:hangingChars="252"/>
        <w:rPr>
          <w:rFonts w:hint="eastAsia" w:ascii="宋体" w:hAnsi="宋体" w:eastAsia="宋体" w:cs="宋体"/>
          <w:kern w:val="0"/>
          <w:szCs w:val="24"/>
          <w:highlight w:val="none"/>
        </w:rPr>
      </w:pPr>
    </w:p>
    <w:p w14:paraId="1D645206">
      <w:pPr>
        <w:tabs>
          <w:tab w:val="left" w:pos="570"/>
        </w:tabs>
        <w:autoSpaceDE w:val="0"/>
        <w:autoSpaceDN w:val="0"/>
        <w:adjustRightInd w:val="0"/>
        <w:spacing w:line="360" w:lineRule="auto"/>
        <w:ind w:left="357" w:leftChars="-100" w:hanging="567"/>
        <w:jc w:val="left"/>
        <w:outlineLvl w:val="2"/>
        <w:rPr>
          <w:rFonts w:hint="eastAsia" w:ascii="宋体" w:hAnsi="宋体" w:eastAsia="宋体" w:cs="宋体"/>
          <w:b/>
          <w:szCs w:val="21"/>
          <w:highlight w:val="none"/>
          <w:lang w:val="en-US" w:eastAsia="zh-CN"/>
        </w:rPr>
      </w:pPr>
      <w:bookmarkStart w:id="59" w:name="_Toc142508315"/>
      <w:bookmarkStart w:id="60" w:name="_Toc23847_WPSOffice_Level3"/>
      <w:bookmarkStart w:id="61" w:name="_Toc11689"/>
      <w:bookmarkStart w:id="62" w:name="_Toc19774"/>
      <w:bookmarkStart w:id="63" w:name="_Toc20209"/>
      <w:bookmarkStart w:id="64" w:name="_Toc450662851"/>
      <w:bookmarkStart w:id="65" w:name="_Toc486167665"/>
      <w:r>
        <w:rPr>
          <w:rFonts w:hint="eastAsia" w:ascii="宋体" w:hAnsi="宋体" w:eastAsia="宋体" w:cs="宋体"/>
          <w:b/>
          <w:szCs w:val="21"/>
          <w:highlight w:val="none"/>
          <w:lang w:val="zh-CN"/>
        </w:rPr>
        <w:t>3 合格的</w:t>
      </w:r>
      <w:bookmarkEnd w:id="59"/>
      <w:bookmarkEnd w:id="60"/>
      <w:r>
        <w:rPr>
          <w:rFonts w:hint="eastAsia" w:ascii="宋体" w:hAnsi="宋体" w:eastAsia="宋体" w:cs="宋体"/>
          <w:b/>
          <w:szCs w:val="21"/>
          <w:highlight w:val="none"/>
          <w:lang w:val="en-US" w:eastAsia="zh-CN"/>
        </w:rPr>
        <w:t>服务</w:t>
      </w:r>
      <w:bookmarkEnd w:id="61"/>
      <w:bookmarkEnd w:id="62"/>
      <w:bookmarkEnd w:id="63"/>
    </w:p>
    <w:p w14:paraId="2CC46649">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r>
        <w:rPr>
          <w:rFonts w:hint="eastAsia" w:ascii="宋体" w:hAnsi="宋体" w:eastAsia="宋体" w:cs="宋体"/>
          <w:szCs w:val="21"/>
          <w:highlight w:val="none"/>
          <w:lang w:val="zh-CN"/>
        </w:rPr>
        <w:t>3.1</w:t>
      </w:r>
      <w:r>
        <w:rPr>
          <w:rFonts w:hint="eastAsia" w:ascii="宋体" w:hAnsi="宋体" w:eastAsia="宋体" w:cs="宋体"/>
          <w:szCs w:val="21"/>
          <w:highlight w:val="none"/>
        </w:rPr>
        <w:t xml:space="preserve"> “服务”是指投标人按招标文件规定完成的全部服务内容，其中包括完成服务所需的货物和工程，及须承担的技术支持、培训和其它伴随服务。</w:t>
      </w:r>
    </w:p>
    <w:p w14:paraId="395280ED">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bookmarkStart w:id="66" w:name="_Toc533708063"/>
      <w:bookmarkStart w:id="67" w:name="_Toc1977663"/>
      <w:r>
        <w:rPr>
          <w:rFonts w:hint="eastAsia" w:ascii="宋体" w:hAnsi="宋体" w:eastAsia="宋体" w:cs="宋体"/>
          <w:szCs w:val="21"/>
          <w:highlight w:val="none"/>
          <w:lang w:val="zh-CN"/>
        </w:rPr>
        <w:t xml:space="preserve">3.2  </w:t>
      </w:r>
      <w:bookmarkEnd w:id="66"/>
      <w:bookmarkEnd w:id="67"/>
      <w:bookmarkStart w:id="68" w:name="_Toc533708065"/>
      <w:bookmarkStart w:id="69" w:name="_Toc1977665"/>
      <w:r>
        <w:rPr>
          <w:rFonts w:hint="eastAsia" w:ascii="宋体" w:hAnsi="宋体" w:eastAsia="宋体" w:cs="宋体"/>
          <w:szCs w:val="21"/>
          <w:highlight w:val="none"/>
          <w:lang w:val="zh-CN"/>
        </w:rPr>
        <w:t>投标人必须保证提供的所有</w:t>
      </w:r>
      <w:r>
        <w:rPr>
          <w:rFonts w:hint="eastAsia" w:ascii="宋体" w:hAnsi="宋体" w:eastAsia="宋体" w:cs="宋体"/>
          <w:szCs w:val="21"/>
          <w:highlight w:val="none"/>
          <w:lang w:val="en-US" w:eastAsia="zh-CN"/>
        </w:rPr>
        <w:t>服务</w:t>
      </w:r>
      <w:r>
        <w:rPr>
          <w:rFonts w:hint="eastAsia" w:ascii="宋体" w:hAnsi="宋体" w:eastAsia="宋体" w:cs="宋体"/>
          <w:szCs w:val="21"/>
          <w:highlight w:val="none"/>
          <w:lang w:val="zh-CN"/>
        </w:rPr>
        <w:t>或</w:t>
      </w:r>
      <w:r>
        <w:rPr>
          <w:rFonts w:hint="eastAsia" w:ascii="宋体" w:hAnsi="宋体" w:eastAsia="宋体" w:cs="宋体"/>
          <w:szCs w:val="21"/>
          <w:highlight w:val="none"/>
          <w:lang w:val="en-US" w:eastAsia="zh-CN"/>
        </w:rPr>
        <w:t>服务</w:t>
      </w:r>
      <w:r>
        <w:rPr>
          <w:rFonts w:hint="eastAsia" w:ascii="宋体" w:hAnsi="宋体" w:eastAsia="宋体" w:cs="宋体"/>
          <w:szCs w:val="21"/>
          <w:highlight w:val="none"/>
          <w:lang w:val="zh-CN"/>
        </w:rPr>
        <w:t>的任何部分均为最新正式版本。</w:t>
      </w:r>
      <w:bookmarkEnd w:id="68"/>
      <w:bookmarkEnd w:id="69"/>
    </w:p>
    <w:p w14:paraId="0E14E7D6">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bookmarkStart w:id="70" w:name="_Toc533708066"/>
      <w:bookmarkStart w:id="71" w:name="_Toc1977666"/>
      <w:r>
        <w:rPr>
          <w:rFonts w:hint="eastAsia" w:ascii="宋体" w:hAnsi="宋体" w:eastAsia="宋体" w:cs="宋体"/>
          <w:szCs w:val="21"/>
          <w:highlight w:val="none"/>
          <w:lang w:val="zh-CN"/>
        </w:rPr>
        <w:t>3.</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lang w:val="zh-CN"/>
        </w:rPr>
        <w:t xml:space="preserve">  </w:t>
      </w:r>
      <w:bookmarkEnd w:id="70"/>
      <w:bookmarkEnd w:id="71"/>
      <w:bookmarkStart w:id="72" w:name="_Toc533708067"/>
      <w:bookmarkStart w:id="73" w:name="_Toc1977667"/>
      <w:r>
        <w:rPr>
          <w:rFonts w:hint="eastAsia" w:ascii="宋体" w:hAnsi="宋体" w:eastAsia="宋体" w:cs="宋体"/>
          <w:szCs w:val="21"/>
          <w:highlight w:val="none"/>
          <w:lang w:val="zh-CN"/>
        </w:rPr>
        <w:t>投标人</w:t>
      </w:r>
      <w:r>
        <w:rPr>
          <w:rFonts w:hint="eastAsia" w:ascii="宋体" w:hAnsi="宋体" w:eastAsia="宋体" w:cs="宋体"/>
          <w:kern w:val="0"/>
          <w:szCs w:val="21"/>
          <w:highlight w:val="none"/>
        </w:rPr>
        <w:t>应保证招标人在中华人民共和国使用</w:t>
      </w:r>
      <w:r>
        <w:rPr>
          <w:rFonts w:hint="eastAsia" w:ascii="宋体" w:hAnsi="宋体" w:eastAsia="宋体" w:cs="宋体"/>
          <w:kern w:val="0"/>
          <w:szCs w:val="21"/>
          <w:highlight w:val="none"/>
          <w:lang w:val="en-US" w:eastAsia="zh-CN"/>
        </w:rPr>
        <w:t>服务</w:t>
      </w:r>
      <w:r>
        <w:rPr>
          <w:rFonts w:hint="eastAsia" w:ascii="宋体" w:hAnsi="宋体" w:eastAsia="宋体" w:cs="宋体"/>
          <w:kern w:val="0"/>
          <w:szCs w:val="21"/>
          <w:highlight w:val="none"/>
        </w:rPr>
        <w:t>或</w:t>
      </w:r>
      <w:r>
        <w:rPr>
          <w:rFonts w:hint="eastAsia" w:ascii="宋体" w:hAnsi="宋体" w:eastAsia="宋体" w:cs="宋体"/>
          <w:kern w:val="0"/>
          <w:szCs w:val="21"/>
          <w:highlight w:val="none"/>
          <w:lang w:val="en-US" w:eastAsia="zh-CN"/>
        </w:rPr>
        <w:t>服务</w:t>
      </w:r>
      <w:r>
        <w:rPr>
          <w:rFonts w:hint="eastAsia" w:ascii="宋体" w:hAnsi="宋体" w:eastAsia="宋体" w:cs="宋体"/>
          <w:kern w:val="0"/>
          <w:szCs w:val="21"/>
          <w:highlight w:val="none"/>
        </w:rPr>
        <w:t>的任何一部分时，招标人免受第三方提出侵犯其专利权、商标权或其它知识产权的起诉。如果投标人不拥有相应的知识产权，则须在报价中包括合法获取该知识产权的相关费用，并在招标文件中附有相关证明文件。如有违反，造成招标人任何经济损失或其他损失的，由投标人承担全部赔偿责任</w:t>
      </w:r>
      <w:r>
        <w:rPr>
          <w:rFonts w:hint="eastAsia" w:ascii="宋体" w:hAnsi="宋体" w:eastAsia="宋体" w:cs="宋体"/>
          <w:szCs w:val="21"/>
          <w:highlight w:val="none"/>
          <w:lang w:val="zh-CN"/>
        </w:rPr>
        <w:t>。</w:t>
      </w:r>
      <w:bookmarkEnd w:id="72"/>
      <w:bookmarkEnd w:id="73"/>
    </w:p>
    <w:p w14:paraId="6A008CD7">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bookmarkStart w:id="74" w:name="_Toc1977668"/>
      <w:bookmarkStart w:id="75" w:name="_Toc533708068"/>
      <w:r>
        <w:rPr>
          <w:rFonts w:hint="eastAsia" w:ascii="宋体" w:hAnsi="宋体" w:eastAsia="宋体" w:cs="宋体"/>
          <w:szCs w:val="21"/>
          <w:highlight w:val="none"/>
          <w:lang w:val="zh-CN"/>
        </w:rPr>
        <w:t>3.</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val="zh-CN"/>
        </w:rPr>
        <w:t xml:space="preserve"> </w:t>
      </w:r>
      <w:bookmarkEnd w:id="74"/>
      <w:bookmarkEnd w:id="75"/>
      <w:r>
        <w:rPr>
          <w:rFonts w:hint="eastAsia" w:ascii="宋体" w:hAnsi="宋体" w:eastAsia="宋体" w:cs="宋体"/>
          <w:szCs w:val="21"/>
          <w:highlight w:val="none"/>
          <w:lang w:val="zh-CN"/>
        </w:rPr>
        <w:t>无论投标人</w:t>
      </w:r>
      <w:r>
        <w:rPr>
          <w:rFonts w:hint="eastAsia" w:ascii="宋体" w:hAnsi="宋体" w:eastAsia="宋体" w:cs="宋体"/>
          <w:kern w:val="0"/>
          <w:szCs w:val="21"/>
          <w:highlight w:val="none"/>
        </w:rPr>
        <w:t>是否在投标报价表中明示，均视为投标报价已包含所有应支付的对专利权</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商标权和版权、设计或其他知识产权而需要向其他方支付的版税和使用费等相关费用。如投标人未依法向第三方支付应缴版税和使用费等相关费用</w:t>
      </w:r>
      <w:r>
        <w:rPr>
          <w:rFonts w:hint="eastAsia" w:ascii="宋体" w:hAnsi="宋体" w:eastAsia="宋体" w:cs="宋体"/>
          <w:color w:val="auto"/>
          <w:kern w:val="0"/>
          <w:szCs w:val="21"/>
          <w:highlight w:val="none"/>
          <w:lang w:val="en-US" w:eastAsia="zh-CN"/>
        </w:rPr>
        <w:t>的</w:t>
      </w:r>
      <w:r>
        <w:rPr>
          <w:rFonts w:hint="eastAsia" w:ascii="宋体" w:hAnsi="宋体" w:eastAsia="宋体" w:cs="宋体"/>
          <w:color w:val="auto"/>
          <w:kern w:val="0"/>
          <w:szCs w:val="21"/>
          <w:highlight w:val="none"/>
        </w:rPr>
        <w:t>，造成招标人任何经济损失的，由投标人承担全部赔偿责任</w:t>
      </w:r>
      <w:r>
        <w:rPr>
          <w:rFonts w:hint="eastAsia" w:ascii="宋体" w:hAnsi="宋体" w:eastAsia="宋体" w:cs="宋体"/>
          <w:color w:val="auto"/>
          <w:szCs w:val="21"/>
          <w:highlight w:val="none"/>
          <w:lang w:val="zh-CN"/>
        </w:rPr>
        <w:t>。</w:t>
      </w:r>
    </w:p>
    <w:p w14:paraId="50673152">
      <w:pPr>
        <w:autoSpaceDE w:val="0"/>
        <w:autoSpaceDN w:val="0"/>
        <w:adjustRightInd w:val="0"/>
        <w:spacing w:line="360" w:lineRule="auto"/>
        <w:jc w:val="left"/>
        <w:rPr>
          <w:rFonts w:hint="eastAsia" w:ascii="宋体" w:hAnsi="宋体" w:eastAsia="宋体" w:cs="宋体"/>
          <w:szCs w:val="21"/>
          <w:highlight w:val="none"/>
          <w:lang w:val="zh-CN"/>
        </w:rPr>
      </w:pPr>
    </w:p>
    <w:p w14:paraId="78F9DC8D">
      <w:pPr>
        <w:tabs>
          <w:tab w:val="left" w:pos="570"/>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76" w:name="_Toc142508316"/>
      <w:bookmarkStart w:id="77" w:name="_Toc9658_WPSOffice_Level3"/>
      <w:bookmarkStart w:id="78" w:name="_Toc11533"/>
      <w:bookmarkStart w:id="79" w:name="_Toc3404"/>
      <w:bookmarkStart w:id="80" w:name="_Toc23153"/>
      <w:r>
        <w:rPr>
          <w:rFonts w:hint="eastAsia" w:ascii="宋体" w:hAnsi="宋体" w:eastAsia="宋体" w:cs="宋体"/>
          <w:szCs w:val="21"/>
          <w:highlight w:val="none"/>
          <w:lang w:val="zh-CN"/>
        </w:rPr>
        <w:t>4 其它说明</w:t>
      </w:r>
      <w:bookmarkEnd w:id="76"/>
      <w:bookmarkEnd w:id="77"/>
      <w:bookmarkEnd w:id="78"/>
      <w:bookmarkEnd w:id="79"/>
      <w:bookmarkEnd w:id="80"/>
    </w:p>
    <w:p w14:paraId="25A829CB">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bookmarkStart w:id="81" w:name="_Toc1977670"/>
      <w:bookmarkStart w:id="82" w:name="_Toc533708070"/>
      <w:r>
        <w:rPr>
          <w:rFonts w:hint="eastAsia" w:ascii="宋体" w:hAnsi="宋体" w:eastAsia="宋体" w:cs="宋体"/>
          <w:szCs w:val="21"/>
          <w:highlight w:val="none"/>
          <w:lang w:val="zh-CN"/>
        </w:rPr>
        <w:t>4.1  投标费用</w:t>
      </w:r>
      <w:bookmarkEnd w:id="81"/>
      <w:bookmarkEnd w:id="82"/>
    </w:p>
    <w:p w14:paraId="13F165B1">
      <w:pPr>
        <w:autoSpaceDE w:val="0"/>
        <w:autoSpaceDN w:val="0"/>
        <w:adjustRightInd w:val="0"/>
        <w:spacing w:line="360" w:lineRule="auto"/>
        <w:ind w:left="210" w:leftChars="100" w:firstLine="420" w:firstLineChars="200"/>
        <w:rPr>
          <w:rFonts w:hint="eastAsia" w:ascii="宋体" w:hAnsi="宋体" w:eastAsia="宋体" w:cs="宋体"/>
          <w:szCs w:val="21"/>
          <w:highlight w:val="none"/>
          <w:lang w:val="zh-CN"/>
        </w:rPr>
      </w:pPr>
      <w:bookmarkStart w:id="83" w:name="_Toc1977672"/>
      <w:bookmarkStart w:id="84" w:name="_Toc533708072"/>
      <w:r>
        <w:rPr>
          <w:rFonts w:hint="eastAsia" w:ascii="宋体" w:hAnsi="宋体" w:eastAsia="宋体" w:cs="宋体"/>
          <w:szCs w:val="21"/>
          <w:highlight w:val="none"/>
          <w:lang w:val="zh-CN"/>
        </w:rPr>
        <w:t>无论招标过程中的做法和结果如何，投标人须承担所有与编写和递交投标文件有关的费用，招标人和招标代理机构在任何情况下不负担这些费用。</w:t>
      </w:r>
      <w:bookmarkEnd w:id="83"/>
      <w:bookmarkEnd w:id="84"/>
    </w:p>
    <w:p w14:paraId="72706EBB">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bookmarkStart w:id="85" w:name="_Toc533708073"/>
      <w:bookmarkStart w:id="86" w:name="_Toc1977673"/>
      <w:r>
        <w:rPr>
          <w:rFonts w:hint="eastAsia" w:ascii="宋体" w:hAnsi="宋体" w:eastAsia="宋体" w:cs="宋体"/>
          <w:szCs w:val="21"/>
          <w:highlight w:val="none"/>
          <w:lang w:val="zh-CN"/>
        </w:rPr>
        <w:t>4.2  踏勘现场</w:t>
      </w:r>
      <w:bookmarkEnd w:id="85"/>
      <w:bookmarkEnd w:id="86"/>
    </w:p>
    <w:p w14:paraId="7003C40B">
      <w:pPr>
        <w:autoSpaceDE w:val="0"/>
        <w:autoSpaceDN w:val="0"/>
        <w:adjustRightInd w:val="0"/>
        <w:spacing w:line="360" w:lineRule="auto"/>
        <w:ind w:left="300" w:leftChars="-59" w:hanging="424" w:hangingChars="202"/>
        <w:jc w:val="left"/>
        <w:rPr>
          <w:rFonts w:hint="eastAsia" w:ascii="宋体" w:hAnsi="宋体" w:eastAsia="宋体" w:cs="宋体"/>
          <w:kern w:val="0"/>
          <w:szCs w:val="21"/>
          <w:highlight w:val="none"/>
        </w:rPr>
      </w:pPr>
      <w:bookmarkStart w:id="87" w:name="_Toc533708076"/>
      <w:bookmarkStart w:id="88" w:name="_Toc1977676"/>
      <w:r>
        <w:rPr>
          <w:rFonts w:hint="eastAsia" w:ascii="宋体" w:hAnsi="宋体" w:eastAsia="宋体" w:cs="宋体"/>
          <w:kern w:val="0"/>
          <w:szCs w:val="21"/>
          <w:highlight w:val="none"/>
        </w:rPr>
        <w:t>（1）本项目不组织集中踏勘现场和答疑</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投标人应自行到实地踏勘考察</w:t>
      </w:r>
      <w:r>
        <w:rPr>
          <w:rFonts w:hint="eastAsia" w:ascii="宋体" w:hAnsi="宋体" w:eastAsia="宋体" w:cs="宋体"/>
          <w:kern w:val="0"/>
          <w:szCs w:val="21"/>
          <w:highlight w:val="none"/>
        </w:rPr>
        <w:t>。</w:t>
      </w:r>
    </w:p>
    <w:p w14:paraId="7F30F6A9">
      <w:pPr>
        <w:autoSpaceDE w:val="0"/>
        <w:autoSpaceDN w:val="0"/>
        <w:adjustRightInd w:val="0"/>
        <w:spacing w:line="360" w:lineRule="auto"/>
        <w:ind w:left="300" w:leftChars="-59" w:hanging="424" w:hangingChars="202"/>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（2）潜在投标人应承担踏勘现场自身所发生的费用。</w:t>
      </w:r>
    </w:p>
    <w:p w14:paraId="2F83C1F3">
      <w:pPr>
        <w:spacing w:line="360" w:lineRule="auto"/>
        <w:ind w:left="300" w:leftChars="-59" w:hanging="424" w:hangingChars="202"/>
        <w:rPr>
          <w:rFonts w:hint="eastAsia" w:ascii="宋体" w:hAnsi="宋体" w:eastAsia="宋体" w:cs="宋体"/>
          <w:kern w:val="0"/>
          <w:szCs w:val="21"/>
          <w:highlight w:val="none"/>
          <w:lang w:val="zh-CN"/>
        </w:rPr>
      </w:pPr>
      <w:r>
        <w:rPr>
          <w:rFonts w:hint="eastAsia" w:ascii="宋体" w:hAnsi="宋体" w:eastAsia="宋体" w:cs="宋体"/>
          <w:kern w:val="0"/>
          <w:szCs w:val="21"/>
          <w:highlight w:val="none"/>
          <w:lang w:val="zh-CN"/>
        </w:rPr>
        <w:t>（3）招标人和招标代理机构在踏勘现场中介绍的有关现场和相关的周边环境情况，供投标人在编制投标文件时参考，招标人不对投标人据此作出的判断和决策负责。</w:t>
      </w:r>
    </w:p>
    <w:p w14:paraId="44D0BD4C">
      <w:pPr>
        <w:spacing w:line="360" w:lineRule="auto"/>
        <w:ind w:left="300" w:leftChars="-59" w:hanging="424" w:hangingChars="202"/>
        <w:rPr>
          <w:rFonts w:hint="eastAsia" w:ascii="宋体" w:hAnsi="宋体" w:eastAsia="宋体" w:cs="宋体"/>
          <w:kern w:val="0"/>
          <w:szCs w:val="21"/>
          <w:highlight w:val="none"/>
          <w:lang w:val="zh-CN"/>
        </w:rPr>
      </w:pPr>
      <w:r>
        <w:rPr>
          <w:rFonts w:hint="eastAsia" w:ascii="宋体" w:hAnsi="宋体" w:eastAsia="宋体" w:cs="宋体"/>
          <w:kern w:val="0"/>
          <w:szCs w:val="21"/>
          <w:highlight w:val="none"/>
          <w:lang w:val="zh-CN"/>
        </w:rPr>
        <w:t>（4）潜在投标人可为踏勘需要而进入招标人的项目现场，但潜在投标人不得因此使招标人承担有关的责任和蒙受损失。潜在投标人应承担踏勘现场的责任和风险。</w:t>
      </w:r>
    </w:p>
    <w:p w14:paraId="798DC314">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r>
        <w:rPr>
          <w:rFonts w:hint="eastAsia" w:ascii="宋体" w:hAnsi="宋体" w:eastAsia="宋体" w:cs="宋体"/>
          <w:szCs w:val="21"/>
          <w:highlight w:val="none"/>
          <w:lang w:val="zh-CN"/>
        </w:rPr>
        <w:t>4.3</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纪律与保密事项</w:t>
      </w:r>
      <w:bookmarkEnd w:id="64"/>
      <w:bookmarkEnd w:id="65"/>
      <w:bookmarkEnd w:id="87"/>
      <w:bookmarkEnd w:id="88"/>
    </w:p>
    <w:p w14:paraId="0EAF3CBC">
      <w:pPr>
        <w:autoSpaceDE w:val="0"/>
        <w:autoSpaceDN w:val="0"/>
        <w:adjustRightInd w:val="0"/>
        <w:spacing w:line="360" w:lineRule="auto"/>
        <w:ind w:left="441" w:leftChars="-6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（1）获得本招标文件的投标人，不得用作本次投标以外的任何用途。</w:t>
      </w:r>
    </w:p>
    <w:p w14:paraId="3FBC2E2F">
      <w:pPr>
        <w:autoSpaceDE w:val="0"/>
        <w:autoSpaceDN w:val="0"/>
        <w:adjustRightInd w:val="0"/>
        <w:spacing w:line="360" w:lineRule="auto"/>
        <w:ind w:left="441" w:leftChars="-6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zh-CN"/>
        </w:rPr>
        <w:t>（2</w:t>
      </w:r>
      <w:r>
        <w:rPr>
          <w:rFonts w:hint="eastAsia" w:ascii="宋体" w:hAnsi="宋体" w:eastAsia="宋体" w:cs="宋体"/>
          <w:color w:val="auto"/>
          <w:kern w:val="0"/>
          <w:szCs w:val="21"/>
          <w:highlight w:val="none"/>
        </w:rPr>
        <w:t>）凡参与招标工作的有关人员均应自觉接受有关主管部门的监督，不得向他人透露可能影响公平竞争的情况。</w:t>
      </w:r>
    </w:p>
    <w:p w14:paraId="4C973D58">
      <w:pPr>
        <w:autoSpaceDE w:val="0"/>
        <w:autoSpaceDN w:val="0"/>
        <w:adjustRightInd w:val="0"/>
        <w:spacing w:line="360" w:lineRule="auto"/>
        <w:ind w:left="441" w:leftChars="-6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（3）开标后，直至向中标人</w:t>
      </w:r>
      <w:r>
        <w:rPr>
          <w:rFonts w:hint="eastAsia" w:ascii="宋体" w:hAnsi="宋体" w:eastAsia="宋体" w:cs="宋体"/>
          <w:color w:val="auto"/>
          <w:kern w:val="0"/>
          <w:szCs w:val="21"/>
          <w:highlight w:val="none"/>
          <w:lang w:eastAsia="zh-CN"/>
        </w:rPr>
        <w:t>授予合同期间</w:t>
      </w:r>
      <w:r>
        <w:rPr>
          <w:rFonts w:hint="eastAsia" w:ascii="宋体" w:hAnsi="宋体" w:eastAsia="宋体" w:cs="宋体"/>
          <w:color w:val="auto"/>
          <w:kern w:val="0"/>
          <w:szCs w:val="21"/>
          <w:highlight w:val="none"/>
        </w:rPr>
        <w:t>，凡与审查、澄清、评价和比较报价的有关资料以及授标意见等，参与评标工作的有关人员均不得向投标人及与评标无关的其他人透露。</w:t>
      </w:r>
    </w:p>
    <w:p w14:paraId="0D6D827D">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（4）除投标人被要求对投标文件进行澄清外，从递交投标文件截止之时起至授予合同期间，投标人不得就与其投标文件有关的事项主动与评标委员会、招标代理机构以及招标人联系。</w:t>
      </w:r>
    </w:p>
    <w:p w14:paraId="5C6CB5D4">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5）从开标之日起至授予合同期间，在投标文件的审查、澄清、比较和评价阶段，投标人试图对评标委员会和招标代理机构施加任何影响或对招标人的比较及授予合同的决定产生影响，都可能导致其投标文件被拒绝。</w:t>
      </w:r>
    </w:p>
    <w:p w14:paraId="2B220145">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（6）投标人不得串通作弊，以不正当的手段妨碍、排挤其他投标人，扰乱采购市场，破坏公平竞争原则。</w:t>
      </w:r>
    </w:p>
    <w:p w14:paraId="653C69C0">
      <w:pPr>
        <w:autoSpaceDE w:val="0"/>
        <w:autoSpaceDN w:val="0"/>
        <w:adjustRightInd w:val="0"/>
        <w:spacing w:line="360" w:lineRule="auto"/>
        <w:ind w:left="315" w:leftChars="-100" w:hanging="525" w:hangingChars="250"/>
        <w:rPr>
          <w:rFonts w:hint="eastAsia" w:ascii="宋体" w:hAnsi="宋体" w:eastAsia="宋体" w:cs="宋体"/>
          <w:szCs w:val="21"/>
          <w:highlight w:val="none"/>
        </w:rPr>
      </w:pPr>
    </w:p>
    <w:p w14:paraId="73084640">
      <w:pPr>
        <w:keepNext/>
        <w:keepLines/>
        <w:autoSpaceDE w:val="0"/>
        <w:autoSpaceDN w:val="0"/>
        <w:adjustRightInd w:val="0"/>
        <w:spacing w:line="360" w:lineRule="auto"/>
        <w:jc w:val="left"/>
        <w:outlineLvl w:val="0"/>
        <w:rPr>
          <w:rFonts w:hint="eastAsia" w:ascii="宋体" w:hAnsi="宋体" w:eastAsia="宋体" w:cs="宋体"/>
          <w:b/>
          <w:bCs/>
          <w:kern w:val="44"/>
          <w:szCs w:val="21"/>
          <w:highlight w:val="none"/>
          <w:lang w:val="zh-CN"/>
        </w:rPr>
      </w:pPr>
      <w:bookmarkStart w:id="89" w:name="_Toc5395"/>
      <w:bookmarkStart w:id="90" w:name="_Toc1565"/>
      <w:bookmarkStart w:id="91" w:name="_Toc486167667"/>
      <w:bookmarkStart w:id="92" w:name="_Toc5462"/>
      <w:bookmarkStart w:id="93" w:name="_Toc30507_WPSOffice_Level2"/>
      <w:bookmarkStart w:id="94" w:name="_Toc142508317"/>
      <w:bookmarkStart w:id="95" w:name="_Toc140596876"/>
      <w:bookmarkStart w:id="96" w:name="_Toc450662853"/>
      <w:r>
        <w:rPr>
          <w:rFonts w:hint="eastAsia" w:ascii="宋体" w:hAnsi="宋体" w:eastAsia="宋体" w:cs="宋体"/>
          <w:b/>
          <w:bCs/>
          <w:kern w:val="44"/>
          <w:szCs w:val="21"/>
          <w:highlight w:val="none"/>
          <w:lang w:val="zh-CN"/>
        </w:rPr>
        <w:t>二、招标文件</w:t>
      </w:r>
      <w:bookmarkEnd w:id="89"/>
      <w:bookmarkEnd w:id="90"/>
      <w:bookmarkEnd w:id="91"/>
      <w:bookmarkEnd w:id="92"/>
      <w:bookmarkEnd w:id="93"/>
      <w:bookmarkEnd w:id="94"/>
      <w:bookmarkEnd w:id="95"/>
      <w:bookmarkEnd w:id="96"/>
    </w:p>
    <w:p w14:paraId="364C1D18">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97" w:name="_Toc142508318"/>
      <w:bookmarkStart w:id="98" w:name="_Toc486167668"/>
      <w:bookmarkStart w:id="99" w:name="_Toc2406"/>
      <w:bookmarkStart w:id="100" w:name="_Toc450662854"/>
      <w:bookmarkStart w:id="101" w:name="_Toc26635_WPSOffice_Level3"/>
      <w:bookmarkStart w:id="102" w:name="_Toc2283"/>
      <w:bookmarkStart w:id="103" w:name="_Toc28893"/>
      <w:r>
        <w:rPr>
          <w:rFonts w:hint="eastAsia" w:ascii="宋体" w:hAnsi="宋体" w:eastAsia="宋体" w:cs="宋体"/>
          <w:szCs w:val="21"/>
          <w:highlight w:val="none"/>
          <w:lang w:val="zh-CN"/>
        </w:rPr>
        <w:t>5 招标文件的构成</w:t>
      </w:r>
      <w:bookmarkEnd w:id="97"/>
      <w:bookmarkEnd w:id="98"/>
      <w:bookmarkEnd w:id="99"/>
      <w:bookmarkEnd w:id="100"/>
      <w:bookmarkEnd w:id="101"/>
      <w:bookmarkEnd w:id="102"/>
      <w:bookmarkEnd w:id="103"/>
    </w:p>
    <w:p w14:paraId="5CDD5553">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5.1</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招标文件包括：</w:t>
      </w:r>
    </w:p>
    <w:p w14:paraId="2053E9C0">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第一篇 招标公告</w:t>
      </w:r>
    </w:p>
    <w:p w14:paraId="49149067">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第二篇 投标人须知</w:t>
      </w:r>
    </w:p>
    <w:p w14:paraId="6A2CCC2E">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第三篇 用户需求书</w:t>
      </w:r>
    </w:p>
    <w:p w14:paraId="3A2362F0">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第四篇 合同条款</w:t>
      </w:r>
    </w:p>
    <w:p w14:paraId="5C04B0B8">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第五篇 相关保函格式</w:t>
      </w:r>
    </w:p>
    <w:p w14:paraId="0DEFB608">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第六篇 投标文件格式</w:t>
      </w:r>
    </w:p>
    <w:p w14:paraId="4611C363">
      <w:pPr>
        <w:tabs>
          <w:tab w:val="left" w:pos="1890"/>
        </w:tabs>
        <w:autoSpaceDE w:val="0"/>
        <w:autoSpaceDN w:val="0"/>
        <w:adjustRightInd w:val="0"/>
        <w:spacing w:line="360" w:lineRule="auto"/>
        <w:ind w:firstLine="424" w:firstLineChars="202"/>
        <w:rPr>
          <w:rFonts w:hint="eastAsia" w:ascii="宋体" w:hAnsi="宋体" w:eastAsia="宋体" w:cs="宋体"/>
          <w:szCs w:val="21"/>
          <w:highlight w:val="none"/>
          <w:lang w:val="zh-CN"/>
        </w:rPr>
      </w:pPr>
      <w:r>
        <w:rPr>
          <w:rFonts w:hint="eastAsia" w:ascii="宋体" w:hAnsi="宋体" w:eastAsia="宋体" w:cs="宋体"/>
          <w:szCs w:val="21"/>
          <w:highlight w:val="none"/>
          <w:lang w:val="zh-CN"/>
        </w:rPr>
        <w:t>附件一：评标工作大纲</w:t>
      </w:r>
    </w:p>
    <w:p w14:paraId="4BF72695">
      <w:pPr>
        <w:autoSpaceDE w:val="0"/>
        <w:autoSpaceDN w:val="0"/>
        <w:adjustRightInd w:val="0"/>
        <w:spacing w:line="360" w:lineRule="auto"/>
        <w:ind w:left="356" w:leftChars="-99" w:hanging="564" w:hangingChars="269"/>
        <w:rPr>
          <w:rFonts w:hint="eastAsia" w:ascii="宋体" w:hAnsi="宋体" w:eastAsia="宋体" w:cs="宋体"/>
          <w:b/>
          <w:bCs/>
          <w:szCs w:val="21"/>
          <w:highlight w:val="none"/>
          <w:u w:val="single"/>
          <w:lang w:val="zh-CN"/>
        </w:rPr>
      </w:pPr>
      <w:r>
        <w:rPr>
          <w:rFonts w:hint="eastAsia" w:ascii="宋体" w:hAnsi="宋体" w:eastAsia="宋体" w:cs="宋体"/>
          <w:bCs/>
          <w:szCs w:val="21"/>
          <w:highlight w:val="none"/>
          <w:lang w:val="zh-CN"/>
        </w:rPr>
        <w:t>5.2</w:t>
      </w:r>
      <w:r>
        <w:rPr>
          <w:rFonts w:hint="eastAsia" w:ascii="宋体" w:hAnsi="宋体" w:eastAsia="宋体" w:cs="宋体"/>
          <w:b/>
          <w:bCs/>
          <w:szCs w:val="21"/>
          <w:highlight w:val="none"/>
          <w:lang w:val="zh-CN"/>
        </w:rPr>
        <w:tab/>
      </w:r>
      <w:r>
        <w:rPr>
          <w:rFonts w:hint="eastAsia" w:ascii="宋体" w:hAnsi="宋体" w:eastAsia="宋体" w:cs="宋体"/>
          <w:b/>
          <w:bCs/>
          <w:szCs w:val="21"/>
          <w:highlight w:val="none"/>
          <w:u w:val="single"/>
          <w:lang w:val="zh-CN"/>
        </w:rPr>
        <w:t>投标人应审阅招标文件中所有须知、格式、条款和规格。投标人未按招标文件要求提供全部资料或提交的投标文件未对招标文件作出实质性响应（★标志的部分为投标人、投标拟供服务必备的条件或重要指示），那么投标人的投标文件将有可能被拒绝接收或评审为无效投标文件。</w:t>
      </w:r>
    </w:p>
    <w:p w14:paraId="2A2563BD">
      <w:pPr>
        <w:autoSpaceDE w:val="0"/>
        <w:autoSpaceDN w:val="0"/>
        <w:adjustRightInd w:val="0"/>
        <w:spacing w:line="360" w:lineRule="auto"/>
        <w:ind w:left="356" w:leftChars="-99" w:hanging="564" w:hangingChars="269"/>
        <w:rPr>
          <w:rFonts w:hint="eastAsia" w:ascii="宋体" w:hAnsi="宋体" w:eastAsia="宋体" w:cs="宋体"/>
          <w:b/>
          <w:bCs/>
          <w:szCs w:val="21"/>
          <w:highlight w:val="none"/>
          <w:u w:val="single"/>
        </w:rPr>
      </w:pPr>
      <w:r>
        <w:rPr>
          <w:rFonts w:hint="eastAsia" w:ascii="宋体" w:hAnsi="宋体" w:eastAsia="宋体" w:cs="宋体"/>
          <w:szCs w:val="21"/>
          <w:highlight w:val="none"/>
          <w:lang w:val="zh-CN"/>
        </w:rPr>
        <w:t>5.3  本招标文件使用的词语有如下定义：</w:t>
      </w:r>
    </w:p>
    <w:p w14:paraId="3DC22726">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（1）“招标人”指</w:t>
      </w:r>
      <w:r>
        <w:rPr>
          <w:rFonts w:hint="eastAsia" w:ascii="宋体" w:hAnsi="宋体" w:eastAsia="宋体" w:cs="宋体"/>
          <w:color w:val="000000" w:themeColor="text1"/>
          <w:kern w:val="0"/>
          <w:szCs w:val="21"/>
          <w:lang w:eastAsia="zh-CN"/>
          <w14:textFill>
            <w14:solidFill>
              <w14:schemeClr w14:val="tx1"/>
            </w14:solidFill>
          </w14:textFill>
        </w:rPr>
        <w:t>东莞市水务环境投资控股集团有限公司</w:t>
      </w:r>
      <w:r>
        <w:rPr>
          <w:rFonts w:hint="eastAsia" w:ascii="宋体" w:hAnsi="宋体" w:eastAsia="宋体" w:cs="宋体"/>
          <w:kern w:val="0"/>
          <w:szCs w:val="21"/>
          <w:highlight w:val="none"/>
        </w:rPr>
        <w:t>；</w:t>
      </w:r>
    </w:p>
    <w:p w14:paraId="3C7931DC">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（2）“招标代理机构”指广东有德招标采购有限公司；</w:t>
      </w:r>
    </w:p>
    <w:p w14:paraId="4083DFAE">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（3）“投标人”指参加</w:t>
      </w:r>
      <w:r>
        <w:rPr>
          <w:rFonts w:hint="eastAsia" w:ascii="宋体" w:hAnsi="宋体" w:eastAsia="宋体" w:cs="宋体"/>
          <w:kern w:val="0"/>
          <w:szCs w:val="21"/>
          <w:highlight w:val="none"/>
          <w:lang w:eastAsia="zh-CN"/>
        </w:rPr>
        <w:t>东莞市水务环境投资控股集团有限公司注册发行60亿元公司债承销商采购项目（重新招标）</w:t>
      </w:r>
      <w:r>
        <w:rPr>
          <w:rFonts w:hint="eastAsia" w:ascii="宋体" w:hAnsi="宋体" w:eastAsia="宋体" w:cs="宋体"/>
          <w:kern w:val="0"/>
          <w:szCs w:val="21"/>
          <w:highlight w:val="none"/>
        </w:rPr>
        <w:t>所需的</w:t>
      </w:r>
      <w:r>
        <w:rPr>
          <w:rFonts w:hint="eastAsia" w:ascii="宋体" w:hAnsi="宋体" w:eastAsia="宋体" w:cs="宋体"/>
          <w:kern w:val="0"/>
          <w:szCs w:val="21"/>
          <w:highlight w:val="none"/>
          <w:lang w:val="en-US" w:eastAsia="zh-CN"/>
        </w:rPr>
        <w:t>服务</w:t>
      </w:r>
      <w:r>
        <w:rPr>
          <w:rFonts w:hint="eastAsia" w:ascii="宋体" w:hAnsi="宋体" w:eastAsia="宋体" w:cs="宋体"/>
          <w:kern w:val="0"/>
          <w:szCs w:val="21"/>
          <w:highlight w:val="none"/>
        </w:rPr>
        <w:t>的投标，并向招标代理机构提交投标文件的当事人；</w:t>
      </w:r>
    </w:p>
    <w:p w14:paraId="6B9C6FC8">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（4）“评标委员会”是依照《中华人民共和国招标投标法》等法规组建的专门负责本次评标工作的临时性机构；</w:t>
      </w:r>
    </w:p>
    <w:p w14:paraId="571F16BF">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（5）“中标人”指其投标被招标人接受，并与招标人签订合同的当事人；</w:t>
      </w:r>
    </w:p>
    <w:p w14:paraId="1AA3E34F">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（6）“甲方”指在合同条款中指明的购买服务的单位，即</w:t>
      </w:r>
      <w:r>
        <w:rPr>
          <w:rFonts w:hint="eastAsia" w:ascii="宋体" w:hAnsi="宋体" w:eastAsia="宋体" w:cs="宋体"/>
          <w:color w:val="000000" w:themeColor="text1"/>
          <w:kern w:val="0"/>
          <w:szCs w:val="21"/>
          <w:lang w:eastAsia="zh-CN"/>
          <w14:textFill>
            <w14:solidFill>
              <w14:schemeClr w14:val="tx1"/>
            </w14:solidFill>
          </w14:textFill>
        </w:rPr>
        <w:t>东莞市水务环境投资控股集团有限公司</w:t>
      </w:r>
      <w:r>
        <w:rPr>
          <w:rFonts w:hint="eastAsia" w:ascii="宋体" w:hAnsi="宋体" w:eastAsia="宋体" w:cs="宋体"/>
          <w:kern w:val="0"/>
          <w:szCs w:val="21"/>
          <w:highlight w:val="none"/>
        </w:rPr>
        <w:t>；</w:t>
      </w:r>
    </w:p>
    <w:p w14:paraId="7CF1DED2">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（7）“乙方”指在合同条款中指明的本合同项下提供服务的公司或实体；</w:t>
      </w:r>
    </w:p>
    <w:p w14:paraId="1DFD1388">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（8）“招标文件”指</w:t>
      </w:r>
      <w:r>
        <w:rPr>
          <w:rFonts w:hint="eastAsia" w:ascii="宋体" w:hAnsi="宋体" w:eastAsia="宋体" w:cs="宋体"/>
          <w:color w:val="auto"/>
          <w:kern w:val="0"/>
          <w:szCs w:val="21"/>
          <w:highlight w:val="none"/>
        </w:rPr>
        <w:t>招标公告和招标文件及其补充、变更和澄清等一系列文件</w:t>
      </w:r>
      <w:r>
        <w:rPr>
          <w:rFonts w:hint="eastAsia" w:ascii="宋体" w:hAnsi="宋体" w:eastAsia="宋体" w:cs="宋体"/>
          <w:kern w:val="0"/>
          <w:szCs w:val="21"/>
          <w:highlight w:val="none"/>
        </w:rPr>
        <w:t>；</w:t>
      </w:r>
    </w:p>
    <w:p w14:paraId="6E42D4B7">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（9）“投标文件”指投标人根据本招标文件向</w:t>
      </w:r>
      <w:r>
        <w:rPr>
          <w:rFonts w:hint="eastAsia" w:ascii="宋体" w:hAnsi="宋体" w:eastAsia="宋体" w:cs="宋体"/>
          <w:kern w:val="0"/>
          <w:szCs w:val="21"/>
          <w:highlight w:val="none"/>
          <w:lang w:val="en-US" w:eastAsia="zh-CN"/>
        </w:rPr>
        <w:t>交易系统在线上传</w:t>
      </w:r>
      <w:r>
        <w:rPr>
          <w:rFonts w:hint="eastAsia" w:ascii="宋体" w:hAnsi="宋体" w:eastAsia="宋体" w:cs="宋体"/>
          <w:kern w:val="0"/>
          <w:szCs w:val="21"/>
          <w:highlight w:val="none"/>
        </w:rPr>
        <w:t>的全部文件；</w:t>
      </w:r>
    </w:p>
    <w:p w14:paraId="6FCB0970">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（10）“书面函件”指手写、打字或印刷的函件，包括电传、电报和传真；</w:t>
      </w:r>
    </w:p>
    <w:p w14:paraId="58F2FD4D">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（11）“合同”指由本次招标所产生的合同或合约文件；</w:t>
      </w:r>
    </w:p>
    <w:p w14:paraId="13446732">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（12）“日期”指公历日，“时间”指北京时间；</w:t>
      </w:r>
    </w:p>
    <w:p w14:paraId="2FED17F6">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（13）本招标文件中的“境内”特指中华人民共和国海关关境以内，“境外”特指中华人民共和国海关关境以外；</w:t>
      </w:r>
    </w:p>
    <w:p w14:paraId="0ACC0EF5">
      <w:pPr>
        <w:autoSpaceDE w:val="0"/>
        <w:autoSpaceDN w:val="0"/>
        <w:adjustRightInd w:val="0"/>
        <w:spacing w:line="360" w:lineRule="auto"/>
        <w:ind w:left="441" w:leftChars="-60" w:hanging="567" w:hanging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（14）不含税价，即为《中华</w:t>
      </w:r>
      <w:r>
        <w:rPr>
          <w:rFonts w:hint="eastAsia" w:ascii="宋体" w:hAnsi="宋体" w:eastAsia="宋体" w:cs="宋体"/>
          <w:color w:val="auto"/>
          <w:kern w:val="0"/>
          <w:szCs w:val="21"/>
          <w:highlight w:val="none"/>
        </w:rPr>
        <w:t>人民共和国增值税暂行条例》（国务院令第691号修订版）规定的销售额。本招标文件所称的不含税价和不含税</w:t>
      </w:r>
      <w:r>
        <w:rPr>
          <w:rFonts w:hint="eastAsia" w:ascii="宋体" w:hAnsi="宋体" w:eastAsia="宋体" w:cs="宋体"/>
          <w:kern w:val="0"/>
          <w:szCs w:val="21"/>
          <w:highlight w:val="none"/>
        </w:rPr>
        <w:t>合同价是指不含本采购项目投标人的销项税额，包含了投标人完成合同义务（含投标人代缴代扣、分包及委外服务、施工、采购货物等所产生的价税）的其他全部费用。本采购项目投标人的销项税额由招标人承担，不计入投标报价。</w:t>
      </w:r>
    </w:p>
    <w:p w14:paraId="5FC94E1C">
      <w:pPr>
        <w:autoSpaceDE w:val="0"/>
        <w:autoSpaceDN w:val="0"/>
        <w:adjustRightInd w:val="0"/>
        <w:spacing w:line="360" w:lineRule="auto"/>
        <w:ind w:left="951" w:leftChars="78" w:hanging="787" w:hangingChars="375"/>
        <w:rPr>
          <w:rFonts w:hint="eastAsia" w:ascii="宋体" w:hAnsi="宋体" w:eastAsia="宋体" w:cs="宋体"/>
          <w:szCs w:val="21"/>
          <w:highlight w:val="none"/>
          <w:lang w:val="zh-CN"/>
        </w:rPr>
      </w:pPr>
    </w:p>
    <w:p w14:paraId="217DD87D">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04" w:name="_Toc19474"/>
      <w:bookmarkStart w:id="105" w:name="_Toc142508319"/>
      <w:bookmarkStart w:id="106" w:name="_Toc29125_WPSOffice_Level3"/>
      <w:bookmarkStart w:id="107" w:name="_Toc3727"/>
      <w:bookmarkStart w:id="108" w:name="_Toc450662855"/>
      <w:bookmarkStart w:id="109" w:name="_Toc11346"/>
      <w:bookmarkStart w:id="110" w:name="_Toc486167669"/>
      <w:r>
        <w:rPr>
          <w:rFonts w:hint="eastAsia" w:ascii="宋体" w:hAnsi="宋体" w:eastAsia="宋体" w:cs="宋体"/>
          <w:szCs w:val="21"/>
          <w:highlight w:val="none"/>
          <w:lang w:val="zh-CN"/>
        </w:rPr>
        <w:t>6 招标文件的异议</w:t>
      </w:r>
      <w:bookmarkEnd w:id="104"/>
      <w:bookmarkEnd w:id="105"/>
      <w:bookmarkEnd w:id="106"/>
      <w:bookmarkEnd w:id="107"/>
      <w:bookmarkEnd w:id="108"/>
      <w:bookmarkEnd w:id="109"/>
      <w:bookmarkEnd w:id="110"/>
    </w:p>
    <w:p w14:paraId="71C4F981">
      <w:pPr>
        <w:autoSpaceDE w:val="0"/>
        <w:autoSpaceDN w:val="0"/>
        <w:adjustRightInd w:val="0"/>
        <w:spacing w:line="360" w:lineRule="auto"/>
        <w:ind w:left="288" w:leftChars="137" w:firstLine="420" w:firstLineChars="200"/>
        <w:rPr>
          <w:rFonts w:hint="eastAsia" w:ascii="宋体" w:hAnsi="宋体" w:eastAsia="宋体" w:cs="宋体"/>
          <w:bCs/>
          <w:szCs w:val="21"/>
          <w:highlight w:val="none"/>
          <w:lang w:val="zh-CN"/>
        </w:rPr>
      </w:pPr>
      <w:r>
        <w:rPr>
          <w:rFonts w:hint="eastAsia" w:ascii="宋体" w:hAnsi="宋体" w:eastAsia="宋体" w:cs="宋体"/>
          <w:bCs/>
          <w:szCs w:val="21"/>
          <w:highlight w:val="none"/>
          <w:lang w:val="zh-CN"/>
        </w:rPr>
        <w:t>投标人或者其他利害关系人对招标文件有异议的，应当在投标截止时间10日前</w:t>
      </w:r>
      <w:r>
        <w:rPr>
          <w:rFonts w:hint="eastAsia" w:ascii="宋体" w:hAnsi="宋体" w:eastAsia="宋体" w:cs="宋体"/>
          <w:szCs w:val="21"/>
          <w:highlight w:val="none"/>
          <w:lang w:val="zh-CN"/>
        </w:rPr>
        <w:t>以书面形式向招标代理机构提出，并将材料原件送达招标代理机构，逾期则视为对招标文件所有内容无异议。</w:t>
      </w:r>
      <w:r>
        <w:rPr>
          <w:rFonts w:hint="eastAsia" w:ascii="宋体" w:hAnsi="宋体" w:eastAsia="宋体" w:cs="宋体"/>
          <w:bCs/>
          <w:szCs w:val="21"/>
          <w:highlight w:val="none"/>
          <w:lang w:val="zh-CN"/>
        </w:rPr>
        <w:t>异议</w:t>
      </w:r>
      <w:r>
        <w:rPr>
          <w:rFonts w:hint="eastAsia" w:ascii="宋体" w:hAnsi="宋体" w:eastAsia="宋体" w:cs="宋体"/>
          <w:szCs w:val="21"/>
          <w:highlight w:val="none"/>
          <w:lang w:val="zh-CN"/>
        </w:rPr>
        <w:t>书面材料必须加盖投标人法人公章，并注明联系人、联系电话、联系地址。</w:t>
      </w:r>
      <w:r>
        <w:rPr>
          <w:rFonts w:hint="eastAsia" w:ascii="宋体" w:hAnsi="宋体" w:eastAsia="宋体" w:cs="宋体"/>
          <w:bCs/>
          <w:szCs w:val="21"/>
          <w:highlight w:val="none"/>
          <w:lang w:val="zh-CN"/>
        </w:rPr>
        <w:t>超出</w:t>
      </w:r>
      <w:r>
        <w:rPr>
          <w:rFonts w:hint="eastAsia" w:ascii="宋体" w:hAnsi="宋体" w:eastAsia="宋体" w:cs="宋体"/>
          <w:szCs w:val="21"/>
          <w:highlight w:val="none"/>
          <w:lang w:val="zh-CN"/>
        </w:rPr>
        <w:t>提交接收异议截止时间而</w:t>
      </w:r>
      <w:r>
        <w:rPr>
          <w:rFonts w:hint="eastAsia" w:ascii="宋体" w:hAnsi="宋体" w:eastAsia="宋体" w:cs="宋体"/>
          <w:bCs/>
          <w:szCs w:val="21"/>
          <w:highlight w:val="none"/>
          <w:lang w:val="zh-CN"/>
        </w:rPr>
        <w:t>提出的任何疑问，招标代理机构可不予答复。</w:t>
      </w:r>
      <w:r>
        <w:rPr>
          <w:rFonts w:hint="eastAsia" w:ascii="宋体" w:hAnsi="宋体" w:eastAsia="宋体" w:cs="宋体"/>
          <w:b/>
          <w:bCs/>
          <w:szCs w:val="21"/>
          <w:highlight w:val="none"/>
          <w:u w:val="single"/>
          <w:lang w:val="zh-CN"/>
        </w:rPr>
        <w:t>投标人必须在投标文件中提供投标承诺书（格式详见第六篇投标文件格式）</w:t>
      </w:r>
      <w:r>
        <w:rPr>
          <w:rFonts w:hint="eastAsia" w:ascii="宋体" w:hAnsi="宋体" w:eastAsia="宋体" w:cs="宋体"/>
          <w:b/>
          <w:bCs/>
          <w:szCs w:val="21"/>
          <w:highlight w:val="none"/>
          <w:lang w:val="zh-CN"/>
        </w:rPr>
        <w:t>。</w:t>
      </w:r>
    </w:p>
    <w:p w14:paraId="224032C6">
      <w:pPr>
        <w:autoSpaceDE w:val="0"/>
        <w:autoSpaceDN w:val="0"/>
        <w:adjustRightInd w:val="0"/>
        <w:spacing w:line="360" w:lineRule="auto"/>
        <w:ind w:left="290" w:leftChars="137" w:hanging="2" w:hangingChars="1"/>
        <w:rPr>
          <w:rFonts w:hint="eastAsia" w:ascii="宋体" w:hAnsi="宋体" w:eastAsia="宋体" w:cs="宋体"/>
          <w:b/>
          <w:bCs/>
          <w:szCs w:val="21"/>
          <w:highlight w:val="none"/>
          <w:lang w:val="zh-CN"/>
        </w:rPr>
      </w:pPr>
    </w:p>
    <w:p w14:paraId="7BD355A7">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11" w:name="_Toc29864"/>
      <w:bookmarkStart w:id="112" w:name="_Toc23483_WPSOffice_Level3"/>
      <w:bookmarkStart w:id="113" w:name="_Toc486167670"/>
      <w:bookmarkStart w:id="114" w:name="_Toc142508320"/>
      <w:bookmarkStart w:id="115" w:name="_Toc450662856"/>
      <w:bookmarkStart w:id="116" w:name="_Toc18648"/>
      <w:bookmarkStart w:id="117" w:name="_Toc17145"/>
      <w:r>
        <w:rPr>
          <w:rFonts w:hint="eastAsia" w:ascii="宋体" w:hAnsi="宋体" w:eastAsia="宋体" w:cs="宋体"/>
          <w:szCs w:val="21"/>
          <w:highlight w:val="none"/>
          <w:lang w:val="zh-CN"/>
        </w:rPr>
        <w:t>7 招标文件的澄清及修改</w:t>
      </w:r>
      <w:bookmarkEnd w:id="111"/>
      <w:bookmarkEnd w:id="112"/>
      <w:bookmarkEnd w:id="113"/>
      <w:bookmarkEnd w:id="114"/>
      <w:bookmarkEnd w:id="115"/>
      <w:bookmarkEnd w:id="116"/>
      <w:bookmarkEnd w:id="117"/>
    </w:p>
    <w:p w14:paraId="08A3BC72">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7.1  招标代理机构对已发出的招标文件进行必要澄清或者修改的，将在招标文件要求提交投标文件截止时间15日前，在招标信息发布媒介上发布更正公告，请各投标人密切留意。该澄清或者修改的内容为招标文件的组成部分。</w:t>
      </w:r>
    </w:p>
    <w:p w14:paraId="54B640C8">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7.2</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项目特定情况下，招标代理机构必须延长投标截止时间和开标时间时，将在招标文件要求提交投标文件的截止时间前，在招标信息发布媒介上发布变更公告。</w:t>
      </w:r>
    </w:p>
    <w:p w14:paraId="5F03AE4E">
      <w:pPr>
        <w:keepNext w:val="0"/>
        <w:keepLines w:val="0"/>
        <w:pageBreakBefore w:val="0"/>
        <w:widowControl w:val="0"/>
        <w:kinsoku/>
        <w:wordWrap w:val="0"/>
        <w:overflowPunct/>
        <w:topLinePunct w:val="0"/>
        <w:autoSpaceDE w:val="0"/>
        <w:autoSpaceDN w:val="0"/>
        <w:bidi w:val="0"/>
        <w:adjustRightInd w:val="0"/>
        <w:snapToGrid/>
        <w:spacing w:line="360" w:lineRule="auto"/>
        <w:ind w:left="357" w:leftChars="-100" w:hanging="567"/>
        <w:jc w:val="left"/>
        <w:textAlignment w:val="auto"/>
        <w:rPr>
          <w:rFonts w:hint="eastAsia" w:ascii="宋体" w:hAnsi="宋体" w:eastAsia="宋体" w:cs="宋体"/>
          <w:szCs w:val="21"/>
          <w:highlight w:val="none"/>
          <w:lang w:val="zh-CN"/>
        </w:rPr>
      </w:pPr>
      <w:r>
        <w:rPr>
          <w:rFonts w:hint="eastAsia" w:ascii="宋体" w:hAnsi="宋体" w:eastAsia="宋体" w:cs="宋体"/>
          <w:szCs w:val="21"/>
          <w:highlight w:val="none"/>
          <w:lang w:val="zh-CN"/>
        </w:rPr>
        <w:t>7.3 招标文件的修改、补充通知在全国公共资源交易平台（广东省·东莞市）（https://ygp.gdzwfw.gov.cn/#/441900/index）、中国招标投标公共服务平台（</w:t>
      </w:r>
      <w:r>
        <w:rPr>
          <w:rFonts w:hint="eastAsia" w:ascii="宋体" w:hAnsi="宋体" w:eastAsia="宋体" w:cs="宋体"/>
          <w:szCs w:val="21"/>
          <w:highlight w:val="none"/>
          <w:lang w:val="zh-CN"/>
        </w:rPr>
        <w:fldChar w:fldCharType="begin"/>
      </w:r>
      <w:r>
        <w:rPr>
          <w:rFonts w:hint="eastAsia" w:ascii="宋体" w:hAnsi="宋体" w:eastAsia="宋体" w:cs="宋体"/>
          <w:szCs w:val="21"/>
          <w:highlight w:val="none"/>
          <w:lang w:val="zh-CN"/>
        </w:rPr>
        <w:instrText xml:space="preserve"> HYPERLINK "http://www.cebpubservice.com）、广东省招标投标监管" </w:instrText>
      </w:r>
      <w:r>
        <w:rPr>
          <w:rFonts w:hint="eastAsia" w:ascii="宋体" w:hAnsi="宋体" w:eastAsia="宋体" w:cs="宋体"/>
          <w:szCs w:val="21"/>
          <w:highlight w:val="none"/>
          <w:lang w:val="zh-CN"/>
        </w:rPr>
        <w:fldChar w:fldCharType="separate"/>
      </w:r>
      <w:r>
        <w:rPr>
          <w:rFonts w:hint="eastAsia" w:ascii="宋体" w:hAnsi="宋体" w:eastAsia="宋体" w:cs="宋体"/>
          <w:szCs w:val="21"/>
          <w:highlight w:val="none"/>
          <w:lang w:val="zh-CN"/>
        </w:rPr>
        <w:t>www.cebpubservice.com）、</w:t>
      </w:r>
      <w:r>
        <w:rPr>
          <w:rFonts w:hint="eastAsia" w:ascii="宋体" w:hAnsi="宋体" w:eastAsia="宋体" w:cs="宋体"/>
          <w:szCs w:val="21"/>
          <w:highlight w:val="none"/>
          <w:lang w:val="zh-CN"/>
        </w:rPr>
        <w:fldChar w:fldCharType="end"/>
      </w:r>
      <w:r>
        <w:rPr>
          <w:rFonts w:hint="eastAsia" w:ascii="宋体" w:hAnsi="宋体" w:eastAsia="宋体" w:cs="宋体"/>
          <w:szCs w:val="21"/>
          <w:highlight w:val="none"/>
          <w:lang w:val="zh-CN"/>
        </w:rPr>
        <w:t>东莞市水务环境投资控股集团有限公司网</w:t>
      </w:r>
      <w:r>
        <w:rPr>
          <w:rFonts w:hint="eastAsia" w:ascii="宋体" w:hAnsi="宋体" w:eastAsia="宋体" w:cs="宋体"/>
          <w:szCs w:val="21"/>
          <w:highlight w:val="none"/>
          <w:lang w:val="en-US" w:eastAsia="zh-CN"/>
        </w:rPr>
        <w:t>站</w:t>
      </w:r>
      <w:r>
        <w:rPr>
          <w:rFonts w:hint="eastAsia" w:ascii="宋体" w:hAnsi="宋体" w:eastAsia="宋体" w:cs="宋体"/>
          <w:szCs w:val="21"/>
          <w:highlight w:val="none"/>
          <w:lang w:val="zh-CN"/>
        </w:rPr>
        <w:t>（</w:t>
      </w:r>
      <w:r>
        <w:rPr>
          <w:rFonts w:hint="eastAsia" w:ascii="宋体" w:hAnsi="宋体" w:eastAsia="宋体" w:cs="宋体"/>
          <w:szCs w:val="21"/>
          <w:highlight w:val="none"/>
          <w:lang w:val="zh-CN"/>
        </w:rPr>
        <w:fldChar w:fldCharType="begin"/>
      </w:r>
      <w:r>
        <w:rPr>
          <w:rFonts w:hint="eastAsia" w:ascii="宋体" w:hAnsi="宋体" w:eastAsia="宋体" w:cs="宋体"/>
          <w:szCs w:val="21"/>
          <w:highlight w:val="none"/>
          <w:lang w:val="zh-CN"/>
        </w:rPr>
        <w:instrText xml:space="preserve"> HYPERLINK "www.dgswjt.cn）、招标代理公司网站（http://%20%20%20%20%20%20%20%20%20%20%20%20%20%20）" </w:instrText>
      </w:r>
      <w:r>
        <w:rPr>
          <w:rFonts w:hint="eastAsia" w:ascii="宋体" w:hAnsi="宋体" w:eastAsia="宋体" w:cs="宋体"/>
          <w:szCs w:val="21"/>
          <w:highlight w:val="none"/>
          <w:lang w:val="zh-CN"/>
        </w:rPr>
        <w:fldChar w:fldCharType="separate"/>
      </w:r>
      <w:r>
        <w:rPr>
          <w:rFonts w:hint="eastAsia" w:ascii="宋体" w:hAnsi="宋体" w:eastAsia="宋体" w:cs="宋体"/>
          <w:szCs w:val="21"/>
          <w:highlight w:val="none"/>
          <w:lang w:val="zh-CN"/>
        </w:rPr>
        <w:t>www.dgswjt.cn）、招标代理机构网站（</w:t>
      </w:r>
      <w:r>
        <w:rPr>
          <w:rFonts w:hint="eastAsia" w:ascii="宋体" w:hAnsi="宋体" w:eastAsia="宋体" w:cs="宋体"/>
          <w:szCs w:val="21"/>
          <w:highlight w:val="none"/>
          <w:lang w:val="zh-CN" w:eastAsia="zh-CN"/>
        </w:rPr>
        <w:t>www.youde.net</w:t>
      </w:r>
      <w:r>
        <w:rPr>
          <w:rFonts w:hint="eastAsia" w:ascii="宋体" w:hAnsi="宋体" w:eastAsia="宋体" w:cs="宋体"/>
          <w:szCs w:val="21"/>
          <w:highlight w:val="none"/>
          <w:lang w:val="zh-CN"/>
        </w:rPr>
        <w:t>）</w:t>
      </w:r>
      <w:r>
        <w:rPr>
          <w:rFonts w:hint="eastAsia" w:ascii="宋体" w:hAnsi="宋体" w:eastAsia="宋体" w:cs="宋体"/>
          <w:szCs w:val="21"/>
          <w:highlight w:val="none"/>
          <w:lang w:val="zh-CN"/>
        </w:rPr>
        <w:fldChar w:fldCharType="end"/>
      </w:r>
      <w:r>
        <w:rPr>
          <w:rFonts w:hint="eastAsia" w:ascii="宋体" w:hAnsi="宋体" w:eastAsia="宋体" w:cs="宋体"/>
          <w:szCs w:val="21"/>
          <w:highlight w:val="none"/>
          <w:lang w:val="zh-CN"/>
        </w:rPr>
        <w:t>公布，请各投标人密切留意。</w:t>
      </w:r>
    </w:p>
    <w:p w14:paraId="316DB630">
      <w:pPr>
        <w:autoSpaceDE w:val="0"/>
        <w:autoSpaceDN w:val="0"/>
        <w:adjustRightInd w:val="0"/>
        <w:spacing w:line="360" w:lineRule="auto"/>
        <w:ind w:left="357" w:leftChars="-100" w:hanging="567"/>
        <w:rPr>
          <w:rFonts w:hint="eastAsia" w:ascii="宋体" w:hAnsi="宋体" w:eastAsia="宋体" w:cs="宋体"/>
          <w:szCs w:val="21"/>
          <w:highlight w:val="none"/>
        </w:rPr>
      </w:pPr>
    </w:p>
    <w:p w14:paraId="7929051A">
      <w:pPr>
        <w:keepNext/>
        <w:keepLines/>
        <w:tabs>
          <w:tab w:val="left" w:pos="509"/>
        </w:tabs>
        <w:autoSpaceDE w:val="0"/>
        <w:autoSpaceDN w:val="0"/>
        <w:adjustRightInd w:val="0"/>
        <w:spacing w:line="360" w:lineRule="auto"/>
        <w:jc w:val="left"/>
        <w:outlineLvl w:val="0"/>
        <w:rPr>
          <w:rFonts w:hint="eastAsia" w:ascii="宋体" w:hAnsi="宋体" w:eastAsia="宋体" w:cs="宋体"/>
          <w:b/>
          <w:bCs/>
          <w:kern w:val="44"/>
          <w:szCs w:val="21"/>
          <w:highlight w:val="none"/>
          <w:lang w:val="zh-CN"/>
        </w:rPr>
      </w:pPr>
      <w:bookmarkStart w:id="118" w:name="_Toc8711"/>
      <w:bookmarkStart w:id="119" w:name="_Toc29659_WPSOffice_Level2"/>
      <w:bookmarkStart w:id="120" w:name="_Toc23342"/>
      <w:bookmarkStart w:id="121" w:name="_Toc24583"/>
      <w:bookmarkStart w:id="122" w:name="_Toc486167671"/>
      <w:bookmarkStart w:id="123" w:name="_Toc450662857"/>
      <w:bookmarkStart w:id="124" w:name="_Toc142508321"/>
      <w:bookmarkStart w:id="125" w:name="_Toc140596880"/>
      <w:r>
        <w:rPr>
          <w:rFonts w:hint="eastAsia" w:ascii="宋体" w:hAnsi="宋体" w:eastAsia="宋体" w:cs="宋体"/>
          <w:b/>
          <w:bCs/>
          <w:kern w:val="44"/>
          <w:szCs w:val="21"/>
          <w:highlight w:val="none"/>
          <w:lang w:val="zh-CN"/>
        </w:rPr>
        <w:t>三、投标文件的编制</w:t>
      </w:r>
      <w:bookmarkEnd w:id="118"/>
      <w:bookmarkEnd w:id="119"/>
      <w:bookmarkEnd w:id="120"/>
      <w:bookmarkEnd w:id="121"/>
      <w:bookmarkEnd w:id="122"/>
      <w:bookmarkEnd w:id="123"/>
      <w:bookmarkEnd w:id="124"/>
      <w:bookmarkEnd w:id="125"/>
    </w:p>
    <w:p w14:paraId="643EDF41">
      <w:pPr>
        <w:tabs>
          <w:tab w:val="left" w:pos="675"/>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26" w:name="_Toc6244"/>
      <w:bookmarkStart w:id="127" w:name="_Toc10015_WPSOffice_Level3"/>
      <w:bookmarkStart w:id="128" w:name="_Toc4453"/>
      <w:bookmarkStart w:id="129" w:name="_Toc486167672"/>
      <w:bookmarkStart w:id="130" w:name="_Toc142508322"/>
      <w:bookmarkStart w:id="131" w:name="_Toc31162"/>
      <w:bookmarkStart w:id="132" w:name="_Toc450662858"/>
      <w:r>
        <w:rPr>
          <w:rFonts w:hint="eastAsia" w:ascii="宋体" w:hAnsi="宋体" w:eastAsia="宋体" w:cs="宋体"/>
          <w:szCs w:val="21"/>
          <w:highlight w:val="none"/>
          <w:lang w:val="zh-CN"/>
        </w:rPr>
        <w:t>8 投标使用的文字及度量衡单位</w:t>
      </w:r>
      <w:bookmarkEnd w:id="126"/>
      <w:bookmarkEnd w:id="127"/>
      <w:bookmarkEnd w:id="128"/>
      <w:bookmarkEnd w:id="129"/>
      <w:bookmarkEnd w:id="130"/>
      <w:bookmarkEnd w:id="131"/>
      <w:bookmarkEnd w:id="132"/>
    </w:p>
    <w:p w14:paraId="5AB1ADB3">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8.1  投标人的投标文件以及投标人与招标代理机构就有关投标的所有往来函电均应使用简体中文。</w:t>
      </w:r>
    </w:p>
    <w:p w14:paraId="2DE4E34F">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8.2  投标文件使用的度量衡单位采用中华人民共和国法定计量单位。</w:t>
      </w:r>
    </w:p>
    <w:p w14:paraId="7F6BB6AA">
      <w:pPr>
        <w:autoSpaceDE w:val="0"/>
        <w:autoSpaceDN w:val="0"/>
        <w:adjustRightInd w:val="0"/>
        <w:spacing w:line="360" w:lineRule="auto"/>
        <w:rPr>
          <w:rFonts w:hint="eastAsia" w:ascii="宋体" w:hAnsi="宋体" w:eastAsia="宋体" w:cs="宋体"/>
          <w:szCs w:val="21"/>
          <w:highlight w:val="none"/>
          <w:lang w:val="zh-CN"/>
        </w:rPr>
      </w:pPr>
    </w:p>
    <w:p w14:paraId="059DE2EF">
      <w:pPr>
        <w:tabs>
          <w:tab w:val="left" w:pos="540"/>
        </w:tabs>
        <w:autoSpaceDE w:val="0"/>
        <w:autoSpaceDN w:val="0"/>
        <w:adjustRightInd w:val="0"/>
        <w:spacing w:line="360" w:lineRule="auto"/>
        <w:ind w:left="357" w:leftChars="-100" w:hanging="567"/>
        <w:jc w:val="left"/>
        <w:outlineLvl w:val="2"/>
        <w:rPr>
          <w:rFonts w:hint="eastAsia" w:ascii="宋体" w:hAnsi="宋体" w:eastAsia="宋体" w:cs="宋体"/>
          <w:sz w:val="24"/>
          <w:szCs w:val="24"/>
          <w:highlight w:val="none"/>
          <w:lang w:val="zh-CN"/>
        </w:rPr>
      </w:pPr>
      <w:bookmarkStart w:id="133" w:name="_Toc24916_WPSOffice_Level3"/>
      <w:bookmarkStart w:id="134" w:name="_Toc14943"/>
      <w:bookmarkStart w:id="135" w:name="_Toc486167673"/>
      <w:bookmarkStart w:id="136" w:name="_Toc450662859"/>
      <w:bookmarkStart w:id="137" w:name="_Toc142508323"/>
      <w:bookmarkStart w:id="138" w:name="_Toc31286"/>
      <w:bookmarkStart w:id="139" w:name="_Toc7348"/>
      <w:r>
        <w:rPr>
          <w:rFonts w:hint="eastAsia" w:ascii="宋体" w:hAnsi="宋体" w:eastAsia="宋体" w:cs="宋体"/>
          <w:szCs w:val="21"/>
          <w:highlight w:val="none"/>
          <w:lang w:val="zh-CN"/>
        </w:rPr>
        <w:t>9</w:t>
      </w:r>
      <w:r>
        <w:rPr>
          <w:rFonts w:hint="eastAsia" w:ascii="宋体" w:hAnsi="宋体" w:eastAsia="宋体" w:cs="宋体"/>
          <w:sz w:val="24"/>
          <w:szCs w:val="24"/>
          <w:highlight w:val="none"/>
          <w:lang w:val="zh-CN"/>
        </w:rPr>
        <w:t xml:space="preserve"> </w:t>
      </w:r>
      <w:r>
        <w:rPr>
          <w:rFonts w:hint="eastAsia" w:ascii="宋体" w:hAnsi="宋体" w:eastAsia="宋体" w:cs="宋体"/>
          <w:szCs w:val="21"/>
          <w:highlight w:val="none"/>
          <w:lang w:val="zh-CN"/>
        </w:rPr>
        <w:t>投标文件的组成</w:t>
      </w:r>
      <w:bookmarkEnd w:id="133"/>
      <w:bookmarkEnd w:id="134"/>
      <w:bookmarkEnd w:id="135"/>
      <w:bookmarkEnd w:id="136"/>
      <w:bookmarkEnd w:id="137"/>
      <w:bookmarkEnd w:id="138"/>
      <w:bookmarkEnd w:id="139"/>
    </w:p>
    <w:p w14:paraId="2605F647">
      <w:pPr>
        <w:autoSpaceDE w:val="0"/>
        <w:autoSpaceDN w:val="0"/>
        <w:adjustRightInd w:val="0"/>
        <w:spacing w:line="360" w:lineRule="auto"/>
        <w:ind w:left="422" w:leftChars="-100" w:hanging="632" w:hangingChars="300"/>
        <w:rPr>
          <w:rFonts w:hint="eastAsia" w:ascii="宋体" w:hAnsi="宋体" w:eastAsia="宋体" w:cs="宋体"/>
          <w:b/>
          <w:kern w:val="0"/>
          <w:szCs w:val="21"/>
          <w:highlight w:val="none"/>
        </w:rPr>
      </w:pPr>
      <w:r>
        <w:rPr>
          <w:rFonts w:hint="eastAsia" w:ascii="宋体" w:hAnsi="宋体" w:eastAsia="宋体" w:cs="宋体"/>
          <w:b/>
          <w:kern w:val="0"/>
          <w:szCs w:val="24"/>
          <w:highlight w:val="none"/>
        </w:rPr>
        <w:t xml:space="preserve">9.1  </w:t>
      </w:r>
      <w:r>
        <w:rPr>
          <w:rFonts w:hint="eastAsia" w:ascii="宋体" w:hAnsi="宋体" w:eastAsia="宋体" w:cs="宋体"/>
          <w:kern w:val="0"/>
          <w:szCs w:val="24"/>
          <w:highlight w:val="none"/>
        </w:rPr>
        <w:t>投标文件的组成：</w:t>
      </w:r>
      <w:r>
        <w:rPr>
          <w:rFonts w:hint="eastAsia" w:ascii="宋体" w:hAnsi="宋体" w:eastAsia="宋体" w:cs="宋体"/>
          <w:b/>
          <w:color w:val="auto"/>
          <w:kern w:val="0"/>
          <w:szCs w:val="21"/>
          <w:highlight w:val="none"/>
          <w:u w:val="single"/>
        </w:rPr>
        <w:t>商务标、技术标、报价信封三部分组成</w:t>
      </w:r>
      <w:r>
        <w:rPr>
          <w:rFonts w:hint="eastAsia" w:ascii="宋体" w:hAnsi="宋体" w:eastAsia="宋体" w:cs="宋体"/>
          <w:b/>
          <w:kern w:val="0"/>
          <w:szCs w:val="21"/>
          <w:highlight w:val="none"/>
        </w:rPr>
        <w:t>。</w:t>
      </w:r>
    </w:p>
    <w:p w14:paraId="544D43C7">
      <w:pPr>
        <w:autoSpaceDE w:val="0"/>
        <w:autoSpaceDN w:val="0"/>
        <w:adjustRightInd w:val="0"/>
        <w:spacing w:line="360" w:lineRule="auto"/>
        <w:ind w:left="422" w:leftChars="-100" w:hanging="632" w:hangingChars="300"/>
        <w:rPr>
          <w:rFonts w:hint="eastAsia" w:ascii="宋体" w:hAnsi="宋体" w:eastAsia="宋体" w:cs="宋体"/>
          <w:b/>
          <w:kern w:val="0"/>
          <w:szCs w:val="21"/>
          <w:highlight w:val="none"/>
        </w:rPr>
      </w:pPr>
      <w:r>
        <w:rPr>
          <w:rFonts w:hint="eastAsia" w:ascii="宋体" w:hAnsi="宋体" w:eastAsia="宋体" w:cs="宋体"/>
          <w:b/>
          <w:kern w:val="0"/>
          <w:szCs w:val="24"/>
          <w:highlight w:val="none"/>
        </w:rPr>
        <w:t>9.1.1 商务</w:t>
      </w:r>
      <w:r>
        <w:rPr>
          <w:rFonts w:hint="eastAsia" w:ascii="宋体" w:hAnsi="宋体" w:eastAsia="宋体" w:cs="宋体"/>
          <w:b/>
          <w:kern w:val="0"/>
          <w:szCs w:val="24"/>
          <w:highlight w:val="none"/>
          <w:lang w:val="en-US" w:eastAsia="zh-CN"/>
        </w:rPr>
        <w:t>标</w:t>
      </w:r>
      <w:r>
        <w:rPr>
          <w:rFonts w:hint="eastAsia" w:ascii="宋体" w:hAnsi="宋体" w:eastAsia="宋体" w:cs="宋体"/>
          <w:b/>
          <w:kern w:val="0"/>
          <w:szCs w:val="24"/>
          <w:highlight w:val="none"/>
        </w:rPr>
        <w:t>：</w:t>
      </w:r>
    </w:p>
    <w:p w14:paraId="59B74387">
      <w:pPr>
        <w:autoSpaceDE w:val="0"/>
        <w:autoSpaceDN w:val="0"/>
        <w:adjustRightInd w:val="0"/>
        <w:spacing w:line="360" w:lineRule="auto"/>
        <w:jc w:val="left"/>
        <w:rPr>
          <w:rFonts w:hint="eastAsia" w:ascii="宋体" w:hAnsi="宋体" w:eastAsia="宋体" w:cs="宋体"/>
          <w:b/>
          <w:kern w:val="0"/>
          <w:szCs w:val="21"/>
          <w:highlight w:val="none"/>
          <w:lang w:val="zh-CN"/>
        </w:rPr>
      </w:pPr>
      <w:r>
        <w:rPr>
          <w:rFonts w:hint="eastAsia" w:ascii="宋体" w:hAnsi="宋体" w:eastAsia="宋体" w:cs="宋体"/>
          <w:kern w:val="0"/>
          <w:sz w:val="24"/>
          <w:szCs w:val="24"/>
          <w:highlight w:val="none"/>
          <w:lang w:val="zh-CN"/>
        </w:rPr>
        <w:t xml:space="preserve">   </w:t>
      </w:r>
      <w:r>
        <w:rPr>
          <w:rFonts w:hint="eastAsia" w:ascii="宋体" w:hAnsi="宋体" w:eastAsia="宋体" w:cs="宋体"/>
          <w:b/>
          <w:kern w:val="0"/>
          <w:szCs w:val="21"/>
          <w:highlight w:val="none"/>
          <w:lang w:val="zh-CN"/>
        </w:rPr>
        <w:t>目录：</w:t>
      </w:r>
    </w:p>
    <w:p w14:paraId="15C5F227">
      <w:pPr>
        <w:tabs>
          <w:tab w:val="left" w:pos="567"/>
        </w:tabs>
        <w:autoSpaceDE w:val="0"/>
        <w:autoSpaceDN w:val="0"/>
        <w:adjustRightInd w:val="0"/>
        <w:spacing w:line="360" w:lineRule="auto"/>
        <w:ind w:left="105" w:leftChars="-100" w:hanging="315" w:hangingChars="150"/>
        <w:rPr>
          <w:rFonts w:hint="eastAsia" w:ascii="宋体" w:hAnsi="宋体" w:eastAsia="宋体" w:cs="宋体"/>
          <w:szCs w:val="21"/>
          <w:highlight w:val="none"/>
          <w:lang w:val="zh-CN"/>
        </w:rPr>
      </w:pPr>
      <w:r>
        <w:rPr>
          <w:rFonts w:hint="eastAsia" w:ascii="宋体" w:hAnsi="宋体" w:eastAsia="宋体" w:cs="宋体"/>
          <w:szCs w:val="21"/>
          <w:highlight w:val="none"/>
          <w:lang w:val="zh-CN"/>
        </w:rPr>
        <w:t>（1）投标函；</w:t>
      </w:r>
    </w:p>
    <w:p w14:paraId="7D83AC8D">
      <w:pPr>
        <w:tabs>
          <w:tab w:val="left" w:pos="567"/>
        </w:tabs>
        <w:autoSpaceDE w:val="0"/>
        <w:autoSpaceDN w:val="0"/>
        <w:adjustRightInd w:val="0"/>
        <w:spacing w:line="360" w:lineRule="auto"/>
        <w:ind w:left="105" w:leftChars="-100" w:hanging="315" w:hangingChars="150"/>
        <w:rPr>
          <w:rFonts w:hint="eastAsia" w:ascii="宋体" w:hAnsi="宋体" w:eastAsia="宋体" w:cs="宋体"/>
          <w:szCs w:val="21"/>
          <w:highlight w:val="none"/>
          <w:lang w:val="zh-CN"/>
        </w:rPr>
      </w:pPr>
      <w:r>
        <w:rPr>
          <w:rFonts w:hint="eastAsia" w:ascii="宋体" w:hAnsi="宋体" w:eastAsia="宋体" w:cs="宋体"/>
          <w:szCs w:val="21"/>
          <w:highlight w:val="none"/>
          <w:lang w:val="zh-CN"/>
        </w:rPr>
        <w:t>（2）投标承诺书；</w:t>
      </w:r>
    </w:p>
    <w:p w14:paraId="61672B90">
      <w:pPr>
        <w:tabs>
          <w:tab w:val="left" w:pos="567"/>
        </w:tabs>
        <w:autoSpaceDE w:val="0"/>
        <w:autoSpaceDN w:val="0"/>
        <w:adjustRightInd w:val="0"/>
        <w:spacing w:line="360" w:lineRule="auto"/>
        <w:ind w:left="105" w:leftChars="-100" w:hanging="315" w:hangingChars="150"/>
        <w:rPr>
          <w:rFonts w:hint="eastAsia" w:ascii="宋体" w:hAnsi="宋体" w:eastAsia="宋体" w:cs="宋体"/>
          <w:szCs w:val="21"/>
          <w:highlight w:val="none"/>
          <w:lang w:val="zh-CN"/>
        </w:rPr>
      </w:pPr>
      <w:r>
        <w:rPr>
          <w:rFonts w:hint="eastAsia" w:ascii="宋体" w:hAnsi="宋体" w:eastAsia="宋体" w:cs="宋体"/>
          <w:szCs w:val="21"/>
          <w:highlight w:val="none"/>
          <w:lang w:val="zh-CN"/>
        </w:rPr>
        <w:t>（3）供货及/或提供服务过程承诺函；</w:t>
      </w:r>
    </w:p>
    <w:p w14:paraId="0590950E">
      <w:pPr>
        <w:tabs>
          <w:tab w:val="left" w:pos="567"/>
        </w:tabs>
        <w:autoSpaceDE w:val="0"/>
        <w:autoSpaceDN w:val="0"/>
        <w:adjustRightInd w:val="0"/>
        <w:spacing w:line="360" w:lineRule="auto"/>
        <w:ind w:left="105" w:leftChars="-100" w:hanging="315" w:hangingChars="150"/>
        <w:rPr>
          <w:rFonts w:hint="eastAsia" w:ascii="宋体" w:hAnsi="宋体" w:eastAsia="宋体" w:cs="宋体"/>
          <w:szCs w:val="21"/>
          <w:highlight w:val="none"/>
          <w:lang w:val="zh-CN"/>
        </w:rPr>
      </w:pPr>
      <w:r>
        <w:rPr>
          <w:rFonts w:hint="eastAsia" w:ascii="宋体" w:hAnsi="宋体" w:eastAsia="宋体" w:cs="宋体"/>
          <w:szCs w:val="21"/>
          <w:highlight w:val="none"/>
          <w:lang w:val="zh-CN"/>
        </w:rPr>
        <w:t>（</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val="zh-CN"/>
        </w:rPr>
        <w:t>）投标人资格证明文件：</w:t>
      </w:r>
    </w:p>
    <w:p w14:paraId="4316DB3A">
      <w:pPr>
        <w:autoSpaceDE w:val="0"/>
        <w:autoSpaceDN w:val="0"/>
        <w:adjustRightInd w:val="0"/>
        <w:spacing w:line="360" w:lineRule="auto"/>
        <w:ind w:left="283" w:hanging="283" w:hangingChars="135"/>
        <w:rPr>
          <w:rFonts w:hint="eastAsia" w:ascii="宋体" w:hAnsi="宋体" w:eastAsia="宋体" w:cs="宋体"/>
          <w:szCs w:val="21"/>
          <w:highlight w:val="none"/>
          <w:lang w:val="zh-CN"/>
        </w:rPr>
      </w:pPr>
      <w:r>
        <w:rPr>
          <w:rFonts w:hint="eastAsia" w:ascii="宋体" w:hAnsi="宋体" w:eastAsia="宋体" w:cs="宋体"/>
          <w:szCs w:val="21"/>
          <w:highlight w:val="none"/>
          <w:lang w:val="zh-CN"/>
        </w:rPr>
        <w:t>1）</w:t>
      </w:r>
      <w:r>
        <w:rPr>
          <w:rFonts w:ascii="宋体" w:hAnsi="宋体" w:eastAsia="宋体" w:cs="Times New Roman"/>
          <w:szCs w:val="21"/>
          <w:highlight w:val="none"/>
          <w:lang w:val="zh-CN"/>
        </w:rPr>
        <w:t>多证合一营业执照</w:t>
      </w:r>
      <w:r>
        <w:rPr>
          <w:rFonts w:hint="eastAsia" w:ascii="宋体" w:hAnsi="宋体" w:eastAsia="宋体" w:cs="Times New Roman"/>
          <w:kern w:val="0"/>
          <w:szCs w:val="21"/>
          <w:highlight w:val="none"/>
        </w:rPr>
        <w:t>（或事业单位</w:t>
      </w:r>
      <w:r>
        <w:rPr>
          <w:rFonts w:hint="eastAsia" w:ascii="宋体" w:hAnsi="宋体" w:eastAsia="宋体" w:cs="Times New Roman"/>
          <w:color w:val="auto"/>
          <w:kern w:val="0"/>
          <w:szCs w:val="21"/>
          <w:highlight w:val="none"/>
        </w:rPr>
        <w:t>法人证书）</w:t>
      </w:r>
      <w:r>
        <w:rPr>
          <w:rFonts w:hint="eastAsia" w:ascii="宋体" w:hAnsi="宋体" w:eastAsia="宋体" w:cs="Times New Roman"/>
          <w:color w:val="auto"/>
          <w:szCs w:val="21"/>
          <w:highlight w:val="none"/>
          <w:lang w:val="zh-CN"/>
        </w:rPr>
        <w:t>扫描件</w:t>
      </w:r>
      <w:r>
        <w:rPr>
          <w:rFonts w:ascii="宋体" w:hAnsi="宋体" w:eastAsia="宋体" w:cs="Times New Roman"/>
          <w:color w:val="auto"/>
          <w:szCs w:val="21"/>
          <w:highlight w:val="none"/>
          <w:lang w:val="zh-CN"/>
        </w:rPr>
        <w:t>；</w:t>
      </w:r>
      <w:r>
        <w:rPr>
          <w:rFonts w:hint="eastAsia" w:ascii="宋体" w:hAnsi="宋体" w:eastAsia="宋体" w:cs="宋体"/>
          <w:color w:val="auto"/>
          <w:kern w:val="2"/>
          <w:sz w:val="21"/>
          <w:szCs w:val="21"/>
          <w:lang w:val="zh-CN"/>
        </w:rPr>
        <w:t>（分支机构投标的，还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r>
        <w:rPr>
          <w:rFonts w:hint="eastAsia" w:ascii="宋体" w:hAnsi="宋体" w:eastAsia="宋体" w:cs="宋体"/>
          <w:szCs w:val="21"/>
          <w:highlight w:val="none"/>
          <w:lang w:val="zh-CN"/>
        </w:rPr>
        <w:t>；</w:t>
      </w:r>
    </w:p>
    <w:p w14:paraId="741EC6F5">
      <w:pPr>
        <w:autoSpaceDE w:val="0"/>
        <w:autoSpaceDN w:val="0"/>
        <w:adjustRightInd w:val="0"/>
        <w:spacing w:line="360" w:lineRule="auto"/>
        <w:ind w:left="283" w:hanging="283" w:hangingChars="135"/>
        <w:rPr>
          <w:rFonts w:hint="eastAsia" w:ascii="宋体" w:hAnsi="宋体" w:eastAsia="宋体" w:cs="宋体"/>
          <w:color w:val="auto"/>
          <w:szCs w:val="21"/>
          <w:highlight w:val="none"/>
          <w:lang w:val="zh-CN"/>
        </w:rPr>
      </w:pPr>
      <w:r>
        <w:rPr>
          <w:rFonts w:hint="eastAsia" w:ascii="宋体" w:hAnsi="宋体" w:eastAsia="宋体" w:cs="宋体"/>
          <w:szCs w:val="21"/>
          <w:highlight w:val="none"/>
        </w:rPr>
        <w:t>2</w:t>
      </w:r>
      <w:r>
        <w:rPr>
          <w:rFonts w:hint="eastAsia" w:ascii="宋体" w:hAnsi="宋体" w:eastAsia="宋体" w:cs="宋体"/>
          <w:szCs w:val="21"/>
          <w:highlight w:val="none"/>
          <w:lang w:val="zh-CN"/>
        </w:rPr>
        <w:t>）</w:t>
      </w:r>
      <w:r>
        <w:rPr>
          <w:rFonts w:ascii="宋体" w:hAnsi="宋体" w:eastAsia="宋体" w:cs="Times New Roman"/>
          <w:szCs w:val="21"/>
          <w:highlight w:val="none"/>
          <w:lang w:val="zh-CN"/>
        </w:rPr>
        <w:t>开户许可证</w:t>
      </w:r>
      <w:r>
        <w:rPr>
          <w:rFonts w:hint="eastAsia" w:ascii="宋体" w:hAnsi="宋体" w:eastAsia="宋体" w:cs="Times New Roman"/>
          <w:szCs w:val="21"/>
          <w:highlight w:val="none"/>
          <w:lang w:val="zh-CN"/>
        </w:rPr>
        <w:t>扫描件</w:t>
      </w:r>
      <w:r>
        <w:rPr>
          <w:rFonts w:ascii="宋体" w:hAnsi="宋体" w:eastAsia="宋体" w:cs="Times New Roman"/>
          <w:szCs w:val="21"/>
          <w:highlight w:val="none"/>
          <w:lang w:val="zh-CN"/>
        </w:rPr>
        <w:t>（基本存款账户）</w:t>
      </w:r>
      <w:r>
        <w:rPr>
          <w:rFonts w:hint="eastAsia" w:ascii="宋体" w:hAnsi="宋体" w:eastAsia="宋体" w:cs="Times New Roman"/>
          <w:szCs w:val="21"/>
          <w:highlight w:val="none"/>
          <w:lang w:val="zh-CN"/>
        </w:rPr>
        <w:t>，如投标人企业银行账户开户所在地区已取消企业银行账户许可，投标人应提供基本存款账户开户名称、开户银行、账号、编号等信息及相关备案证明（如有）或其他能证明其为基本存款账户的资料扫描件</w:t>
      </w:r>
      <w:r>
        <w:rPr>
          <w:rFonts w:hint="eastAsia" w:ascii="宋体" w:hAnsi="宋体" w:eastAsia="宋体" w:cs="宋体"/>
          <w:szCs w:val="21"/>
          <w:highlight w:val="none"/>
          <w:lang w:val="zh-CN"/>
        </w:rPr>
        <w:t>；</w:t>
      </w:r>
    </w:p>
    <w:p w14:paraId="54406676">
      <w:pPr>
        <w:autoSpaceDE w:val="0"/>
        <w:autoSpaceDN w:val="0"/>
        <w:adjustRightInd w:val="0"/>
        <w:spacing w:line="360" w:lineRule="auto"/>
        <w:ind w:left="283" w:hanging="283" w:hangingChars="135"/>
        <w:rPr>
          <w:rFonts w:hint="eastAsia" w:ascii="宋体" w:hAnsi="宋体" w:eastAsia="宋体" w:cs="宋体"/>
          <w:szCs w:val="21"/>
          <w:highlight w:val="none"/>
          <w:lang w:val="zh-CN"/>
        </w:rPr>
      </w:pPr>
      <w:r>
        <w:rPr>
          <w:rFonts w:hint="eastAsia" w:ascii="宋体" w:hAnsi="宋体" w:eastAsia="宋体" w:cs="宋体"/>
          <w:szCs w:val="21"/>
          <w:highlight w:val="none"/>
        </w:rPr>
        <w:t>3</w:t>
      </w:r>
      <w:r>
        <w:rPr>
          <w:rFonts w:hint="eastAsia" w:ascii="宋体" w:hAnsi="宋体" w:eastAsia="宋体" w:cs="宋体"/>
          <w:szCs w:val="21"/>
          <w:highlight w:val="none"/>
          <w:lang w:val="zh-CN"/>
        </w:rPr>
        <w:t>）</w:t>
      </w:r>
      <w:r>
        <w:rPr>
          <w:rFonts w:hint="eastAsia" w:ascii="宋体" w:hAnsi="宋体" w:eastAsia="宋体" w:cs="宋体"/>
          <w:sz w:val="21"/>
          <w:szCs w:val="21"/>
        </w:rPr>
        <w:t>公司债主承销商及服务资质（须提供《经营证券期货业务许可证》</w:t>
      </w:r>
      <w:r>
        <w:rPr>
          <w:rFonts w:hint="eastAsia" w:ascii="宋体" w:hAnsi="宋体" w:eastAsia="宋体" w:cs="宋体"/>
          <w:sz w:val="21"/>
          <w:szCs w:val="21"/>
          <w:lang w:eastAsia="zh-CN"/>
        </w:rPr>
        <w:t>扫描件</w:t>
      </w:r>
      <w:r>
        <w:rPr>
          <w:rFonts w:hint="eastAsia" w:ascii="宋体" w:hAnsi="宋体" w:eastAsia="宋体" w:cs="宋体"/>
          <w:sz w:val="21"/>
          <w:szCs w:val="21"/>
        </w:rPr>
        <w:t>）</w:t>
      </w:r>
    </w:p>
    <w:p w14:paraId="3658A236">
      <w:pPr>
        <w:autoSpaceDE w:val="0"/>
        <w:autoSpaceDN w:val="0"/>
        <w:adjustRightInd w:val="0"/>
        <w:spacing w:line="360" w:lineRule="auto"/>
        <w:ind w:left="283" w:hanging="283" w:hangingChars="135"/>
        <w:rPr>
          <w:rFonts w:hint="eastAsia" w:ascii="宋体" w:hAnsi="宋体" w:eastAsia="宋体" w:cs="宋体"/>
          <w:color w:val="auto"/>
          <w:szCs w:val="21"/>
          <w:highlight w:val="none"/>
          <w:lang w:val="zh-CN"/>
        </w:rPr>
      </w:pPr>
      <w:r>
        <w:rPr>
          <w:rFonts w:hint="eastAsia" w:ascii="宋体" w:hAnsi="宋体" w:eastAsia="宋体" w:cs="宋体"/>
          <w:szCs w:val="21"/>
          <w:highlight w:val="none"/>
          <w:lang w:val="zh-CN"/>
        </w:rPr>
        <w:t>4</w:t>
      </w:r>
      <w:r>
        <w:rPr>
          <w:rFonts w:hint="eastAsia" w:ascii="宋体" w:hAnsi="宋体" w:eastAsia="宋体" w:cs="宋体"/>
          <w:szCs w:val="21"/>
          <w:highlight w:val="none"/>
        </w:rPr>
        <w:t>）</w:t>
      </w:r>
      <w:r>
        <w:rPr>
          <w:rFonts w:hint="eastAsia" w:ascii="宋体" w:hAnsi="宋体" w:eastAsia="宋体" w:cs="宋体"/>
          <w:szCs w:val="21"/>
          <w:highlight w:val="none"/>
          <w:lang w:val="zh-CN"/>
        </w:rPr>
        <w:t>法定代表人身份证明书和法定代表人授权书原件（法定代表人投标时只提供法定代表人身份证明书，委托</w:t>
      </w:r>
      <w:r>
        <w:rPr>
          <w:rFonts w:hint="eastAsia" w:ascii="宋体" w:hAnsi="宋体" w:eastAsia="宋体" w:cs="宋体"/>
          <w:szCs w:val="21"/>
          <w:highlight w:val="none"/>
        </w:rPr>
        <w:t>他</w:t>
      </w:r>
      <w:r>
        <w:rPr>
          <w:rFonts w:hint="eastAsia" w:ascii="宋体" w:hAnsi="宋体" w:eastAsia="宋体" w:cs="宋体"/>
          <w:color w:val="auto"/>
          <w:szCs w:val="21"/>
          <w:highlight w:val="none"/>
        </w:rPr>
        <w:t>人</w:t>
      </w:r>
      <w:r>
        <w:rPr>
          <w:rFonts w:hint="eastAsia" w:ascii="宋体" w:hAnsi="宋体" w:eastAsia="宋体" w:cs="宋体"/>
          <w:color w:val="auto"/>
          <w:szCs w:val="21"/>
          <w:highlight w:val="none"/>
          <w:lang w:val="zh-CN"/>
        </w:rPr>
        <w:t>为投标代表时同时提供法定代表人授权书）；</w:t>
      </w:r>
    </w:p>
    <w:p w14:paraId="20686CB8">
      <w:pPr>
        <w:tabs>
          <w:tab w:val="left" w:pos="1276"/>
        </w:tabs>
        <w:spacing w:line="360" w:lineRule="auto"/>
        <w:ind w:left="283" w:hanging="283" w:hangingChars="135"/>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资格业绩</w:t>
      </w:r>
      <w:r>
        <w:rPr>
          <w:rFonts w:hint="eastAsia" w:ascii="宋体" w:hAnsi="宋体" w:eastAsia="宋体" w:cs="宋体"/>
          <w:color w:val="auto"/>
          <w:szCs w:val="21"/>
          <w:highlight w:val="none"/>
        </w:rPr>
        <w:t>【</w:t>
      </w:r>
      <w:r>
        <w:rPr>
          <w:rFonts w:hint="eastAsia" w:ascii="宋体" w:hAnsi="宋体" w:eastAsia="宋体"/>
          <w:color w:val="auto"/>
          <w:szCs w:val="21"/>
          <w:highlight w:val="none"/>
        </w:rPr>
        <w:t>投标人提供一份</w:t>
      </w:r>
      <w:r>
        <w:rPr>
          <w:rFonts w:hint="eastAsia" w:ascii="宋体" w:hAnsi="宋体" w:eastAsia="宋体"/>
          <w:color w:val="auto"/>
          <w:szCs w:val="21"/>
          <w:highlight w:val="none"/>
          <w:lang w:val="en-US" w:eastAsia="zh-CN"/>
        </w:rPr>
        <w:t>2022年1月1日</w:t>
      </w:r>
      <w:r>
        <w:rPr>
          <w:rFonts w:hint="eastAsia" w:ascii="宋体" w:hAnsi="宋体" w:eastAsia="宋体"/>
          <w:color w:val="auto"/>
          <w:szCs w:val="21"/>
          <w:highlight w:val="none"/>
        </w:rPr>
        <w:t>以来</w:t>
      </w:r>
      <w:r>
        <w:rPr>
          <w:rFonts w:hint="eastAsia" w:ascii="宋体" w:hAnsi="宋体" w:eastAsia="宋体"/>
          <w:color w:val="auto"/>
          <w:szCs w:val="21"/>
          <w:highlight w:val="none"/>
          <w:lang w:val="en-US" w:eastAsia="zh-CN"/>
        </w:rPr>
        <w:t>担任主承销商发行企业3年期公司债的业绩</w:t>
      </w:r>
      <w:r>
        <w:rPr>
          <w:rFonts w:hint="eastAsia" w:ascii="宋体" w:hAnsi="宋体" w:eastAsia="宋体"/>
          <w:color w:val="auto"/>
          <w:szCs w:val="21"/>
          <w:highlight w:val="none"/>
        </w:rPr>
        <w:t>（合同签订日期为</w:t>
      </w:r>
      <w:r>
        <w:rPr>
          <w:rFonts w:hint="eastAsia" w:ascii="宋体" w:hAnsi="宋体" w:eastAsia="宋体"/>
          <w:color w:val="auto"/>
          <w:szCs w:val="21"/>
          <w:highlight w:val="none"/>
          <w:lang w:val="en-US" w:eastAsia="zh-CN"/>
        </w:rPr>
        <w:t>2022</w:t>
      </w:r>
      <w:r>
        <w:rPr>
          <w:rFonts w:hint="eastAsia" w:ascii="宋体" w:hAnsi="宋体" w:eastAsia="宋体"/>
          <w:color w:val="auto"/>
          <w:szCs w:val="21"/>
          <w:highlight w:val="none"/>
        </w:rPr>
        <w:t>年</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月</w:t>
      </w: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日或以后），资格业绩证明材料提交要求详见招标文件第六篇投标文件格式</w:t>
      </w:r>
      <w:r>
        <w:rPr>
          <w:rFonts w:hint="eastAsia" w:ascii="宋体" w:hAnsi="宋体" w:eastAsia="宋体"/>
          <w:color w:val="auto"/>
          <w:szCs w:val="21"/>
          <w:highlight w:val="none"/>
          <w:u w:val="single"/>
          <w:lang w:val="en-US" w:eastAsia="zh-CN"/>
        </w:rPr>
        <w:t>5</w:t>
      </w:r>
      <w:r>
        <w:rPr>
          <w:rFonts w:hint="eastAsia" w:ascii="宋体" w:hAnsi="宋体" w:eastAsia="宋体"/>
          <w:color w:val="auto"/>
          <w:szCs w:val="21"/>
          <w:highlight w:val="none"/>
          <w:u w:val="single"/>
        </w:rPr>
        <w:t>.</w:t>
      </w:r>
      <w:r>
        <w:rPr>
          <w:rFonts w:hint="eastAsia" w:ascii="宋体" w:hAnsi="宋体" w:eastAsia="宋体"/>
          <w:color w:val="auto"/>
          <w:szCs w:val="21"/>
          <w:highlight w:val="none"/>
          <w:u w:val="single"/>
          <w:lang w:val="en-US" w:eastAsia="zh-CN"/>
        </w:rPr>
        <w:t>5</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w:t>
      </w:r>
    </w:p>
    <w:p w14:paraId="40612613">
      <w:pPr>
        <w:autoSpaceDE w:val="0"/>
        <w:autoSpaceDN w:val="0"/>
        <w:adjustRightInd w:val="0"/>
        <w:spacing w:line="360" w:lineRule="auto"/>
        <w:ind w:left="913" w:hanging="913" w:hangingChars="435"/>
        <w:rPr>
          <w:rFonts w:hint="eastAsia" w:ascii="宋体" w:hAnsi="宋体" w:eastAsia="宋体" w:cs="宋体"/>
          <w:szCs w:val="21"/>
          <w:highlight w:val="none"/>
          <w:lang w:val="zh-CN"/>
        </w:rPr>
      </w:pPr>
      <w:r>
        <w:rPr>
          <w:rFonts w:hint="eastAsia" w:ascii="宋体" w:hAnsi="宋体" w:eastAsia="宋体" w:cs="宋体"/>
          <w:color w:val="000000" w:themeColor="text1"/>
          <w:szCs w:val="21"/>
          <w:lang w:val="zh-CN"/>
          <w14:textFill>
            <w14:solidFill>
              <w14:schemeClr w14:val="tx1"/>
            </w14:solidFill>
          </w14:textFill>
        </w:rPr>
        <w:t>6）</w:t>
      </w:r>
      <w:r>
        <w:rPr>
          <w:rFonts w:hint="eastAsia" w:ascii="宋体" w:hAnsi="宋体" w:eastAsia="宋体" w:cs="宋体"/>
          <w:szCs w:val="21"/>
          <w:highlight w:val="none"/>
          <w:lang w:val="zh-CN"/>
        </w:rPr>
        <w:t>最近3年投标人牵涉的其他（失信和违法）</w:t>
      </w:r>
      <w:r>
        <w:rPr>
          <w:rFonts w:hint="eastAsia" w:ascii="宋体" w:hAnsi="宋体" w:eastAsia="宋体" w:cs="宋体"/>
          <w:kern w:val="0"/>
          <w:szCs w:val="21"/>
          <w:highlight w:val="none"/>
        </w:rPr>
        <w:t>处罚说明</w:t>
      </w:r>
      <w:r>
        <w:rPr>
          <w:rFonts w:hint="eastAsia" w:ascii="宋体" w:hAnsi="宋体" w:eastAsia="宋体" w:cs="宋体"/>
          <w:szCs w:val="21"/>
          <w:highlight w:val="none"/>
          <w:lang w:val="zh-CN"/>
        </w:rPr>
        <w:t>；</w:t>
      </w:r>
    </w:p>
    <w:p w14:paraId="7311E739">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）投标人基本情况一览表；</w:t>
      </w:r>
    </w:p>
    <w:p w14:paraId="7E8B8460">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w:t>
      </w:r>
      <w:r>
        <w:rPr>
          <w:rStyle w:val="204"/>
          <w:rFonts w:hint="eastAsia" w:ascii="宋体" w:hAnsi="宋体" w:eastAsia="宋体" w:cs="宋体"/>
          <w:color w:val="auto"/>
          <w:sz w:val="21"/>
        </w:rPr>
        <w:t>证监会分类评级</w:t>
      </w:r>
      <w:r>
        <w:rPr>
          <w:rFonts w:hint="eastAsia" w:ascii="宋体" w:hAnsi="宋体" w:eastAsia="宋体" w:cs="宋体"/>
          <w:color w:val="auto"/>
          <w:szCs w:val="21"/>
          <w:highlight w:val="none"/>
          <w:lang w:val="zh-CN"/>
        </w:rPr>
        <w:t>；</w:t>
      </w:r>
    </w:p>
    <w:p w14:paraId="0FEE4DDB">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）合同条款响应程度（合同条款偏离表）；</w:t>
      </w:r>
    </w:p>
    <w:p w14:paraId="206241AE">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 w:val="21"/>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w:t>
      </w:r>
      <w:r>
        <w:rPr>
          <w:rFonts w:hint="eastAsia" w:ascii="宋体" w:hAnsi="宋体" w:eastAsia="宋体" w:cs="宋体"/>
          <w:color w:val="auto"/>
          <w:sz w:val="21"/>
          <w:szCs w:val="21"/>
          <w:highlight w:val="none"/>
          <w:lang w:val="zh-CN"/>
        </w:rPr>
        <w:t>承销金额规模</w:t>
      </w:r>
      <w:r>
        <w:rPr>
          <w:rFonts w:hint="eastAsia" w:ascii="宋体" w:hAnsi="宋体" w:eastAsia="宋体" w:cs="宋体"/>
          <w:color w:val="auto"/>
          <w:sz w:val="21"/>
          <w:szCs w:val="21"/>
          <w:highlight w:val="none"/>
          <w:lang w:val="en-US" w:eastAsia="zh-CN"/>
        </w:rPr>
        <w:t>及承销数量</w:t>
      </w:r>
      <w:r>
        <w:rPr>
          <w:rFonts w:hint="eastAsia" w:ascii="宋体" w:hAnsi="宋体" w:eastAsia="宋体" w:cs="宋体"/>
          <w:color w:val="auto"/>
          <w:sz w:val="21"/>
          <w:szCs w:val="21"/>
          <w:highlight w:val="none"/>
          <w:lang w:val="zh-CN"/>
        </w:rPr>
        <w:t>；</w:t>
      </w:r>
    </w:p>
    <w:p w14:paraId="4AA0C467">
      <w:pPr>
        <w:tabs>
          <w:tab w:val="left" w:pos="567"/>
        </w:tabs>
        <w:autoSpaceDE w:val="0"/>
        <w:autoSpaceDN w:val="0"/>
        <w:adjustRightInd w:val="0"/>
        <w:spacing w:line="360" w:lineRule="auto"/>
        <w:ind w:left="105" w:leftChars="-100" w:hanging="315" w:hangingChars="1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val="zh-CN"/>
        </w:rPr>
        <w:t>）</w:t>
      </w:r>
      <w:r>
        <w:rPr>
          <w:rFonts w:hint="eastAsia" w:ascii="宋体" w:hAnsi="宋体" w:eastAsia="宋体" w:cs="宋体"/>
          <w:color w:val="auto"/>
          <w:kern w:val="2"/>
          <w:szCs w:val="21"/>
          <w:highlight w:val="none"/>
          <w:lang w:val="zh-CN"/>
        </w:rPr>
        <w:t>债券业务执业质量；</w:t>
      </w:r>
    </w:p>
    <w:p w14:paraId="4A7B9C9B">
      <w:pPr>
        <w:tabs>
          <w:tab w:val="left" w:pos="567"/>
        </w:tabs>
        <w:autoSpaceDE w:val="0"/>
        <w:autoSpaceDN w:val="0"/>
        <w:adjustRightInd w:val="0"/>
        <w:spacing w:line="360" w:lineRule="auto"/>
        <w:ind w:left="105" w:leftChars="-100" w:hanging="315" w:hangingChars="150"/>
        <w:rPr>
          <w:rFonts w:hint="eastAsia" w:ascii="宋体" w:hAnsi="宋体" w:eastAsia="宋体" w:cs="宋体"/>
          <w:color w:val="auto"/>
          <w:szCs w:val="21"/>
          <w:highlight w:val="none"/>
          <w:lang w:val="zh-CN"/>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10</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szCs w:val="21"/>
          <w:highlight w:val="none"/>
          <w:lang w:val="zh-CN"/>
        </w:rPr>
        <w:t>中标服务费承诺书；</w:t>
      </w:r>
    </w:p>
    <w:p w14:paraId="28CF0897">
      <w:pPr>
        <w:tabs>
          <w:tab w:val="left" w:pos="567"/>
        </w:tabs>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11</w:t>
      </w:r>
      <w:r>
        <w:rPr>
          <w:rFonts w:hint="eastAsia" w:ascii="宋体" w:hAnsi="宋体" w:eastAsia="宋体" w:cs="宋体"/>
          <w:color w:val="auto"/>
          <w:szCs w:val="21"/>
          <w:highlight w:val="none"/>
          <w:lang w:val="zh-CN"/>
        </w:rPr>
        <w:t>）投标人资格证明文件以外的其他资质证书、知识产权证书及获得的相关获奖、认证证书、社会评价资料证明文件扫描件等投标人认为有需要证明其具备为本次招标项目提供服务能力的有关其它商务文件（不做强制要求）。</w:t>
      </w:r>
    </w:p>
    <w:p w14:paraId="50F848CA">
      <w:pPr>
        <w:autoSpaceDE w:val="0"/>
        <w:autoSpaceDN w:val="0"/>
        <w:adjustRightInd w:val="0"/>
        <w:spacing w:line="360" w:lineRule="auto"/>
        <w:ind w:left="422" w:leftChars="-100" w:hanging="632" w:hangingChars="300"/>
        <w:rPr>
          <w:rFonts w:hint="eastAsia" w:ascii="宋体" w:hAnsi="宋体" w:eastAsia="宋体" w:cs="宋体"/>
          <w:b/>
          <w:color w:val="auto"/>
          <w:kern w:val="0"/>
          <w:szCs w:val="24"/>
          <w:highlight w:val="none"/>
        </w:rPr>
      </w:pPr>
      <w:r>
        <w:rPr>
          <w:rFonts w:hint="eastAsia" w:ascii="宋体" w:hAnsi="宋体" w:eastAsia="宋体" w:cs="宋体"/>
          <w:b/>
          <w:color w:val="auto"/>
          <w:kern w:val="0"/>
          <w:szCs w:val="24"/>
          <w:highlight w:val="none"/>
        </w:rPr>
        <w:t>9.1.2 技术</w:t>
      </w:r>
      <w:r>
        <w:rPr>
          <w:rFonts w:hint="eastAsia" w:ascii="宋体" w:hAnsi="宋体" w:eastAsia="宋体" w:cs="宋体"/>
          <w:b/>
          <w:color w:val="auto"/>
          <w:kern w:val="0"/>
          <w:szCs w:val="24"/>
          <w:highlight w:val="none"/>
          <w:lang w:val="en-US" w:eastAsia="zh-CN"/>
        </w:rPr>
        <w:t>标</w:t>
      </w:r>
      <w:r>
        <w:rPr>
          <w:rFonts w:hint="eastAsia" w:ascii="宋体" w:hAnsi="宋体" w:eastAsia="宋体" w:cs="宋体"/>
          <w:b/>
          <w:color w:val="auto"/>
          <w:kern w:val="0"/>
          <w:szCs w:val="24"/>
          <w:highlight w:val="none"/>
        </w:rPr>
        <w:t>：</w:t>
      </w:r>
    </w:p>
    <w:p w14:paraId="24104E98">
      <w:pPr>
        <w:autoSpaceDE w:val="0"/>
        <w:autoSpaceDN w:val="0"/>
        <w:adjustRightInd w:val="0"/>
        <w:spacing w:line="360" w:lineRule="auto"/>
        <w:ind w:right="-23" w:rightChars="-11"/>
        <w:jc w:val="left"/>
        <w:rPr>
          <w:rFonts w:hint="eastAsia" w:ascii="宋体" w:hAnsi="宋体" w:eastAsia="宋体" w:cs="宋体"/>
          <w:b/>
          <w:bCs/>
          <w:color w:val="auto"/>
          <w:kern w:val="0"/>
          <w:szCs w:val="21"/>
          <w:highlight w:val="none"/>
          <w:lang w:val="zh-CN"/>
        </w:rPr>
      </w:pPr>
      <w:r>
        <w:rPr>
          <w:rFonts w:hint="eastAsia" w:ascii="宋体" w:hAnsi="宋体" w:eastAsia="宋体" w:cs="宋体"/>
          <w:b/>
          <w:bCs/>
          <w:color w:val="auto"/>
          <w:kern w:val="0"/>
          <w:szCs w:val="21"/>
          <w:highlight w:val="none"/>
          <w:lang w:val="zh-CN"/>
        </w:rPr>
        <w:t xml:space="preserve">    目录：</w:t>
      </w:r>
    </w:p>
    <w:p w14:paraId="7C77BAFD">
      <w:pPr>
        <w:spacing w:line="360" w:lineRule="auto"/>
        <w:ind w:left="105" w:leftChars="-100" w:hanging="315" w:hangingChars="1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（1）用户需求响应程度（即用户需求偏离表）；</w:t>
      </w:r>
    </w:p>
    <w:p w14:paraId="4CC3770E">
      <w:pPr>
        <w:spacing w:line="360" w:lineRule="auto"/>
        <w:ind w:left="315" w:leftChars="-100" w:hanging="525" w:hangingChars="25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sz w:val="21"/>
        </w:rPr>
        <w:t>承销人员及销售资源配备</w:t>
      </w:r>
      <w:r>
        <w:rPr>
          <w:rFonts w:hint="eastAsia" w:ascii="宋体" w:hAnsi="宋体" w:eastAsia="宋体" w:cs="Times New Roman"/>
          <w:color w:val="auto"/>
          <w:kern w:val="0"/>
          <w:szCs w:val="21"/>
          <w:highlight w:val="none"/>
          <w:lang w:val="zh-CN"/>
        </w:rPr>
        <w:t>；</w:t>
      </w:r>
    </w:p>
    <w:p w14:paraId="6539671C">
      <w:pPr>
        <w:spacing w:line="360" w:lineRule="auto"/>
        <w:ind w:left="315" w:leftChars="-100" w:hanging="525" w:hangingChars="25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（3）</w:t>
      </w:r>
      <w:r>
        <w:rPr>
          <w:rFonts w:hint="eastAsia" w:ascii="宋体" w:hAnsi="宋体" w:eastAsia="宋体" w:cs="宋体"/>
          <w:b w:val="0"/>
          <w:bCs w:val="0"/>
          <w:color w:val="auto"/>
          <w:sz w:val="21"/>
          <w:szCs w:val="22"/>
          <w:lang w:val="en-US" w:eastAsia="zh-CN" w:bidi="ar"/>
        </w:rPr>
        <w:t>受托管理费用报价书</w:t>
      </w:r>
      <w:r>
        <w:rPr>
          <w:rFonts w:hint="eastAsia" w:ascii="宋体" w:hAnsi="宋体" w:eastAsia="宋体" w:cs="宋体"/>
          <w:color w:val="auto"/>
          <w:kern w:val="2"/>
          <w:szCs w:val="22"/>
          <w:lang w:eastAsia="zh-CN"/>
        </w:rPr>
        <w:t>；</w:t>
      </w:r>
    </w:p>
    <w:p w14:paraId="66D9F0A3">
      <w:pPr>
        <w:spacing w:line="360" w:lineRule="auto"/>
        <w:ind w:left="315" w:leftChars="-100" w:hanging="525" w:hangingChars="25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（4）</w:t>
      </w:r>
      <w:r>
        <w:rPr>
          <w:rStyle w:val="204"/>
          <w:rFonts w:hint="eastAsia" w:ascii="宋体" w:hAnsi="宋体" w:eastAsia="宋体" w:cs="宋体"/>
          <w:color w:val="auto"/>
          <w:sz w:val="21"/>
        </w:rPr>
        <w:t>发行</w:t>
      </w:r>
      <w:r>
        <w:rPr>
          <w:rStyle w:val="204"/>
          <w:rFonts w:hint="eastAsia" w:ascii="宋体" w:hAnsi="宋体" w:eastAsia="宋体" w:cs="宋体"/>
          <w:color w:val="auto"/>
          <w:sz w:val="21"/>
          <w:lang w:val="en-US" w:eastAsia="zh-CN"/>
        </w:rPr>
        <w:t>方案</w:t>
      </w:r>
      <w:r>
        <w:rPr>
          <w:rFonts w:hint="eastAsia" w:ascii="宋体" w:hAnsi="宋体" w:eastAsia="宋体" w:cs="宋体"/>
          <w:color w:val="auto"/>
          <w:kern w:val="0"/>
          <w:szCs w:val="21"/>
          <w:highlight w:val="none"/>
          <w:lang w:eastAsia="zh-CN"/>
        </w:rPr>
        <w:t>；</w:t>
      </w:r>
    </w:p>
    <w:p w14:paraId="2A8A3BEC">
      <w:pPr>
        <w:spacing w:line="360" w:lineRule="auto"/>
        <w:ind w:left="105" w:leftChars="-100" w:hanging="315" w:hangingChars="15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（5）</w:t>
      </w:r>
      <w:r>
        <w:rPr>
          <w:rStyle w:val="204"/>
          <w:rFonts w:hint="eastAsia" w:ascii="宋体" w:hAnsi="宋体" w:eastAsia="宋体" w:cs="宋体"/>
          <w:color w:val="auto"/>
          <w:sz w:val="21"/>
        </w:rPr>
        <w:t>进度、质量保证措施及服务承诺</w:t>
      </w:r>
      <w:r>
        <w:rPr>
          <w:rStyle w:val="204"/>
          <w:rFonts w:hint="eastAsia" w:ascii="宋体" w:hAnsi="宋体" w:eastAsia="宋体" w:cs="宋体"/>
          <w:color w:val="auto"/>
          <w:sz w:val="21"/>
          <w:lang w:eastAsia="zh-CN"/>
        </w:rPr>
        <w:t>；</w:t>
      </w:r>
    </w:p>
    <w:p w14:paraId="1C80B388">
      <w:pPr>
        <w:spacing w:line="360" w:lineRule="auto"/>
        <w:ind w:left="105" w:leftChars="-100" w:hanging="315" w:hangingChars="1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（6）投标人认为有必要提供的其它材料（不做强制要求）</w:t>
      </w:r>
      <w:r>
        <w:rPr>
          <w:rFonts w:hint="eastAsia" w:ascii="宋体" w:hAnsi="宋体" w:eastAsia="宋体" w:cs="宋体"/>
          <w:color w:val="auto"/>
          <w:kern w:val="0"/>
          <w:szCs w:val="21"/>
          <w:highlight w:val="none"/>
        </w:rPr>
        <w:t>。</w:t>
      </w:r>
    </w:p>
    <w:p w14:paraId="38273DF8">
      <w:pPr>
        <w:autoSpaceDE w:val="0"/>
        <w:autoSpaceDN w:val="0"/>
        <w:adjustRightInd w:val="0"/>
        <w:spacing w:line="360" w:lineRule="auto"/>
        <w:ind w:left="422" w:leftChars="-100" w:hanging="632" w:hangingChars="300"/>
        <w:outlineLvl w:val="1"/>
        <w:rPr>
          <w:rFonts w:hint="eastAsia" w:ascii="宋体" w:hAnsi="宋体" w:eastAsia="宋体" w:cs="宋体"/>
          <w:b/>
          <w:bCs/>
          <w:color w:val="auto"/>
          <w:szCs w:val="21"/>
          <w:highlight w:val="none"/>
          <w:lang w:val="zh-CN"/>
        </w:rPr>
      </w:pPr>
      <w:bookmarkStart w:id="140" w:name="_Toc25590"/>
      <w:bookmarkStart w:id="141" w:name="_Toc27336"/>
      <w:r>
        <w:rPr>
          <w:rFonts w:hint="eastAsia" w:ascii="宋体" w:hAnsi="宋体" w:eastAsia="宋体" w:cs="宋体"/>
          <w:b/>
          <w:bCs/>
          <w:color w:val="auto"/>
          <w:szCs w:val="21"/>
          <w:highlight w:val="none"/>
          <w:lang w:val="zh-CN"/>
        </w:rPr>
        <w:t>9.1.</w:t>
      </w:r>
      <w:r>
        <w:rPr>
          <w:rFonts w:hint="eastAsia" w:ascii="宋体" w:hAnsi="宋体" w:eastAsia="宋体" w:cs="宋体"/>
          <w:b/>
          <w:bCs/>
          <w:color w:val="auto"/>
          <w:szCs w:val="21"/>
          <w:highlight w:val="none"/>
        </w:rPr>
        <w:t>3</w:t>
      </w:r>
      <w:r>
        <w:rPr>
          <w:rFonts w:hint="eastAsia" w:ascii="宋体" w:hAnsi="宋体" w:eastAsia="宋体" w:cs="宋体"/>
          <w:b/>
          <w:bCs/>
          <w:color w:val="auto"/>
          <w:szCs w:val="21"/>
          <w:highlight w:val="none"/>
          <w:lang w:val="zh-CN"/>
        </w:rPr>
        <w:t xml:space="preserve"> 报价信封</w:t>
      </w:r>
      <w:bookmarkEnd w:id="140"/>
      <w:bookmarkEnd w:id="141"/>
    </w:p>
    <w:p w14:paraId="6E2C2F70">
      <w:pPr>
        <w:autoSpaceDE w:val="0"/>
        <w:autoSpaceDN w:val="0"/>
        <w:adjustRightInd w:val="0"/>
        <w:spacing w:line="360" w:lineRule="auto"/>
        <w:ind w:left="420" w:left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按照投标文件格式中的要求进行编制。</w:t>
      </w:r>
    </w:p>
    <w:p w14:paraId="4BA04AE4">
      <w:pPr>
        <w:autoSpaceDE w:val="0"/>
        <w:autoSpaceDN w:val="0"/>
        <w:adjustRightInd w:val="0"/>
        <w:spacing w:line="360" w:lineRule="auto"/>
        <w:ind w:left="317" w:leftChars="-100" w:hanging="527" w:hangingChars="250"/>
        <w:outlineLvl w:val="2"/>
        <w:rPr>
          <w:rFonts w:hint="eastAsia" w:ascii="宋体" w:hAnsi="宋体" w:eastAsia="宋体" w:cs="宋体"/>
          <w:b/>
          <w:bCs/>
          <w:color w:val="auto"/>
          <w:szCs w:val="21"/>
          <w:highlight w:val="none"/>
        </w:rPr>
      </w:pPr>
      <w:bookmarkStart w:id="142" w:name="_Toc10574"/>
      <w:bookmarkStart w:id="143" w:name="_Toc4502"/>
      <w:r>
        <w:rPr>
          <w:rFonts w:hint="eastAsia" w:ascii="宋体" w:hAnsi="宋体" w:eastAsia="宋体" w:cs="宋体"/>
          <w:b/>
          <w:bCs/>
          <w:color w:val="auto"/>
          <w:szCs w:val="21"/>
          <w:highlight w:val="none"/>
        </w:rPr>
        <w:t>9.2  投标文件格式</w:t>
      </w:r>
      <w:bookmarkEnd w:id="142"/>
      <w:bookmarkEnd w:id="143"/>
      <w:r>
        <w:rPr>
          <w:rFonts w:hint="eastAsia" w:ascii="宋体" w:hAnsi="宋体" w:eastAsia="宋体" w:cs="宋体"/>
          <w:b/>
          <w:bCs/>
          <w:color w:val="auto"/>
          <w:szCs w:val="21"/>
          <w:highlight w:val="none"/>
        </w:rPr>
        <w:t xml:space="preserve"> </w:t>
      </w:r>
    </w:p>
    <w:p w14:paraId="141D093F">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）商务标必须按招标文件所附的商务标格式编制（参见第六篇）。</w:t>
      </w:r>
    </w:p>
    <w:p w14:paraId="0CB4990B">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）技术标必须按招标文件所附的技术标格式编制（参见第六篇）。</w:t>
      </w:r>
    </w:p>
    <w:p w14:paraId="03BBAC28">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）报价信封由投标人使用电子标书制作软件编制（参见第六篇）。</w:t>
      </w:r>
    </w:p>
    <w:p w14:paraId="153CBA44">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 xml:space="preserve">  投标人按照投标文件的组成目录编制投标文件应包括上述内容，但不限于上述内容。招标文件提供了相关格式的，严格按照招标文件的要求编制，投标文件未含格式的，投标人自行编制。投标文件编制中要求的扫描件、照片可为该资料扫描件。</w:t>
      </w:r>
    </w:p>
    <w:p w14:paraId="7C9E05F4">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9.</w:t>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 xml:space="preserve">  </w:t>
      </w:r>
      <w:r>
        <w:rPr>
          <w:rFonts w:hint="eastAsia" w:ascii="宋体" w:hAnsi="宋体" w:eastAsia="宋体" w:cs="宋体"/>
          <w:b/>
          <w:color w:val="auto"/>
          <w:szCs w:val="21"/>
          <w:highlight w:val="none"/>
          <w:u w:val="single"/>
          <w:lang w:val="zh-CN"/>
        </w:rPr>
        <w:t>投标文件中相关证件、证书、合同、发票、照片等证明材料中的原始印章、签名、关键内容必须清晰、可辨认，否则视为无效证明材料；投标文件中存在外文资料的，投标人必须同时提供中文译本，且必须保证中文译本的准确，否则招标人不予认可，视为无效材料；投标人须承担因此对应造成投标无效，或评标时因无效证明材料不得分，或拒绝接受投标的风险</w:t>
      </w:r>
      <w:r>
        <w:rPr>
          <w:rFonts w:hint="eastAsia" w:ascii="宋体" w:hAnsi="宋体" w:eastAsia="宋体" w:cs="宋体"/>
          <w:color w:val="auto"/>
          <w:szCs w:val="21"/>
          <w:highlight w:val="none"/>
          <w:lang w:val="zh-CN"/>
        </w:rPr>
        <w:t>。</w:t>
      </w:r>
    </w:p>
    <w:p w14:paraId="64F691FC">
      <w:pPr>
        <w:autoSpaceDE w:val="0"/>
        <w:autoSpaceDN w:val="0"/>
        <w:adjustRightInd w:val="0"/>
        <w:spacing w:line="360" w:lineRule="auto"/>
        <w:ind w:left="315" w:leftChars="-100" w:hanging="525" w:hangingChars="250"/>
        <w:rPr>
          <w:rFonts w:hint="eastAsia" w:ascii="宋体" w:hAnsi="宋体" w:eastAsia="宋体" w:cs="宋体"/>
          <w:szCs w:val="21"/>
          <w:highlight w:val="none"/>
          <w:lang w:val="zh-CN"/>
        </w:rPr>
      </w:pPr>
    </w:p>
    <w:p w14:paraId="15ABE55E">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44" w:name="_Toc13214"/>
      <w:bookmarkStart w:id="145" w:name="_Toc450662860"/>
      <w:bookmarkStart w:id="146" w:name="_Toc486167674"/>
      <w:bookmarkStart w:id="147" w:name="_Toc142508324"/>
      <w:bookmarkStart w:id="148" w:name="_Toc8675_WPSOffice_Level3"/>
      <w:bookmarkStart w:id="149" w:name="_Toc11170"/>
      <w:bookmarkStart w:id="150" w:name="_Toc17386"/>
      <w:r>
        <w:rPr>
          <w:rFonts w:hint="eastAsia" w:ascii="宋体" w:hAnsi="宋体" w:eastAsia="宋体" w:cs="宋体"/>
          <w:szCs w:val="21"/>
          <w:highlight w:val="none"/>
          <w:lang w:val="zh-CN"/>
        </w:rPr>
        <w:t>10 投标函</w:t>
      </w:r>
      <w:bookmarkEnd w:id="144"/>
      <w:bookmarkEnd w:id="145"/>
      <w:bookmarkEnd w:id="146"/>
      <w:bookmarkEnd w:id="147"/>
      <w:bookmarkEnd w:id="148"/>
      <w:bookmarkEnd w:id="149"/>
      <w:bookmarkEnd w:id="150"/>
    </w:p>
    <w:p w14:paraId="68737A12">
      <w:pPr>
        <w:autoSpaceDE w:val="0"/>
        <w:autoSpaceDN w:val="0"/>
        <w:adjustRightInd w:val="0"/>
        <w:spacing w:line="360" w:lineRule="auto"/>
        <w:ind w:left="265" w:leftChars="119" w:hanging="15"/>
        <w:rPr>
          <w:rFonts w:hint="eastAsia" w:ascii="宋体" w:hAnsi="宋体" w:eastAsia="宋体" w:cs="宋体"/>
          <w:szCs w:val="21"/>
          <w:highlight w:val="none"/>
          <w:lang w:val="zh-CN"/>
        </w:rPr>
      </w:pPr>
      <w:r>
        <w:rPr>
          <w:rFonts w:hint="eastAsia" w:ascii="宋体" w:hAnsi="宋体" w:eastAsia="宋体" w:cs="宋体"/>
          <w:szCs w:val="21"/>
          <w:highlight w:val="none"/>
          <w:lang w:val="zh-CN"/>
        </w:rPr>
        <w:t>投标人应完整填写投标文件格式中规定的投标函。</w:t>
      </w:r>
    </w:p>
    <w:p w14:paraId="6EEE6FFB">
      <w:pPr>
        <w:autoSpaceDE w:val="0"/>
        <w:autoSpaceDN w:val="0"/>
        <w:adjustRightInd w:val="0"/>
        <w:spacing w:line="360" w:lineRule="auto"/>
        <w:ind w:left="265" w:leftChars="119" w:hanging="15"/>
        <w:rPr>
          <w:rFonts w:hint="eastAsia" w:ascii="宋体" w:hAnsi="宋体" w:eastAsia="宋体" w:cs="宋体"/>
          <w:szCs w:val="21"/>
          <w:highlight w:val="none"/>
          <w:lang w:val="zh-CN"/>
        </w:rPr>
      </w:pPr>
    </w:p>
    <w:p w14:paraId="037C372D">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51" w:name="_Toc486167675"/>
      <w:bookmarkStart w:id="152" w:name="_Toc142508325"/>
      <w:bookmarkStart w:id="153" w:name="_Toc4385_WPSOffice_Level3"/>
      <w:bookmarkStart w:id="154" w:name="_Toc15427"/>
      <w:bookmarkStart w:id="155" w:name="_Toc7391"/>
      <w:bookmarkStart w:id="156" w:name="_Toc24311"/>
      <w:bookmarkStart w:id="157" w:name="_Toc450662861"/>
      <w:r>
        <w:rPr>
          <w:rFonts w:hint="eastAsia" w:ascii="宋体" w:hAnsi="宋体" w:eastAsia="宋体" w:cs="宋体"/>
          <w:szCs w:val="21"/>
          <w:highlight w:val="none"/>
          <w:lang w:val="zh-CN"/>
        </w:rPr>
        <w:t>11 投标报价</w:t>
      </w:r>
      <w:bookmarkEnd w:id="151"/>
      <w:bookmarkEnd w:id="152"/>
      <w:bookmarkEnd w:id="153"/>
      <w:bookmarkEnd w:id="154"/>
      <w:bookmarkEnd w:id="155"/>
      <w:bookmarkEnd w:id="156"/>
      <w:bookmarkEnd w:id="157"/>
    </w:p>
    <w:p w14:paraId="01B75EE6">
      <w:pPr>
        <w:tabs>
          <w:tab w:val="left" w:pos="567"/>
        </w:tabs>
        <w:autoSpaceDE w:val="0"/>
        <w:autoSpaceDN w:val="0"/>
        <w:adjustRightInd w:val="0"/>
        <w:spacing w:line="360" w:lineRule="auto"/>
        <w:ind w:left="357" w:leftChars="-100" w:hanging="567"/>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11.1 本项目只允许有一个报价价格，任何有选择的或</w:t>
      </w:r>
      <w:r>
        <w:rPr>
          <w:rFonts w:hint="eastAsia" w:ascii="宋体" w:hAnsi="宋体" w:eastAsia="宋体" w:cs="宋体"/>
          <w:b/>
          <w:kern w:val="0"/>
          <w:szCs w:val="21"/>
          <w:highlight w:val="none"/>
          <w:lang w:val="zh-CN"/>
        </w:rPr>
        <w:t>不是固定价的</w:t>
      </w:r>
      <w:r>
        <w:rPr>
          <w:rFonts w:hint="eastAsia" w:ascii="宋体" w:hAnsi="宋体" w:eastAsia="宋体" w:cs="宋体"/>
          <w:b/>
          <w:szCs w:val="21"/>
          <w:highlight w:val="none"/>
          <w:lang w:val="zh-CN"/>
        </w:rPr>
        <w:t>投标报价将不予接受，</w:t>
      </w:r>
      <w:r>
        <w:rPr>
          <w:rFonts w:hint="eastAsia" w:ascii="宋体" w:hAnsi="宋体" w:eastAsia="宋体" w:cs="宋体"/>
          <w:b/>
          <w:kern w:val="0"/>
          <w:szCs w:val="21"/>
          <w:highlight w:val="none"/>
          <w:lang w:val="zh-CN"/>
        </w:rPr>
        <w:t>作为非实质性响应投标而予以拒绝。</w:t>
      </w:r>
      <w:r>
        <w:rPr>
          <w:rFonts w:hint="eastAsia" w:ascii="宋体" w:hAnsi="宋体" w:eastAsia="宋体" w:cs="宋体"/>
          <w:b/>
          <w:kern w:val="0"/>
          <w:szCs w:val="21"/>
          <w:highlight w:val="none"/>
        </w:rPr>
        <w:t>投标人不得以低于企业自身成本的价格竞投</w:t>
      </w:r>
      <w:r>
        <w:rPr>
          <w:rFonts w:hint="eastAsia" w:ascii="宋体" w:hAnsi="宋体" w:eastAsia="宋体" w:cs="宋体"/>
          <w:b/>
          <w:szCs w:val="21"/>
          <w:highlight w:val="none"/>
          <w:lang w:val="zh-CN"/>
        </w:rPr>
        <w:t>。</w:t>
      </w:r>
    </w:p>
    <w:p w14:paraId="6D10782C">
      <w:pPr>
        <w:tabs>
          <w:tab w:val="left" w:pos="567"/>
        </w:tabs>
        <w:autoSpaceDE w:val="0"/>
        <w:autoSpaceDN w:val="0"/>
        <w:adjustRightInd w:val="0"/>
        <w:spacing w:line="360" w:lineRule="auto"/>
        <w:ind w:firstLine="567"/>
        <w:rPr>
          <w:rFonts w:hint="eastAsia" w:ascii="宋体" w:hAnsi="宋体" w:eastAsia="宋体" w:cs="宋体"/>
          <w:b/>
          <w:szCs w:val="21"/>
          <w:highlight w:val="none"/>
          <w:lang w:val="zh-CN"/>
        </w:rPr>
      </w:pPr>
      <w:r>
        <w:rPr>
          <w:rFonts w:hint="eastAsia" w:ascii="宋体" w:hAnsi="宋体" w:eastAsia="宋体" w:cs="宋体"/>
          <w:b/>
          <w:color w:val="auto"/>
          <w:szCs w:val="21"/>
          <w:highlight w:val="none"/>
          <w:lang w:val="zh-CN"/>
        </w:rPr>
        <w:t>若投标人出现超低报价，有可能影响服务质量和不能诚信履约的，评标委员会将要求该投标人作出书面说明并提供相关证明材料，以确定投标人</w:t>
      </w:r>
      <w:r>
        <w:rPr>
          <w:rFonts w:hint="eastAsia" w:ascii="宋体" w:hAnsi="宋体" w:eastAsia="宋体" w:cs="宋体"/>
          <w:b/>
          <w:szCs w:val="21"/>
          <w:highlight w:val="none"/>
          <w:lang w:val="zh-CN"/>
        </w:rPr>
        <w:t>是否以低于企业成本价报价。若投标人不能合理说明或不能提供相关证明材料的，评标委员会将认定其投标报价低于成本，同时否决其投标。</w:t>
      </w:r>
    </w:p>
    <w:p w14:paraId="74009311">
      <w:pPr>
        <w:tabs>
          <w:tab w:val="left" w:pos="567"/>
        </w:tabs>
        <w:autoSpaceDE w:val="0"/>
        <w:autoSpaceDN w:val="0"/>
        <w:adjustRightInd w:val="0"/>
        <w:spacing w:line="360" w:lineRule="auto"/>
        <w:ind w:firstLine="567"/>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对是否低于企业成本价报价的事宜有争议的投标文件，评标委员会成员将以记名方式表决，</w:t>
      </w:r>
      <w:r>
        <w:rPr>
          <w:rFonts w:hint="eastAsia" w:ascii="宋体" w:hAnsi="宋体" w:eastAsia="宋体" w:cs="宋体"/>
          <w:b/>
          <w:szCs w:val="21"/>
          <w:highlight w:val="none"/>
          <w:lang w:val="en-US" w:eastAsia="zh-CN"/>
        </w:rPr>
        <w:t>根据少数服从多数的原则，获多数表决通过</w:t>
      </w:r>
      <w:r>
        <w:rPr>
          <w:rFonts w:hint="eastAsia" w:ascii="宋体" w:hAnsi="宋体" w:eastAsia="宋体" w:cs="宋体"/>
          <w:b/>
          <w:szCs w:val="21"/>
          <w:highlight w:val="none"/>
          <w:lang w:val="zh-CN"/>
        </w:rPr>
        <w:t>的投标人才有资格进入下一阶段的评审，否则将按无效投标处理。</w:t>
      </w:r>
    </w:p>
    <w:p w14:paraId="45797C2B">
      <w:pPr>
        <w:autoSpaceDE w:val="0"/>
        <w:autoSpaceDN w:val="0"/>
        <w:adjustRightInd w:val="0"/>
        <w:spacing w:line="360" w:lineRule="auto"/>
        <w:ind w:left="357" w:leftChars="-100" w:hanging="567"/>
        <w:rPr>
          <w:rFonts w:ascii="宋体" w:hAnsi="宋体" w:eastAsia="宋体" w:cs="宋体"/>
          <w:kern w:val="0"/>
          <w:szCs w:val="21"/>
          <w:highlight w:val="none"/>
        </w:rPr>
      </w:pPr>
      <w:r>
        <w:rPr>
          <w:rFonts w:hint="eastAsia" w:ascii="宋体" w:hAnsi="宋体" w:eastAsia="宋体" w:cs="宋体"/>
          <w:szCs w:val="21"/>
          <w:highlight w:val="none"/>
          <w:lang w:val="zh-CN"/>
        </w:rPr>
        <w:t>11.2</w:t>
      </w:r>
      <w:r>
        <w:rPr>
          <w:rFonts w:hint="eastAsia" w:ascii="宋体" w:hAnsi="宋体" w:eastAsia="宋体" w:cs="宋体"/>
          <w:szCs w:val="21"/>
          <w:highlight w:val="none"/>
          <w:lang w:val="zh-CN"/>
        </w:rPr>
        <w:tab/>
      </w:r>
      <w:r>
        <w:rPr>
          <w:rFonts w:hint="eastAsia" w:ascii="宋体" w:hAnsi="宋体" w:eastAsia="宋体" w:cs="宋体"/>
          <w:b/>
          <w:color w:val="000000"/>
          <w:kern w:val="2"/>
          <w:sz w:val="21"/>
          <w:szCs w:val="21"/>
          <w:lang w:val="zh-CN"/>
        </w:rPr>
        <w:t>本项目投标报价为含税价</w:t>
      </w:r>
      <w:r>
        <w:rPr>
          <w:rFonts w:hint="eastAsia" w:ascii="宋体" w:hAnsi="宋体" w:eastAsia="宋体" w:cs="宋体"/>
          <w:bCs/>
          <w:color w:val="000000"/>
          <w:kern w:val="2"/>
          <w:sz w:val="21"/>
          <w:szCs w:val="21"/>
          <w:lang w:val="zh-CN"/>
        </w:rPr>
        <w:t>，</w:t>
      </w:r>
      <w:r>
        <w:rPr>
          <w:rFonts w:hint="eastAsia" w:ascii="宋体" w:hAnsi="宋体" w:eastAsia="宋体" w:cs="宋体"/>
          <w:b/>
          <w:kern w:val="2"/>
          <w:sz w:val="21"/>
          <w:szCs w:val="21"/>
          <w:lang w:val="zh-CN"/>
        </w:rPr>
        <w:t>本项目采用承销费率的方式进行报价，即以承销费占募集款项的比例的形式报价。</w:t>
      </w:r>
      <w:r>
        <w:rPr>
          <w:rFonts w:hint="eastAsia" w:ascii="宋体" w:hAnsi="宋体" w:eastAsia="宋体" w:cs="宋体"/>
          <w:bCs/>
          <w:color w:val="000000"/>
          <w:kern w:val="2"/>
          <w:sz w:val="21"/>
          <w:szCs w:val="21"/>
          <w:lang w:val="zh-CN"/>
        </w:rPr>
        <w:t>包含了投标人完成合同义务。</w:t>
      </w:r>
      <w:r>
        <w:rPr>
          <w:rFonts w:hint="eastAsia" w:ascii="宋体" w:hAnsi="宋体" w:eastAsia="宋体" w:cs="宋体"/>
          <w:color w:val="000000"/>
          <w:kern w:val="2"/>
          <w:sz w:val="21"/>
          <w:szCs w:val="21"/>
          <w:lang w:val="zh-CN"/>
        </w:rPr>
        <w:t>投标报价均包括但不限于以下内容涉及的费用</w:t>
      </w:r>
      <w:r>
        <w:rPr>
          <w:rFonts w:hint="eastAsia" w:ascii="宋体" w:hAnsi="宋体" w:eastAsia="宋体" w:cs="宋体"/>
          <w:kern w:val="0"/>
          <w:szCs w:val="21"/>
          <w:highlight w:val="none"/>
        </w:rPr>
        <w:t>：</w:t>
      </w:r>
    </w:p>
    <w:p w14:paraId="3284EDE2">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kern w:val="2"/>
          <w:sz w:val="21"/>
          <w:szCs w:val="21"/>
          <w:lang w:val="zh-CN"/>
        </w:rPr>
        <w:t>报价包含（人民币报价）包干价，包括为完成本用户需求书项下要求的成果文件而产生的一切费用（包括但不限于发行费、文本制作费、信息披露费、修改费、咨询费、审查费、报批费用、现场服务费、差旅费、通讯费、现场办公费、税金及利润、路演推介费等投标人全面妥善履行发行工作内容的全部费用，除律师费、评级费、会计师费、登记托管兑付费以及双方另有约定的应由招标人支付的项目外，招标人不再支付其他任何费用）</w:t>
      </w:r>
      <w:r>
        <w:rPr>
          <w:rFonts w:hint="eastAsia" w:ascii="宋体" w:hAnsi="宋体" w:eastAsia="宋体" w:cs="宋体"/>
          <w:color w:val="auto"/>
          <w:szCs w:val="21"/>
          <w:highlight w:val="none"/>
          <w:lang w:val="zh-CN"/>
        </w:rPr>
        <w:t>；</w:t>
      </w:r>
    </w:p>
    <w:p w14:paraId="3B92E38A">
      <w:pPr>
        <w:spacing w:line="360" w:lineRule="auto"/>
        <w:ind w:left="315" w:leftChars="-100" w:hanging="525" w:hangingChars="250"/>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 w:val="21"/>
          <w:szCs w:val="21"/>
          <w:lang w:val="zh-CN"/>
        </w:rPr>
        <w:t>中标服务费等</w:t>
      </w:r>
      <w:r>
        <w:rPr>
          <w:rFonts w:hint="eastAsia" w:ascii="宋体" w:hAnsi="宋体" w:eastAsia="宋体" w:cs="宋体"/>
          <w:color w:val="auto"/>
          <w:szCs w:val="21"/>
          <w:highlight w:val="none"/>
          <w:lang w:val="zh-CN"/>
        </w:rPr>
        <w:t>；</w:t>
      </w:r>
    </w:p>
    <w:p w14:paraId="1B63D4C0">
      <w:pPr>
        <w:autoSpaceDE w:val="0"/>
        <w:autoSpaceDN w:val="0"/>
        <w:adjustRightInd w:val="0"/>
        <w:spacing w:line="360" w:lineRule="auto"/>
        <w:ind w:left="357" w:leftChars="-100" w:hanging="567"/>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w:t>
      </w:r>
      <w:r>
        <w:rPr>
          <w:rFonts w:hint="eastAsia" w:ascii="宋体" w:hAnsi="宋体" w:eastAsia="宋体" w:cs="宋体"/>
          <w:color w:val="auto"/>
          <w:kern w:val="2"/>
          <w:sz w:val="21"/>
          <w:szCs w:val="21"/>
          <w:lang w:val="zh-CN"/>
        </w:rPr>
        <w:t>法律法规、商业公认、招标文件规定由投标人承担的其他直接及间接费用</w:t>
      </w:r>
      <w:r>
        <w:rPr>
          <w:rFonts w:hint="eastAsia" w:ascii="宋体" w:hAnsi="宋体" w:eastAsia="宋体" w:cs="宋体"/>
          <w:color w:val="auto"/>
          <w:szCs w:val="21"/>
          <w:highlight w:val="none"/>
          <w:lang w:val="zh-CN"/>
        </w:rPr>
        <w:t>；</w:t>
      </w:r>
    </w:p>
    <w:p w14:paraId="47F66A97">
      <w:pPr>
        <w:autoSpaceDE w:val="0"/>
        <w:autoSpaceDN w:val="0"/>
        <w:adjustRightInd w:val="0"/>
        <w:spacing w:line="360" w:lineRule="auto"/>
        <w:ind w:left="357" w:leftChars="-100" w:hanging="567"/>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11.3 </w:t>
      </w:r>
      <w:r>
        <w:rPr>
          <w:rFonts w:hint="eastAsia" w:ascii="宋体" w:hAnsi="宋体" w:eastAsia="宋体" w:cs="宋体"/>
          <w:color w:val="auto"/>
          <w:szCs w:val="21"/>
          <w:highlight w:val="none"/>
          <w:lang w:val="zh-CN"/>
        </w:rPr>
        <w:t>投标人根据</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file:///E:\\招标文件\\用户目录\\Documents\\WeChat%20Files\\wxid_d71qzxy6fjr811\\FileStorage\\File\\2021-09\\1、挂网资料、呈批表-抽取专家模板\\挂网资料（东莞市水务集团净水有限公司保安服务定点采购项目）\\挂网资料（东莞市长安锦厦三洲水质净化厂提标工程新增格栅机、闸门等设备采购项目）\\石鼓工作（201807）\\01%20%20项目资料\\Administrator\\AppData\\Roaming\\Microsoft\\Word\\AppData\\审核工作\\审核的文件\\l"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lang w:val="zh-CN"/>
        </w:rPr>
        <w:t>第11.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款</w:t>
      </w:r>
      <w:r>
        <w:rPr>
          <w:rFonts w:hint="eastAsia" w:ascii="宋体" w:hAnsi="宋体" w:eastAsia="宋体" w:cs="宋体"/>
          <w:color w:val="auto"/>
          <w:szCs w:val="21"/>
          <w:highlight w:val="none"/>
          <w:lang w:val="zh-CN"/>
        </w:rPr>
        <w:fldChar w:fldCharType="end"/>
      </w:r>
      <w:r>
        <w:rPr>
          <w:rFonts w:hint="eastAsia" w:ascii="宋体" w:hAnsi="宋体" w:eastAsia="宋体" w:cs="宋体"/>
          <w:color w:val="auto"/>
          <w:szCs w:val="21"/>
          <w:highlight w:val="none"/>
          <w:lang w:val="zh-CN"/>
        </w:rPr>
        <w:t>所报的价格分项仅供评标委员会评审时使用；在任何情况下不限制投标人以不同的条件中标的权利。</w:t>
      </w:r>
    </w:p>
    <w:p w14:paraId="61EAED0B">
      <w:pPr>
        <w:autoSpaceDE w:val="0"/>
        <w:autoSpaceDN w:val="0"/>
        <w:adjustRightInd w:val="0"/>
        <w:spacing w:line="360" w:lineRule="auto"/>
        <w:ind w:left="268" w:leftChars="-100" w:hanging="478" w:hangingChars="228"/>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11.4 在合同期间，投标报价不随国家政策或法规、标准、市场因素及采购数量的变化而进行调整</w:t>
      </w:r>
      <w:r>
        <w:rPr>
          <w:rFonts w:hint="eastAsia" w:ascii="宋体" w:hAnsi="宋体" w:eastAsia="宋体" w:cs="宋体"/>
          <w:color w:val="auto"/>
          <w:kern w:val="0"/>
          <w:szCs w:val="21"/>
          <w:highlight w:val="none"/>
          <w:lang w:val="zh-CN"/>
        </w:rPr>
        <w:t>。</w:t>
      </w:r>
      <w:r>
        <w:rPr>
          <w:rFonts w:hint="eastAsia" w:ascii="宋体" w:hAnsi="宋体" w:eastAsia="宋体" w:cs="宋体"/>
          <w:color w:val="auto"/>
          <w:kern w:val="0"/>
          <w:szCs w:val="21"/>
          <w:highlight w:val="none"/>
        </w:rPr>
        <w:t xml:space="preserve"> </w:t>
      </w:r>
    </w:p>
    <w:p w14:paraId="79979908">
      <w:pPr>
        <w:autoSpaceDE w:val="0"/>
        <w:autoSpaceDN w:val="0"/>
        <w:adjustRightInd w:val="0"/>
        <w:spacing w:line="360" w:lineRule="auto"/>
        <w:ind w:left="357" w:leftChars="-100" w:hanging="567"/>
        <w:rPr>
          <w:rFonts w:hint="eastAsia" w:ascii="宋体" w:hAnsi="宋体" w:eastAsia="宋体" w:cs="宋体"/>
          <w:b/>
          <w:bCs/>
          <w:color w:val="auto"/>
          <w:szCs w:val="21"/>
          <w:highlight w:val="none"/>
          <w:lang w:val="zh-CN"/>
        </w:rPr>
      </w:pPr>
      <w:r>
        <w:rPr>
          <w:rFonts w:hint="eastAsia" w:ascii="宋体" w:hAnsi="宋体" w:eastAsia="宋体" w:cs="宋体"/>
          <w:color w:val="auto"/>
          <w:szCs w:val="21"/>
          <w:highlight w:val="none"/>
          <w:lang w:val="zh-CN"/>
        </w:rPr>
        <w:t xml:space="preserve">11.5 </w:t>
      </w:r>
      <w:r>
        <w:rPr>
          <w:rFonts w:hint="eastAsia" w:ascii="宋体" w:hAnsi="宋体" w:eastAsia="宋体" w:cs="宋体"/>
          <w:b/>
          <w:bCs/>
          <w:color w:val="auto"/>
          <w:szCs w:val="21"/>
          <w:highlight w:val="none"/>
          <w:lang w:val="zh-CN"/>
        </w:rPr>
        <w:t>合同项下，招标人需要的</w:t>
      </w:r>
      <w:r>
        <w:rPr>
          <w:rFonts w:hint="eastAsia" w:ascii="宋体" w:hAnsi="宋体" w:eastAsia="宋体" w:cs="宋体"/>
          <w:b/>
          <w:bCs/>
          <w:color w:val="auto"/>
          <w:szCs w:val="21"/>
          <w:highlight w:val="none"/>
          <w:lang w:val="en-US" w:eastAsia="zh-CN"/>
        </w:rPr>
        <w:t>相关</w:t>
      </w:r>
      <w:r>
        <w:rPr>
          <w:rFonts w:hint="eastAsia" w:ascii="宋体" w:hAnsi="宋体" w:eastAsia="宋体" w:cs="宋体"/>
          <w:b/>
          <w:bCs/>
          <w:color w:val="auto"/>
          <w:szCs w:val="21"/>
          <w:highlight w:val="none"/>
          <w:lang w:val="zh-CN"/>
        </w:rPr>
        <w:t>服务所需的费用，投标人都应计入投标报价总价。</w:t>
      </w:r>
    </w:p>
    <w:p w14:paraId="48AA7E47">
      <w:pPr>
        <w:autoSpaceDE w:val="0"/>
        <w:autoSpaceDN w:val="0"/>
        <w:adjustRightInd w:val="0"/>
        <w:spacing w:line="360" w:lineRule="auto"/>
        <w:ind w:left="357" w:leftChars="-100" w:hanging="567"/>
        <w:rPr>
          <w:rFonts w:hint="eastAsia" w:ascii="宋体" w:hAnsi="宋体" w:eastAsia="宋体" w:cs="宋体"/>
          <w:b/>
          <w:color w:val="auto"/>
          <w:szCs w:val="21"/>
          <w:highlight w:val="none"/>
          <w:lang w:val="zh-CN"/>
        </w:rPr>
      </w:pPr>
      <w:r>
        <w:rPr>
          <w:rFonts w:hint="eastAsia" w:ascii="宋体" w:hAnsi="宋体" w:eastAsia="宋体" w:cs="宋体"/>
          <w:color w:val="auto"/>
          <w:szCs w:val="21"/>
          <w:highlight w:val="none"/>
          <w:lang w:val="zh-CN"/>
        </w:rPr>
        <w:t>11.6</w:t>
      </w:r>
      <w:r>
        <w:rPr>
          <w:rFonts w:hint="eastAsia" w:ascii="宋体" w:hAnsi="宋体" w:eastAsia="宋体" w:cs="宋体"/>
          <w:b/>
          <w:bCs/>
          <w:color w:val="auto"/>
          <w:szCs w:val="21"/>
          <w:highlight w:val="none"/>
          <w:u w:val="none"/>
        </w:rPr>
        <w:t xml:space="preserve"> </w:t>
      </w:r>
      <w:r>
        <w:rPr>
          <w:rFonts w:hint="eastAsia" w:ascii="宋体" w:hAnsi="宋体" w:eastAsia="宋体" w:cs="宋体"/>
          <w:b/>
          <w:color w:val="auto"/>
          <w:kern w:val="2"/>
          <w:sz w:val="21"/>
          <w:szCs w:val="21"/>
          <w:u w:val="single"/>
          <w:lang w:val="zh-CN"/>
        </w:rPr>
        <w:t>投</w:t>
      </w:r>
      <w:r>
        <w:rPr>
          <w:rFonts w:hint="eastAsia" w:ascii="宋体" w:hAnsi="宋体" w:eastAsia="宋体" w:cs="宋体"/>
          <w:b/>
          <w:bCs/>
          <w:color w:val="auto"/>
          <w:sz w:val="21"/>
          <w:u w:val="single"/>
        </w:rPr>
        <w:t>标人的投标费率报价高于投标最高费率限价的，该投标人的投标文件将被视为无效投标。投标最高费率限价为 0.09%/年</w:t>
      </w:r>
      <w:r>
        <w:rPr>
          <w:rFonts w:hint="eastAsia" w:ascii="宋体" w:hAnsi="宋体" w:eastAsia="宋体" w:cs="宋体"/>
          <w:b/>
          <w:color w:val="auto"/>
          <w:szCs w:val="21"/>
          <w:u w:val="single"/>
          <w:lang w:val="zh-CN"/>
        </w:rPr>
        <w:t>。</w:t>
      </w:r>
    </w:p>
    <w:p w14:paraId="45F8E0BF">
      <w:pPr>
        <w:autoSpaceDE w:val="0"/>
        <w:autoSpaceDN w:val="0"/>
        <w:adjustRightInd w:val="0"/>
        <w:spacing w:line="360" w:lineRule="auto"/>
        <w:ind w:left="357" w:leftChars="-100" w:hanging="567"/>
        <w:rPr>
          <w:rFonts w:hint="eastAsia" w:ascii="宋体" w:hAnsi="宋体" w:eastAsia="宋体" w:cs="宋体"/>
          <w:szCs w:val="21"/>
          <w:highlight w:val="none"/>
        </w:rPr>
      </w:pPr>
      <w:r>
        <w:rPr>
          <w:rFonts w:hint="eastAsia" w:ascii="宋体" w:hAnsi="宋体" w:eastAsia="宋体" w:cs="宋体"/>
          <w:szCs w:val="21"/>
          <w:highlight w:val="none"/>
          <w:lang w:val="zh-CN"/>
        </w:rPr>
        <w:t xml:space="preserve">     </w:t>
      </w:r>
    </w:p>
    <w:p w14:paraId="5849FB2E">
      <w:pPr>
        <w:autoSpaceDE w:val="0"/>
        <w:autoSpaceDN w:val="0"/>
        <w:adjustRightInd w:val="0"/>
        <w:spacing w:line="360" w:lineRule="auto"/>
        <w:ind w:left="357" w:leftChars="-100" w:hanging="567"/>
        <w:jc w:val="left"/>
        <w:outlineLvl w:val="2"/>
        <w:rPr>
          <w:rFonts w:hint="eastAsia" w:ascii="宋体" w:hAnsi="宋体" w:eastAsia="宋体" w:cs="宋体"/>
          <w:b/>
          <w:szCs w:val="21"/>
          <w:highlight w:val="none"/>
          <w:lang w:val="zh-CN"/>
        </w:rPr>
      </w:pPr>
      <w:bookmarkStart w:id="158" w:name="_Toc450662862"/>
      <w:bookmarkStart w:id="159" w:name="_Toc486167676"/>
      <w:bookmarkStart w:id="160" w:name="_Toc3469"/>
      <w:bookmarkStart w:id="161" w:name="_Toc30042_WPSOffice_Level3"/>
      <w:bookmarkStart w:id="162" w:name="_Toc7573"/>
      <w:bookmarkStart w:id="163" w:name="_Toc20312"/>
      <w:bookmarkStart w:id="164" w:name="_Toc142508326"/>
      <w:r>
        <w:rPr>
          <w:rFonts w:hint="eastAsia" w:ascii="宋体" w:hAnsi="宋体" w:eastAsia="宋体" w:cs="宋体"/>
          <w:b/>
          <w:szCs w:val="21"/>
          <w:highlight w:val="none"/>
          <w:lang w:val="zh-CN"/>
        </w:rPr>
        <w:t>12 投标报价货币</w:t>
      </w:r>
      <w:bookmarkEnd w:id="158"/>
      <w:bookmarkEnd w:id="159"/>
      <w:bookmarkEnd w:id="160"/>
      <w:bookmarkEnd w:id="161"/>
      <w:bookmarkEnd w:id="162"/>
      <w:bookmarkEnd w:id="163"/>
      <w:bookmarkEnd w:id="164"/>
    </w:p>
    <w:p w14:paraId="3E8BDA25">
      <w:pPr>
        <w:autoSpaceDE w:val="0"/>
        <w:autoSpaceDN w:val="0"/>
        <w:adjustRightInd w:val="0"/>
        <w:spacing w:line="360" w:lineRule="auto"/>
        <w:ind w:left="265" w:leftChars="119" w:hanging="15"/>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投标报价表上的价格须以人民币报价，以其</w:t>
      </w:r>
      <w:r>
        <w:rPr>
          <w:rFonts w:hint="eastAsia" w:ascii="宋体" w:hAnsi="宋体" w:eastAsia="宋体" w:cs="宋体"/>
          <w:b/>
          <w:szCs w:val="21"/>
          <w:highlight w:val="none"/>
          <w:lang w:val="en-US" w:eastAsia="zh-CN"/>
        </w:rPr>
        <w:t>他</w:t>
      </w:r>
      <w:r>
        <w:rPr>
          <w:rFonts w:hint="eastAsia" w:ascii="宋体" w:hAnsi="宋体" w:eastAsia="宋体" w:cs="宋体"/>
          <w:b/>
          <w:szCs w:val="21"/>
          <w:highlight w:val="none"/>
          <w:lang w:val="zh-CN"/>
        </w:rPr>
        <w:t>货币标价的投标将予以拒绝。</w:t>
      </w:r>
    </w:p>
    <w:p w14:paraId="0ADB60D6">
      <w:pPr>
        <w:autoSpaceDE w:val="0"/>
        <w:autoSpaceDN w:val="0"/>
        <w:adjustRightInd w:val="0"/>
        <w:spacing w:line="360" w:lineRule="auto"/>
        <w:ind w:left="265" w:leftChars="119" w:hanging="15"/>
        <w:rPr>
          <w:rFonts w:hint="eastAsia" w:ascii="宋体" w:hAnsi="宋体" w:eastAsia="宋体" w:cs="宋体"/>
          <w:szCs w:val="21"/>
          <w:highlight w:val="none"/>
        </w:rPr>
      </w:pPr>
    </w:p>
    <w:p w14:paraId="72F86FBE">
      <w:pPr>
        <w:tabs>
          <w:tab w:val="left" w:pos="570"/>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65" w:name="_Toc20031"/>
      <w:bookmarkStart w:id="166" w:name="_Toc450662863"/>
      <w:bookmarkStart w:id="167" w:name="_Toc9411_WPSOffice_Level3"/>
      <w:bookmarkStart w:id="168" w:name="_Toc3961"/>
      <w:bookmarkStart w:id="169" w:name="_Toc486167677"/>
      <w:bookmarkStart w:id="170" w:name="_Toc9955"/>
      <w:bookmarkStart w:id="171" w:name="_Toc142508327"/>
      <w:r>
        <w:rPr>
          <w:rFonts w:hint="eastAsia" w:ascii="宋体" w:hAnsi="宋体" w:eastAsia="宋体" w:cs="宋体"/>
          <w:szCs w:val="21"/>
          <w:highlight w:val="none"/>
          <w:lang w:val="zh-CN"/>
        </w:rPr>
        <w:t>13 证明投标人的合格性和资格的声明文件</w:t>
      </w:r>
      <w:bookmarkEnd w:id="165"/>
      <w:bookmarkEnd w:id="166"/>
      <w:bookmarkEnd w:id="167"/>
      <w:bookmarkEnd w:id="168"/>
      <w:bookmarkEnd w:id="169"/>
      <w:bookmarkEnd w:id="170"/>
      <w:bookmarkEnd w:id="171"/>
    </w:p>
    <w:p w14:paraId="006C532B">
      <w:pPr>
        <w:tabs>
          <w:tab w:val="left" w:pos="567"/>
        </w:tabs>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13.1</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根据第2条、第13.2款规定，投标人须提交证明其有资格进行投标和有能力履行合同的文件，作为投标文件的一部分。</w:t>
      </w:r>
    </w:p>
    <w:p w14:paraId="3A3C950F">
      <w:pPr>
        <w:autoSpaceDE w:val="0"/>
        <w:autoSpaceDN w:val="0"/>
        <w:adjustRightInd w:val="0"/>
        <w:spacing w:line="360" w:lineRule="auto"/>
        <w:ind w:left="357" w:leftChars="-100" w:hanging="567"/>
        <w:rPr>
          <w:rFonts w:hint="eastAsia" w:ascii="宋体" w:hAnsi="宋体" w:eastAsia="宋体" w:cs="宋体"/>
          <w:szCs w:val="21"/>
          <w:highlight w:val="none"/>
          <w:vertAlign w:val="superscript"/>
          <w:lang w:val="zh-CN"/>
        </w:rPr>
      </w:pPr>
      <w:r>
        <w:rPr>
          <w:rFonts w:hint="eastAsia" w:ascii="宋体" w:hAnsi="宋体" w:eastAsia="宋体" w:cs="宋体"/>
          <w:szCs w:val="21"/>
          <w:highlight w:val="none"/>
          <w:lang w:val="zh-CN"/>
        </w:rPr>
        <w:t>13.2</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投标人提供的履行合同的资格声明文件应符合：</w:t>
      </w:r>
    </w:p>
    <w:p w14:paraId="1E2B9EF6">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（1）符合《中华人民共和国招标投标法》《中华人民共和国招标投标法实施条例》投标人应当具备的条件；</w:t>
      </w:r>
    </w:p>
    <w:p w14:paraId="6EC14928">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（2）投标人具有履行本项目所必须的证明文件；</w:t>
      </w:r>
    </w:p>
    <w:p w14:paraId="58DE5BB0">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（3）投标人证明其相应资格符合或优于招标文件要求的其它文件。</w:t>
      </w:r>
    </w:p>
    <w:p w14:paraId="3153D3C1">
      <w:pPr>
        <w:spacing w:line="360" w:lineRule="auto"/>
        <w:ind w:left="315" w:leftChars="-100" w:hanging="525" w:hangingChars="250"/>
        <w:rPr>
          <w:rFonts w:hint="eastAsia" w:ascii="宋体" w:hAnsi="宋体" w:eastAsia="宋体" w:cs="宋体"/>
          <w:szCs w:val="21"/>
          <w:highlight w:val="none"/>
          <w:lang w:val="zh-CN"/>
        </w:rPr>
      </w:pPr>
      <w:r>
        <w:rPr>
          <w:rFonts w:hint="eastAsia" w:ascii="宋体" w:hAnsi="宋体" w:eastAsia="宋体" w:cs="宋体"/>
          <w:szCs w:val="21"/>
          <w:highlight w:val="none"/>
          <w:lang w:val="zh-CN"/>
        </w:rPr>
        <w:t>13.3 投标人根据招标文件载明的相关服务要求的实际情况，拟在中标后将中标项目的非主体、非关键性专业工作交由他人完成的，应当在投标文件中载明，并提供他人的资质、能力证明材料。</w:t>
      </w:r>
    </w:p>
    <w:p w14:paraId="34B511E2">
      <w:pPr>
        <w:autoSpaceDE w:val="0"/>
        <w:autoSpaceDN w:val="0"/>
        <w:adjustRightInd w:val="0"/>
        <w:spacing w:line="360" w:lineRule="auto"/>
        <w:ind w:left="560" w:leftChars="128" w:hanging="291" w:hangingChars="139"/>
        <w:rPr>
          <w:rFonts w:hint="eastAsia" w:ascii="宋体" w:hAnsi="宋体" w:eastAsia="宋体" w:cs="宋体"/>
          <w:szCs w:val="21"/>
          <w:highlight w:val="none"/>
        </w:rPr>
      </w:pPr>
    </w:p>
    <w:p w14:paraId="589064FD">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72" w:name="_Toc8615"/>
      <w:bookmarkStart w:id="173" w:name="_Toc142508328"/>
      <w:bookmarkStart w:id="174" w:name="_Toc27771_WPSOffice_Level3"/>
      <w:bookmarkStart w:id="175" w:name="_Toc450662864"/>
      <w:bookmarkStart w:id="176" w:name="_Toc7708"/>
      <w:bookmarkStart w:id="177" w:name="_Toc29754"/>
      <w:bookmarkStart w:id="178" w:name="_Toc486167678"/>
      <w:r>
        <w:rPr>
          <w:rFonts w:hint="eastAsia" w:ascii="宋体" w:hAnsi="宋体" w:eastAsia="宋体" w:cs="宋体"/>
          <w:szCs w:val="21"/>
          <w:highlight w:val="none"/>
          <w:lang w:val="zh-CN"/>
        </w:rPr>
        <w:t>14 证明服务的合格性并符合招标文件规定的声明文件</w:t>
      </w:r>
      <w:bookmarkEnd w:id="172"/>
      <w:bookmarkEnd w:id="173"/>
      <w:bookmarkEnd w:id="174"/>
      <w:bookmarkEnd w:id="175"/>
      <w:bookmarkEnd w:id="176"/>
      <w:bookmarkEnd w:id="177"/>
      <w:bookmarkEnd w:id="178"/>
    </w:p>
    <w:p w14:paraId="7BE2310C">
      <w:pPr>
        <w:spacing w:line="360" w:lineRule="auto"/>
        <w:ind w:left="315" w:leftChars="-100" w:hanging="525" w:hangingChars="250"/>
        <w:rPr>
          <w:rFonts w:hint="eastAsia" w:ascii="宋体" w:hAnsi="宋体" w:eastAsia="宋体" w:cs="宋体"/>
          <w:szCs w:val="21"/>
          <w:highlight w:val="none"/>
          <w:lang w:val="zh-CN"/>
        </w:rPr>
      </w:pPr>
      <w:r>
        <w:rPr>
          <w:rFonts w:hint="eastAsia" w:ascii="宋体" w:hAnsi="宋体" w:eastAsia="宋体" w:cs="宋体"/>
          <w:szCs w:val="21"/>
          <w:highlight w:val="none"/>
          <w:lang w:val="zh-CN"/>
        </w:rPr>
        <w:t>14.1</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根据</w:t>
      </w:r>
      <w:r>
        <w:rPr>
          <w:rFonts w:hint="eastAsia" w:ascii="宋体" w:hAnsi="宋体" w:eastAsia="宋体" w:cs="宋体"/>
          <w:kern w:val="0"/>
          <w:szCs w:val="21"/>
          <w:highlight w:val="none"/>
        </w:rPr>
        <w:t>第9</w:t>
      </w:r>
      <w:r>
        <w:rPr>
          <w:rFonts w:hint="eastAsia" w:ascii="宋体" w:hAnsi="宋体" w:eastAsia="宋体" w:cs="宋体"/>
          <w:szCs w:val="21"/>
          <w:highlight w:val="none"/>
          <w:lang w:val="zh-CN"/>
        </w:rPr>
        <w:t>条规定，投标人须提交证明其拟供</w:t>
      </w:r>
      <w:r>
        <w:rPr>
          <w:rFonts w:hint="eastAsia" w:ascii="宋体" w:hAnsi="宋体" w:eastAsia="宋体" w:cs="宋体"/>
          <w:szCs w:val="21"/>
          <w:highlight w:val="none"/>
          <w:lang w:val="en-US" w:eastAsia="zh-CN"/>
        </w:rPr>
        <w:t>服务</w:t>
      </w:r>
      <w:r>
        <w:rPr>
          <w:rFonts w:hint="eastAsia" w:ascii="宋体" w:hAnsi="宋体" w:eastAsia="宋体" w:cs="宋体"/>
          <w:szCs w:val="21"/>
          <w:highlight w:val="none"/>
          <w:lang w:val="zh-CN"/>
        </w:rPr>
        <w:t>的合格性并符合招标文件规定的声明文件，作为投标文件的一部分。</w:t>
      </w:r>
    </w:p>
    <w:p w14:paraId="4344A307">
      <w:pPr>
        <w:spacing w:line="360" w:lineRule="auto"/>
        <w:ind w:left="315" w:leftChars="-100" w:hanging="525" w:hangingChars="250"/>
        <w:rPr>
          <w:rFonts w:hint="eastAsia" w:ascii="宋体" w:hAnsi="宋体" w:eastAsia="宋体" w:cs="宋体"/>
          <w:szCs w:val="21"/>
          <w:highlight w:val="none"/>
          <w:lang w:val="zh-CN"/>
        </w:rPr>
      </w:pPr>
      <w:r>
        <w:rPr>
          <w:rFonts w:hint="eastAsia" w:ascii="宋体" w:hAnsi="宋体" w:eastAsia="宋体" w:cs="宋体"/>
          <w:szCs w:val="21"/>
          <w:highlight w:val="none"/>
          <w:lang w:val="zh-CN"/>
        </w:rPr>
        <w:t>14.2  证明</w:t>
      </w:r>
      <w:r>
        <w:rPr>
          <w:rFonts w:hint="eastAsia" w:ascii="宋体" w:hAnsi="宋体" w:eastAsia="宋体" w:cs="宋体"/>
          <w:kern w:val="0"/>
          <w:szCs w:val="21"/>
          <w:highlight w:val="none"/>
          <w:lang w:eastAsia="zh-CN"/>
        </w:rPr>
        <w:t>相关</w:t>
      </w:r>
      <w:r>
        <w:rPr>
          <w:rFonts w:hint="eastAsia" w:ascii="宋体" w:hAnsi="宋体" w:eastAsia="宋体" w:cs="宋体"/>
          <w:kern w:val="0"/>
          <w:szCs w:val="21"/>
          <w:highlight w:val="none"/>
        </w:rPr>
        <w:t>服务</w:t>
      </w:r>
      <w:r>
        <w:rPr>
          <w:rFonts w:hint="eastAsia" w:ascii="宋体" w:hAnsi="宋体" w:eastAsia="宋体" w:cs="宋体"/>
          <w:szCs w:val="21"/>
          <w:highlight w:val="none"/>
          <w:lang w:val="zh-CN"/>
        </w:rPr>
        <w:t>与招标文件的要求相一致的文件可以是文字资料、图纸和数据资料。</w:t>
      </w:r>
    </w:p>
    <w:p w14:paraId="6DC5928E">
      <w:pPr>
        <w:autoSpaceDE w:val="0"/>
        <w:autoSpaceDN w:val="0"/>
        <w:adjustRightInd w:val="0"/>
        <w:spacing w:line="360" w:lineRule="auto"/>
        <w:ind w:left="317" w:leftChars="-100" w:hanging="527" w:hangingChars="251"/>
        <w:rPr>
          <w:rFonts w:hint="eastAsia" w:ascii="宋体" w:hAnsi="宋体" w:eastAsia="宋体" w:cs="宋体"/>
          <w:b/>
          <w:szCs w:val="21"/>
          <w:highlight w:val="none"/>
          <w:lang w:val="zh-CN"/>
        </w:rPr>
      </w:pPr>
      <w:r>
        <w:rPr>
          <w:rFonts w:hint="eastAsia" w:ascii="宋体" w:hAnsi="宋体" w:eastAsia="宋体" w:cs="宋体"/>
          <w:szCs w:val="21"/>
          <w:highlight w:val="none"/>
          <w:lang w:val="zh-CN"/>
        </w:rPr>
        <w:t xml:space="preserve">14.3 </w:t>
      </w:r>
      <w:r>
        <w:rPr>
          <w:rFonts w:hint="eastAsia" w:ascii="宋体" w:hAnsi="宋体" w:eastAsia="宋体" w:cs="宋体"/>
          <w:b/>
          <w:color w:val="auto"/>
          <w:szCs w:val="21"/>
          <w:highlight w:val="none"/>
          <w:lang w:val="zh-CN"/>
        </w:rPr>
        <w:t>为说明第14.2款的规定，投标人应注意本招标文件在《用户需求书》中对服务要求</w:t>
      </w:r>
      <w:r>
        <w:rPr>
          <w:rFonts w:hint="eastAsia" w:ascii="宋体" w:hAnsi="宋体" w:eastAsia="宋体" w:cs="宋体"/>
          <w:b/>
          <w:color w:val="auto"/>
          <w:szCs w:val="21"/>
          <w:highlight w:val="none"/>
          <w:lang w:val="en-US" w:eastAsia="zh-CN"/>
        </w:rPr>
        <w:t>的</w:t>
      </w:r>
      <w:r>
        <w:rPr>
          <w:rFonts w:hint="eastAsia" w:ascii="宋体" w:hAnsi="宋体" w:eastAsia="宋体" w:cs="宋体"/>
          <w:b/>
          <w:color w:val="auto"/>
          <w:szCs w:val="21"/>
          <w:highlight w:val="none"/>
          <w:lang w:val="zh-CN"/>
        </w:rPr>
        <w:t>说明只是概括性的，不能理解为所需要的全部服务的要求，投标人应按国家、行业相关技术标准、规范和以往的服务经验，合格优质的完成采购内容和包含的全部服务。但凡标有“★”的地方均被视为重要的技术指标要求或性能要求。投标人要特别加以注意，必须对此回答并完全满足这些要求，否则若有一项带“★”的指标未响应或不满足，将按无效投标处理。</w:t>
      </w:r>
    </w:p>
    <w:p w14:paraId="635CCF2B">
      <w:pPr>
        <w:autoSpaceDE w:val="0"/>
        <w:autoSpaceDN w:val="0"/>
        <w:adjustRightInd w:val="0"/>
        <w:spacing w:line="360" w:lineRule="auto"/>
        <w:rPr>
          <w:rFonts w:hint="eastAsia" w:ascii="宋体" w:hAnsi="宋体" w:eastAsia="宋体" w:cs="宋体"/>
          <w:kern w:val="0"/>
          <w:sz w:val="24"/>
          <w:szCs w:val="24"/>
          <w:highlight w:val="none"/>
        </w:rPr>
      </w:pPr>
    </w:p>
    <w:p w14:paraId="0E869D6B">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179" w:name="_Toc142508329"/>
      <w:bookmarkStart w:id="180" w:name="_Toc5356_WPSOffice_Level3"/>
      <w:bookmarkStart w:id="181" w:name="_Toc195714233"/>
      <w:bookmarkStart w:id="182" w:name="_Toc30555"/>
      <w:bookmarkStart w:id="183" w:name="_Toc7860"/>
      <w:bookmarkStart w:id="184" w:name="_Toc8644"/>
      <w:bookmarkStart w:id="185" w:name="_Toc3206"/>
      <w:bookmarkStart w:id="186" w:name="_Toc486167679"/>
      <w:r>
        <w:rPr>
          <w:rFonts w:hint="eastAsia" w:ascii="宋体" w:hAnsi="宋体" w:eastAsia="宋体" w:cs="宋体"/>
          <w:color w:val="auto"/>
          <w:szCs w:val="21"/>
          <w:highlight w:val="none"/>
          <w:lang w:val="zh-CN"/>
        </w:rPr>
        <w:t>15 投标保证金</w:t>
      </w:r>
      <w:bookmarkEnd w:id="179"/>
      <w:bookmarkEnd w:id="180"/>
      <w:bookmarkEnd w:id="181"/>
      <w:bookmarkEnd w:id="182"/>
      <w:bookmarkEnd w:id="183"/>
      <w:bookmarkEnd w:id="184"/>
      <w:bookmarkEnd w:id="185"/>
      <w:bookmarkEnd w:id="186"/>
    </w:p>
    <w:p w14:paraId="7B55D1B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.1 投标人在投标截止时间前，应按第一篇《招标公告》中规定的形式和金额提交投标保证金。投标保证金到账时间应为投标保证金的关联时间。投标保证金数据超过投标截止时间后到达交易系统的，无法关联。投标人应提前办理投标保证金手续，自行承担数据延误风险。投标人如发现到账异常情况，须在投标截止时间前向东莞市公共资源交易中心（以下简称交易中心）工作人员提出投标保证金到账异常处理申请。投标人必须在招标人接受的方式中任选一种提交投标保证金。对应于各种方式的投标保证金的提交要求如下：</w:t>
      </w:r>
    </w:p>
    <w:p w14:paraId="656FFA56">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（1）若采用单项投标保证金，投标人必须按全国公共资源交易平台（广东省·东莞市）办事指南的规定及时向交易中心缴存单项投标保证金，并确保上述款项在投标文件提交截止时间前匹配到本</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，否则，其投标保证金视为无效。</w:t>
      </w:r>
    </w:p>
    <w:p w14:paraId="447B28D2">
      <w:pPr>
        <w:autoSpaceDE w:val="0"/>
        <w:autoSpaceDN w:val="0"/>
        <w:adjustRightInd w:val="0"/>
        <w:spacing w:line="360" w:lineRule="auto"/>
        <w:ind w:left="225" w:leftChars="107" w:firstLine="489" w:firstLineChars="233"/>
        <w:jc w:val="left"/>
        <w:rPr>
          <w:rFonts w:hint="eastAsia" w:ascii="宋体" w:hAnsi="宋体" w:eastAsia="宋体" w:cs="宋体"/>
          <w:bCs w:val="0"/>
          <w:color w:val="auto"/>
          <w:kern w:val="0"/>
          <w:szCs w:val="21"/>
          <w:highlight w:val="none"/>
          <w:lang w:val="zh-CN"/>
        </w:rPr>
      </w:pPr>
      <w:r>
        <w:rPr>
          <w:rFonts w:hint="eastAsia" w:ascii="宋体" w:hAnsi="宋体" w:eastAsia="宋体" w:cs="宋体"/>
          <w:bCs w:val="0"/>
          <w:color w:val="auto"/>
          <w:kern w:val="0"/>
          <w:szCs w:val="21"/>
          <w:highlight w:val="none"/>
          <w:lang w:val="zh-CN"/>
        </w:rPr>
        <w:t>投标截止时间前，已在公共资源交易企业库建档的投标人应将保证金关联至本</w:t>
      </w:r>
      <w:r>
        <w:rPr>
          <w:rFonts w:hint="eastAsia" w:ascii="宋体" w:hAnsi="宋体" w:eastAsia="宋体" w:cs="宋体"/>
          <w:bCs w:val="0"/>
          <w:color w:val="auto"/>
          <w:kern w:val="0"/>
          <w:szCs w:val="21"/>
          <w:highlight w:val="none"/>
          <w:lang w:val="en-US" w:eastAsia="zh-CN"/>
        </w:rPr>
        <w:t>项目</w:t>
      </w:r>
      <w:r>
        <w:rPr>
          <w:rFonts w:hint="eastAsia" w:ascii="宋体" w:hAnsi="宋体" w:eastAsia="宋体" w:cs="宋体"/>
          <w:bCs w:val="0"/>
          <w:color w:val="auto"/>
          <w:kern w:val="0"/>
          <w:szCs w:val="21"/>
          <w:highlight w:val="none"/>
          <w:lang w:val="zh-CN"/>
        </w:rPr>
        <w:t>。具体要求详见全国公共资源交易平台（广东省·东莞市）（网址：https://ygp.gdzwfw.gov.cn/#/441900/index）办事指南中的相关规定。</w:t>
      </w:r>
    </w:p>
    <w:p w14:paraId="04F20A8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按《关于实行投标保证金企业基本账户备案制度的通知》(东建市〔2014〕18号)要求，缴纳的投标保证金须由投标人基本账户转出。投标人开具银行电子保函或保险电子保单存入的保证金（如有）及相关费用须从基本账户转出。投标保证金或相关费用不由其基本账户转入的，交易中心一律不予认定，无法参与投标的相关责任由投标人自行承担。</w:t>
      </w:r>
    </w:p>
    <w:p w14:paraId="5C6BB77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若采用银行电子保函或保险电子保单，投标人必须按《东莞市住房和城乡建设局关于我市房屋建筑和市政基础设施工程建设项目投标保证金使用银行电子保函及保险电子保单的通知》(东建市〔2022〕6号)规定办理，保证出具的保函或保单有效。保函或保单在投标人签到时关联。</w:t>
      </w:r>
    </w:p>
    <w:p w14:paraId="3618B1E7">
      <w:pPr>
        <w:autoSpaceDE w:val="0"/>
        <w:autoSpaceDN w:val="0"/>
        <w:adjustRightInd w:val="0"/>
        <w:spacing w:line="360" w:lineRule="auto"/>
        <w:ind w:left="225" w:leftChars="107" w:firstLine="489" w:firstLineChars="233"/>
        <w:jc w:val="left"/>
        <w:rPr>
          <w:rFonts w:hint="eastAsia" w:ascii="宋体" w:hAnsi="宋体" w:eastAsia="宋体" w:cs="宋体"/>
          <w:bCs w:val="0"/>
          <w:color w:val="auto"/>
          <w:kern w:val="0"/>
          <w:szCs w:val="21"/>
          <w:highlight w:val="none"/>
          <w:lang w:val="zh-CN"/>
        </w:rPr>
      </w:pPr>
      <w:r>
        <w:rPr>
          <w:rFonts w:hint="eastAsia" w:ascii="宋体" w:hAnsi="宋体" w:eastAsia="宋体" w:cs="宋体"/>
          <w:bCs w:val="0"/>
          <w:color w:val="auto"/>
          <w:kern w:val="0"/>
          <w:szCs w:val="21"/>
          <w:highlight w:val="none"/>
          <w:lang w:val="zh-CN"/>
        </w:rPr>
        <w:t>银行电子保函参考样式按照《住房和城乡建设部关于印发工程保函示范文本的通知》（建市〔2021〕11号）执行。 保险公司所提供的建设工程保证保险条款应当经国家金融监督管理总局批准、备案或注册，并在本公司门户网站主动公开单位信息、投保单（范本）以及保险合同含条款（范本）。</w:t>
      </w:r>
    </w:p>
    <w:p w14:paraId="72B135DE">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.2 投标人签到时应按本投标人须知第</w:t>
      </w: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.1</w:t>
      </w:r>
      <w:r>
        <w:rPr>
          <w:rFonts w:hint="eastAsia" w:ascii="宋体" w:hAnsi="宋体" w:eastAsia="宋体" w:cs="宋体"/>
          <w:bCs/>
          <w:color w:val="auto"/>
          <w:kern w:val="0"/>
          <w:szCs w:val="21"/>
          <w:highlight w:val="none"/>
          <w:lang w:val="en-US" w:eastAsia="zh-CN"/>
        </w:rPr>
        <w:t>款</w:t>
      </w:r>
      <w:r>
        <w:rPr>
          <w:rFonts w:hint="eastAsia" w:ascii="宋体" w:hAnsi="宋体" w:eastAsia="宋体" w:cs="宋体"/>
          <w:bCs/>
          <w:color w:val="auto"/>
          <w:kern w:val="0"/>
          <w:szCs w:val="21"/>
          <w:highlight w:val="none"/>
          <w:lang w:val="zh-CN"/>
        </w:rPr>
        <w:t>要求提交投标保证金。投标截止时间前，投标人如果撤销签到，已关联的投标保证金同步取消关联；撤销签到的投标人可以重新签到并关联保证金。投标截止后，已关联的投标保证金不能取消关联。</w:t>
      </w:r>
    </w:p>
    <w:p w14:paraId="3E519007">
      <w:pPr>
        <w:tabs>
          <w:tab w:val="left" w:pos="567"/>
        </w:tabs>
        <w:autoSpaceDE w:val="0"/>
        <w:autoSpaceDN w:val="0"/>
        <w:adjustRightInd w:val="0"/>
        <w:spacing w:line="360" w:lineRule="auto"/>
        <w:ind w:left="357" w:leftChars="-100" w:hanging="567"/>
        <w:jc w:val="left"/>
        <w:outlineLvl w:val="1"/>
        <w:rPr>
          <w:rFonts w:hint="eastAsia" w:ascii="宋体" w:hAnsi="宋体" w:eastAsia="宋体" w:cs="宋体"/>
          <w:bCs/>
          <w:color w:val="auto"/>
          <w:kern w:val="0"/>
          <w:szCs w:val="21"/>
          <w:highlight w:val="none"/>
          <w:lang w:val="zh-CN"/>
        </w:rPr>
      </w:pPr>
      <w:bookmarkStart w:id="187" w:name="_Toc3875"/>
      <w:bookmarkStart w:id="188" w:name="_Toc19219"/>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.3 投标保证金退还程序。</w:t>
      </w:r>
      <w:bookmarkEnd w:id="187"/>
      <w:bookmarkEnd w:id="188"/>
    </w:p>
    <w:p w14:paraId="52D5EAC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（1）对未通过资格</w:t>
      </w:r>
      <w:r>
        <w:rPr>
          <w:rFonts w:hint="eastAsia" w:ascii="宋体" w:hAnsi="宋体" w:eastAsia="宋体" w:cs="宋体"/>
          <w:bCs/>
          <w:color w:val="auto"/>
          <w:kern w:val="0"/>
          <w:szCs w:val="21"/>
          <w:highlight w:val="none"/>
          <w:lang w:val="en-US" w:eastAsia="zh-CN"/>
        </w:rPr>
        <w:t>性</w:t>
      </w:r>
      <w:r>
        <w:rPr>
          <w:rFonts w:hint="eastAsia" w:ascii="宋体" w:hAnsi="宋体" w:eastAsia="宋体" w:cs="宋体"/>
          <w:bCs/>
          <w:color w:val="auto"/>
          <w:kern w:val="0"/>
          <w:szCs w:val="21"/>
          <w:highlight w:val="none"/>
          <w:lang w:val="zh-CN"/>
        </w:rPr>
        <w:t>审查或未通过</w:t>
      </w:r>
      <w:r>
        <w:rPr>
          <w:rFonts w:hint="eastAsia" w:ascii="宋体" w:hAnsi="宋体" w:eastAsia="宋体" w:cs="宋体"/>
          <w:bCs/>
          <w:color w:val="auto"/>
          <w:kern w:val="0"/>
          <w:szCs w:val="21"/>
          <w:highlight w:val="none"/>
          <w:lang w:val="en-US" w:eastAsia="zh-CN"/>
        </w:rPr>
        <w:t>符合性检查</w:t>
      </w:r>
      <w:r>
        <w:rPr>
          <w:rFonts w:hint="eastAsia" w:ascii="宋体" w:hAnsi="宋体" w:eastAsia="宋体" w:cs="宋体"/>
          <w:bCs/>
          <w:color w:val="auto"/>
          <w:kern w:val="0"/>
          <w:szCs w:val="21"/>
          <w:highlight w:val="none"/>
          <w:lang w:val="zh-CN"/>
        </w:rPr>
        <w:t>的投标人，招标人在</w:t>
      </w:r>
      <w:r>
        <w:rPr>
          <w:rFonts w:hint="eastAsia" w:ascii="宋体" w:hAnsi="宋体" w:eastAsia="宋体" w:cs="宋体"/>
          <w:bCs/>
          <w:color w:val="auto"/>
          <w:kern w:val="0"/>
          <w:szCs w:val="21"/>
          <w:highlight w:val="none"/>
          <w:lang w:val="en-US" w:eastAsia="zh-CN"/>
        </w:rPr>
        <w:t>评标会</w:t>
      </w:r>
      <w:r>
        <w:rPr>
          <w:rFonts w:hint="eastAsia" w:ascii="宋体" w:hAnsi="宋体" w:eastAsia="宋体" w:cs="宋体"/>
          <w:bCs/>
          <w:color w:val="auto"/>
          <w:kern w:val="0"/>
          <w:szCs w:val="21"/>
          <w:highlight w:val="none"/>
          <w:lang w:val="zh-CN"/>
        </w:rPr>
        <w:t>结束后第一个工作日向交易中心发送退还指令；</w:t>
      </w:r>
    </w:p>
    <w:p w14:paraId="6EC64948">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（2）对除中标候选人外的投标人，招标人在发布评标结果公示后3个工作日内向交易中心发送退还指令；</w:t>
      </w:r>
    </w:p>
    <w:p w14:paraId="5416E77A">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（3）招标人与中标人在签订书面合同后3个工作日内向交易中心对中标人及其余中标候选人投标保证金发送退还指令。</w:t>
      </w:r>
    </w:p>
    <w:p w14:paraId="47DFD455">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（4）若</w:t>
      </w:r>
      <w:r>
        <w:rPr>
          <w:rFonts w:hint="eastAsia" w:ascii="宋体" w:hAnsi="宋体" w:eastAsia="宋体" w:cs="宋体"/>
          <w:bCs/>
          <w:color w:val="auto"/>
          <w:kern w:val="0"/>
          <w:szCs w:val="21"/>
          <w:highlight w:val="none"/>
          <w:lang w:val="en-US" w:eastAsia="zh-CN"/>
        </w:rPr>
        <w:t>项目</w:t>
      </w:r>
      <w:r>
        <w:rPr>
          <w:rFonts w:hint="eastAsia" w:ascii="宋体" w:hAnsi="宋体" w:eastAsia="宋体" w:cs="宋体"/>
          <w:bCs/>
          <w:color w:val="auto"/>
          <w:kern w:val="0"/>
          <w:szCs w:val="21"/>
          <w:highlight w:val="none"/>
          <w:lang w:val="zh-CN"/>
        </w:rPr>
        <w:t>受到监督部门调查时，招标人根据实际情况处理投标保证金退回有关工作。招标人将按调查结果处理涉事投标保证金。</w:t>
      </w:r>
    </w:p>
    <w:p w14:paraId="2FBF7E78">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（5）如因投诉等异常情况不能正常签发中标通知书，招标人可以退回未中标的且不涉及异常情况处理投标人的投标保证金发送退还指令。</w:t>
      </w:r>
    </w:p>
    <w:p w14:paraId="22C25BBD">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.4 投标保证金有效期应当与投标有效期一致。招标人如果按本</w:t>
      </w:r>
      <w:r>
        <w:rPr>
          <w:rFonts w:hint="eastAsia" w:ascii="宋体" w:hAnsi="宋体" w:eastAsia="宋体" w:cs="宋体"/>
          <w:bCs/>
          <w:color w:val="auto"/>
          <w:kern w:val="0"/>
          <w:szCs w:val="21"/>
          <w:highlight w:val="none"/>
          <w:lang w:val="en-US" w:eastAsia="zh-CN"/>
        </w:rPr>
        <w:t>投标人</w:t>
      </w:r>
      <w:r>
        <w:rPr>
          <w:rFonts w:hint="eastAsia" w:ascii="宋体" w:hAnsi="宋体" w:eastAsia="宋体" w:cs="宋体"/>
          <w:bCs/>
          <w:color w:val="auto"/>
          <w:kern w:val="0"/>
          <w:szCs w:val="21"/>
          <w:highlight w:val="none"/>
          <w:lang w:val="zh-CN"/>
        </w:rPr>
        <w:t>须知第</w:t>
      </w:r>
      <w:r>
        <w:rPr>
          <w:rFonts w:hint="eastAsia" w:ascii="宋体" w:hAnsi="宋体" w:eastAsia="宋体" w:cs="宋体"/>
          <w:bCs/>
          <w:color w:val="auto"/>
          <w:kern w:val="0"/>
          <w:szCs w:val="21"/>
          <w:highlight w:val="none"/>
          <w:lang w:val="en-US" w:eastAsia="zh-CN"/>
        </w:rPr>
        <w:t>16.3款</w:t>
      </w:r>
      <w:r>
        <w:rPr>
          <w:rFonts w:hint="eastAsia" w:ascii="宋体" w:hAnsi="宋体" w:eastAsia="宋体" w:cs="宋体"/>
          <w:bCs/>
          <w:color w:val="auto"/>
          <w:kern w:val="0"/>
          <w:szCs w:val="21"/>
          <w:highlight w:val="none"/>
          <w:lang w:val="zh-CN"/>
        </w:rPr>
        <w:t>的规定延长了投标文件有效期，则投标保证金的有效期也相应延长。</w:t>
      </w:r>
    </w:p>
    <w:p w14:paraId="028DAC67">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 xml:space="preserve">.5 若发生下列情况，招标人在书面通知投标人（或中标人）后有权不予退还投标保证金： </w:t>
      </w:r>
    </w:p>
    <w:p w14:paraId="60DCAAB2">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（1）投标人在规定的投标截止时间后至投标有效期满之前撤销或修改其投标文件；</w:t>
      </w:r>
    </w:p>
    <w:p w14:paraId="5C72976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（2）中标人未能在规定期限内提交履约担保；</w:t>
      </w:r>
    </w:p>
    <w:p w14:paraId="33B7CD6B">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（3）未根据</w:t>
      </w:r>
      <w:r>
        <w:rPr>
          <w:rFonts w:hint="eastAsia" w:ascii="宋体" w:hAnsi="宋体" w:eastAsia="宋体" w:cs="宋体"/>
          <w:bCs/>
          <w:color w:val="auto"/>
          <w:kern w:val="0"/>
          <w:szCs w:val="21"/>
          <w:highlight w:val="none"/>
          <w:lang w:val="en-US" w:eastAsia="zh-CN"/>
        </w:rPr>
        <w:t>本投标人须知</w:t>
      </w:r>
      <w:r>
        <w:rPr>
          <w:rFonts w:hint="eastAsia" w:ascii="宋体" w:hAnsi="宋体" w:eastAsia="宋体" w:cs="宋体"/>
          <w:bCs/>
          <w:color w:val="auto"/>
          <w:kern w:val="0"/>
          <w:szCs w:val="21"/>
          <w:highlight w:val="none"/>
          <w:lang w:val="zh-CN"/>
        </w:rPr>
        <w:t>第34条规定签署合同；</w:t>
      </w:r>
    </w:p>
    <w:p w14:paraId="2E7B3523">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（4）将中标项目转让给他人，或者在投标文件中未说明，且未经招标人同意，将中标项目的合同的权利义务转让给第三方的；</w:t>
      </w:r>
    </w:p>
    <w:p w14:paraId="27DDDCE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zh-CN"/>
        </w:rPr>
        <w:t>（5）提供虚假投标文件或虚假补充文件的，或违反《中华人民共和国招标投标法》等有关法律、法规、规章及招标投标相关规定的行为。</w:t>
      </w:r>
    </w:p>
    <w:p w14:paraId="188110D9">
      <w:pPr>
        <w:tabs>
          <w:tab w:val="left" w:pos="567"/>
        </w:tabs>
        <w:autoSpaceDE w:val="0"/>
        <w:autoSpaceDN w:val="0"/>
        <w:adjustRightInd w:val="0"/>
        <w:spacing w:line="360" w:lineRule="auto"/>
        <w:ind w:left="357" w:leftChars="-100" w:hanging="567"/>
        <w:jc w:val="left"/>
        <w:outlineLvl w:val="1"/>
        <w:rPr>
          <w:rFonts w:hint="eastAsia" w:ascii="宋体" w:hAnsi="宋体" w:eastAsia="宋体" w:cs="宋体"/>
          <w:bCs/>
          <w:color w:val="auto"/>
          <w:kern w:val="0"/>
          <w:szCs w:val="21"/>
          <w:highlight w:val="none"/>
          <w:lang w:val="en-US"/>
        </w:rPr>
      </w:pPr>
      <w:bookmarkStart w:id="189" w:name="_Toc22708"/>
      <w:bookmarkStart w:id="190" w:name="_Toc30462"/>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en-US"/>
        </w:rPr>
        <w:t>.6</w:t>
      </w:r>
      <w:r>
        <w:rPr>
          <w:rFonts w:hint="eastAsia" w:ascii="宋体" w:hAnsi="宋体" w:eastAsia="宋体" w:cs="宋体"/>
          <w:bCs/>
          <w:color w:val="auto"/>
          <w:kern w:val="0"/>
          <w:szCs w:val="21"/>
          <w:highlight w:val="none"/>
          <w:lang w:val="en-US" w:eastAsia="zh-CN"/>
        </w:rPr>
        <w:t xml:space="preserve"> </w:t>
      </w:r>
      <w:r>
        <w:rPr>
          <w:rFonts w:hint="eastAsia" w:ascii="宋体" w:hAnsi="宋体" w:eastAsia="宋体" w:cs="宋体"/>
          <w:bCs/>
          <w:color w:val="auto"/>
          <w:kern w:val="0"/>
          <w:szCs w:val="21"/>
          <w:highlight w:val="none"/>
          <w:lang w:val="en-US"/>
        </w:rPr>
        <w:t>对于提交银行电子保函（保险电子保单）的有关注意事项：</w:t>
      </w:r>
      <w:bookmarkEnd w:id="189"/>
      <w:bookmarkEnd w:id="190"/>
    </w:p>
    <w:p w14:paraId="19C216B1">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6.1投标人所提交的银行电子保函（保险电子保单）经核实出现以下情况的，作自动弃权处理：①担保的有效期或金额不符合要求的；②出现不符合招标文件要求或招标人不能接受的条款。</w:t>
      </w:r>
    </w:p>
    <w:p w14:paraId="75F69DC4">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6.2投标人应当选择具备银行电子保函（保险电子保单）相关业务的银行（保险公司）开具投标保函（保单）。具备相关业务的银行（保险公司）应满足能与交易中心端口对接、关联基本账户、退款等条件，以保证电子指令的正常发送与接收。</w:t>
      </w:r>
    </w:p>
    <w:p w14:paraId="77589739">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6.3银行电子保函采用“电子保函+电子指令”模式，保险电子保单采用“电子保单+电子指令”模式，即银行（保险公司）向投标人开具电子保函（保单）的同时向交易中心发送经加密的电子指令，投标人自行登录交易系统进行确认。</w:t>
      </w:r>
    </w:p>
    <w:p w14:paraId="6E6D48CC">
      <w:pPr>
        <w:tabs>
          <w:tab w:val="left" w:pos="567"/>
        </w:tabs>
        <w:autoSpaceDE w:val="0"/>
        <w:autoSpaceDN w:val="0"/>
        <w:adjustRightInd w:val="0"/>
        <w:spacing w:line="360" w:lineRule="auto"/>
        <w:ind w:left="357" w:leftChars="-100" w:hanging="567"/>
        <w:jc w:val="left"/>
        <w:rPr>
          <w:rFonts w:hint="eastAsia" w:ascii="宋体" w:hAnsi="宋体" w:eastAsia="宋体" w:cs="宋体"/>
          <w:bCs/>
          <w:color w:val="auto"/>
          <w:kern w:val="0"/>
          <w:szCs w:val="21"/>
          <w:highlight w:val="none"/>
          <w:lang w:val="zh-CN"/>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6.4投标人需预留足够的时间，提前办理好银行电子保函或保险电子保单，自行查询确认电子指令是否已经送到交易中心，并核对相关资料和信息的准确性。若投标人未预留足够的时间办理相关手续，因网络或系统等原因导致电子指令超过投标文件递交截止时间未能到达交易系统导致招标人拒绝其投标的，其后果由投标人自行负责。</w:t>
      </w:r>
    </w:p>
    <w:p w14:paraId="0AC4004C">
      <w:pPr>
        <w:autoSpaceDE w:val="0"/>
        <w:autoSpaceDN w:val="0"/>
        <w:adjustRightInd w:val="0"/>
        <w:spacing w:line="360" w:lineRule="auto"/>
        <w:ind w:left="357" w:leftChars="-100" w:hanging="567"/>
        <w:rPr>
          <w:rFonts w:hint="eastAsia" w:ascii="宋体" w:hAnsi="宋体" w:eastAsia="宋体" w:cs="宋体"/>
          <w:kern w:val="0"/>
          <w:szCs w:val="21"/>
          <w:highlight w:val="none"/>
        </w:rPr>
      </w:pPr>
      <w:r>
        <w:rPr>
          <w:rFonts w:hint="eastAsia" w:ascii="宋体" w:hAnsi="宋体" w:eastAsia="宋体" w:cs="宋体"/>
          <w:bCs/>
          <w:color w:val="auto"/>
          <w:kern w:val="0"/>
          <w:szCs w:val="21"/>
          <w:highlight w:val="none"/>
          <w:lang w:val="en-US" w:eastAsia="zh-CN"/>
        </w:rPr>
        <w:t>15.</w:t>
      </w:r>
      <w:r>
        <w:rPr>
          <w:rFonts w:hint="eastAsia" w:ascii="宋体" w:hAnsi="宋体" w:eastAsia="宋体" w:cs="宋体"/>
          <w:bCs/>
          <w:color w:val="auto"/>
          <w:kern w:val="0"/>
          <w:szCs w:val="21"/>
          <w:highlight w:val="none"/>
          <w:lang w:val="zh-CN"/>
        </w:rPr>
        <w:t>7</w:t>
      </w:r>
      <w:r>
        <w:rPr>
          <w:rFonts w:hint="eastAsia" w:ascii="宋体" w:hAnsi="宋体" w:eastAsia="宋体" w:cs="宋体"/>
          <w:bCs/>
          <w:color w:val="auto"/>
          <w:kern w:val="0"/>
          <w:szCs w:val="21"/>
          <w:highlight w:val="none"/>
          <w:lang w:val="en-US" w:eastAsia="zh-CN"/>
        </w:rPr>
        <w:t xml:space="preserve"> </w:t>
      </w:r>
      <w:r>
        <w:rPr>
          <w:rFonts w:hint="eastAsia" w:ascii="宋体" w:hAnsi="宋体" w:eastAsia="宋体" w:cs="宋体"/>
          <w:bCs/>
          <w:color w:val="auto"/>
          <w:kern w:val="0"/>
          <w:szCs w:val="21"/>
          <w:highlight w:val="none"/>
          <w:lang w:val="zh-CN"/>
        </w:rPr>
        <w:t>投标保证金缴存银行账户见全国公共资源交易平台（广东省·东莞市）办事指南。</w:t>
      </w:r>
    </w:p>
    <w:p w14:paraId="287D9463">
      <w:pPr>
        <w:tabs>
          <w:tab w:val="left" w:pos="1134"/>
        </w:tabs>
        <w:autoSpaceDE w:val="0"/>
        <w:autoSpaceDN w:val="0"/>
        <w:adjustRightInd w:val="0"/>
        <w:spacing w:line="360" w:lineRule="auto"/>
        <w:ind w:left="840" w:leftChars="150" w:hanging="525" w:hangingChars="250"/>
        <w:jc w:val="left"/>
        <w:rPr>
          <w:rFonts w:hint="eastAsia" w:ascii="宋体" w:hAnsi="宋体" w:eastAsia="宋体" w:cs="宋体"/>
          <w:kern w:val="0"/>
          <w:szCs w:val="21"/>
          <w:highlight w:val="none"/>
        </w:rPr>
      </w:pPr>
    </w:p>
    <w:p w14:paraId="6BF8EC29">
      <w:pPr>
        <w:tabs>
          <w:tab w:val="left" w:pos="567"/>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lang w:val="zh-CN"/>
        </w:rPr>
      </w:pPr>
      <w:bookmarkStart w:id="191" w:name="_Toc450662865"/>
      <w:bookmarkStart w:id="192" w:name="_Toc486167680"/>
      <w:bookmarkStart w:id="193" w:name="_Toc24580"/>
      <w:bookmarkStart w:id="194" w:name="_Toc142508330"/>
      <w:bookmarkStart w:id="195" w:name="_Toc1458"/>
      <w:bookmarkStart w:id="196" w:name="_Toc22649_WPSOffice_Level3"/>
      <w:bookmarkStart w:id="197" w:name="_Toc29607"/>
      <w:r>
        <w:rPr>
          <w:rFonts w:hint="eastAsia" w:ascii="宋体" w:hAnsi="宋体" w:eastAsia="宋体" w:cs="宋体"/>
          <w:szCs w:val="21"/>
          <w:highlight w:val="none"/>
          <w:lang w:val="zh-CN"/>
        </w:rPr>
        <w:t>16 投标有效期</w:t>
      </w:r>
      <w:bookmarkEnd w:id="191"/>
      <w:bookmarkEnd w:id="192"/>
      <w:bookmarkEnd w:id="193"/>
      <w:bookmarkEnd w:id="194"/>
      <w:bookmarkEnd w:id="195"/>
      <w:bookmarkEnd w:id="196"/>
      <w:bookmarkEnd w:id="197"/>
    </w:p>
    <w:p w14:paraId="1BE3DC0B">
      <w:pPr>
        <w:tabs>
          <w:tab w:val="left" w:pos="567"/>
        </w:tabs>
        <w:autoSpaceDE w:val="0"/>
        <w:autoSpaceDN w:val="0"/>
        <w:adjustRightInd w:val="0"/>
        <w:spacing w:line="360" w:lineRule="auto"/>
        <w:ind w:left="357" w:leftChars="-100" w:hanging="567"/>
        <w:rPr>
          <w:rFonts w:hint="eastAsia" w:ascii="宋体" w:hAnsi="宋体" w:eastAsia="宋体" w:cs="宋体"/>
          <w:b/>
          <w:bCs/>
          <w:color w:val="auto"/>
          <w:szCs w:val="21"/>
          <w:highlight w:val="none"/>
          <w:lang w:val="zh-CN"/>
        </w:rPr>
      </w:pPr>
      <w:r>
        <w:rPr>
          <w:rFonts w:hint="eastAsia" w:ascii="宋体" w:hAnsi="宋体" w:eastAsia="宋体" w:cs="宋体"/>
          <w:szCs w:val="21"/>
          <w:highlight w:val="none"/>
          <w:lang w:val="zh-CN"/>
        </w:rPr>
        <w:t>16.1</w:t>
      </w:r>
      <w:r>
        <w:rPr>
          <w:rFonts w:hint="eastAsia" w:ascii="宋体" w:hAnsi="宋体" w:eastAsia="宋体" w:cs="宋体"/>
          <w:szCs w:val="21"/>
          <w:highlight w:val="none"/>
          <w:lang w:val="zh-CN"/>
        </w:rPr>
        <w:tab/>
      </w:r>
      <w:r>
        <w:rPr>
          <w:rFonts w:hint="eastAsia" w:ascii="宋体" w:hAnsi="宋体" w:eastAsia="宋体" w:cs="宋体"/>
          <w:b/>
          <w:bCs/>
          <w:szCs w:val="21"/>
          <w:highlight w:val="none"/>
          <w:u w:val="single"/>
          <w:lang w:val="zh-CN"/>
        </w:rPr>
        <w:t>投标文件将在递交投标文件截止时间届满后90日内有效。</w:t>
      </w:r>
      <w:r>
        <w:rPr>
          <w:rFonts w:hint="eastAsia" w:ascii="宋体" w:hAnsi="宋体" w:eastAsia="宋体" w:cs="宋体"/>
          <w:b/>
          <w:bCs/>
          <w:color w:val="auto"/>
          <w:szCs w:val="21"/>
          <w:highlight w:val="none"/>
          <w:u w:val="single"/>
          <w:lang w:val="zh-CN"/>
        </w:rPr>
        <w:t>投标有效期比规定时间短的按无效投标文件处理</w:t>
      </w:r>
      <w:r>
        <w:rPr>
          <w:rFonts w:hint="eastAsia" w:ascii="宋体" w:hAnsi="宋体" w:eastAsia="宋体" w:cs="宋体"/>
          <w:b/>
          <w:bCs/>
          <w:color w:val="auto"/>
          <w:szCs w:val="21"/>
          <w:highlight w:val="none"/>
          <w:lang w:val="zh-CN"/>
        </w:rPr>
        <w:t>。</w:t>
      </w:r>
    </w:p>
    <w:p w14:paraId="1A78BE0E">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16.2</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中标人的投标文件作为合同附件，合同失效时同时失效。</w:t>
      </w:r>
    </w:p>
    <w:p w14:paraId="30B20478">
      <w:pPr>
        <w:autoSpaceDE w:val="0"/>
        <w:autoSpaceDN w:val="0"/>
        <w:adjustRightInd w:val="0"/>
        <w:spacing w:line="360" w:lineRule="auto"/>
        <w:ind w:left="357" w:leftChars="-100" w:hanging="567"/>
        <w:rPr>
          <w:rFonts w:hint="eastAsia" w:ascii="宋体" w:hAnsi="宋体" w:eastAsia="宋体" w:cs="宋体"/>
          <w:szCs w:val="21"/>
          <w:highlight w:val="none"/>
          <w:lang w:val="zh-CN"/>
        </w:rPr>
      </w:pPr>
      <w:r>
        <w:rPr>
          <w:rFonts w:hint="eastAsia" w:ascii="宋体" w:hAnsi="宋体" w:eastAsia="宋体" w:cs="宋体"/>
          <w:szCs w:val="21"/>
          <w:highlight w:val="none"/>
          <w:lang w:val="zh-CN"/>
        </w:rPr>
        <w:t>16.3</w:t>
      </w:r>
      <w:r>
        <w:rPr>
          <w:rFonts w:hint="eastAsia" w:ascii="宋体" w:hAnsi="宋体" w:eastAsia="宋体" w:cs="宋体"/>
          <w:szCs w:val="21"/>
          <w:highlight w:val="none"/>
          <w:lang w:val="zh-CN"/>
        </w:rPr>
        <w:tab/>
      </w:r>
      <w:r>
        <w:rPr>
          <w:rFonts w:hint="eastAsia" w:ascii="宋体" w:hAnsi="宋体" w:eastAsia="宋体" w:cs="宋体"/>
          <w:szCs w:val="21"/>
          <w:highlight w:val="none"/>
          <w:lang w:val="zh-CN"/>
        </w:rPr>
        <w:t>在特殊情况下，招标代理机构可于投标有效期满之前要求投标人同意延长投标有效期。要求与答复均应为书面形式往来。投标人可以拒绝上述要求，招标</w:t>
      </w:r>
      <w:r>
        <w:rPr>
          <w:rFonts w:hint="eastAsia" w:ascii="宋体" w:hAnsi="宋体" w:eastAsia="宋体" w:cs="宋体"/>
          <w:szCs w:val="21"/>
          <w:highlight w:val="none"/>
          <w:lang w:val="en-US" w:eastAsia="zh-CN"/>
        </w:rPr>
        <w:t>人</w:t>
      </w:r>
      <w:r>
        <w:rPr>
          <w:rFonts w:hint="eastAsia" w:ascii="宋体" w:hAnsi="宋体" w:eastAsia="宋体" w:cs="宋体"/>
          <w:szCs w:val="21"/>
          <w:highlight w:val="none"/>
          <w:lang w:val="zh-CN"/>
        </w:rPr>
        <w:t>将退还其投标保证金。对于同意该要求的投标人，既不要求也不允许其修改投标文件，但将要求其相应延长投标保证金的有效期。第15条投标保证金的有关规定在投标保证金延长期内仍适用。</w:t>
      </w:r>
    </w:p>
    <w:p w14:paraId="646B923D">
      <w:pPr>
        <w:autoSpaceDE w:val="0"/>
        <w:autoSpaceDN w:val="0"/>
        <w:adjustRightInd w:val="0"/>
        <w:spacing w:line="360" w:lineRule="auto"/>
        <w:ind w:left="357" w:leftChars="-100" w:hanging="567"/>
        <w:rPr>
          <w:rFonts w:hint="eastAsia" w:ascii="宋体" w:hAnsi="宋体" w:eastAsia="宋体" w:cs="宋体"/>
          <w:szCs w:val="21"/>
          <w:highlight w:val="none"/>
          <w:lang w:val="zh-CN"/>
        </w:rPr>
      </w:pPr>
    </w:p>
    <w:p w14:paraId="1F21DC4B">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198" w:name="_Toc486167681"/>
      <w:bookmarkStart w:id="199" w:name="_Toc15065"/>
      <w:bookmarkStart w:id="200" w:name="_Toc195714235"/>
      <w:bookmarkStart w:id="201" w:name="_Toc20422"/>
      <w:bookmarkStart w:id="202" w:name="_Toc25637_WPSOffice_Level3"/>
      <w:bookmarkStart w:id="203" w:name="_Toc932"/>
      <w:bookmarkStart w:id="204" w:name="_Toc16430"/>
      <w:bookmarkStart w:id="205" w:name="_Toc142508331"/>
      <w:bookmarkStart w:id="206" w:name="_Toc450662866"/>
      <w:r>
        <w:rPr>
          <w:rFonts w:hint="eastAsia" w:ascii="宋体" w:hAnsi="宋体" w:eastAsia="宋体" w:cs="宋体"/>
          <w:color w:val="auto"/>
          <w:szCs w:val="21"/>
          <w:highlight w:val="none"/>
          <w:lang w:val="zh-CN"/>
        </w:rPr>
        <w:t>17 投标文件的编制和签署</w:t>
      </w:r>
      <w:bookmarkEnd w:id="198"/>
      <w:bookmarkEnd w:id="199"/>
      <w:bookmarkEnd w:id="200"/>
      <w:bookmarkEnd w:id="201"/>
      <w:bookmarkEnd w:id="202"/>
      <w:bookmarkEnd w:id="203"/>
      <w:bookmarkEnd w:id="204"/>
      <w:bookmarkEnd w:id="205"/>
      <w:bookmarkEnd w:id="206"/>
    </w:p>
    <w:p w14:paraId="38964FAF">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投标文件采用电子标书形式编制。投标人使用网络上传投标文件。</w:t>
      </w:r>
    </w:p>
    <w:p w14:paraId="773FBF71">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投标人应使用全国公共资源交易平台（广东省·东莞市发布的投标文件电子标书制作软件（以下简称“电子标书制作软件”）进行投标文件的合成、电子</w:t>
      </w:r>
      <w:r>
        <w:rPr>
          <w:rFonts w:hint="eastAsia" w:ascii="宋体" w:hAnsi="宋体" w:eastAsia="宋体" w:cs="宋体"/>
          <w:color w:val="auto"/>
          <w:szCs w:val="21"/>
          <w:highlight w:val="none"/>
          <w:lang w:val="en-US"/>
        </w:rPr>
        <w:t>签名</w:t>
      </w:r>
      <w:r>
        <w:rPr>
          <w:rFonts w:hint="eastAsia" w:ascii="宋体" w:hAnsi="宋体" w:eastAsia="宋体" w:cs="宋体"/>
          <w:color w:val="auto"/>
          <w:szCs w:val="21"/>
          <w:highlight w:val="none"/>
          <w:lang w:val="zh-CN"/>
        </w:rPr>
        <w:t>工作。</w:t>
      </w:r>
    </w:p>
    <w:p w14:paraId="450836D8">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投标人应使用依法设立的电子认证服务提供者签发的电子签名认证证书对电子投标文件进行电子签名。该电子</w:t>
      </w:r>
      <w:r>
        <w:rPr>
          <w:rFonts w:hint="eastAsia" w:ascii="宋体" w:hAnsi="宋体" w:eastAsia="宋体" w:cs="宋体"/>
          <w:color w:val="auto"/>
          <w:szCs w:val="21"/>
          <w:highlight w:val="none"/>
          <w:lang w:val="en-US"/>
        </w:rPr>
        <w:t>签名</w:t>
      </w:r>
      <w:r>
        <w:rPr>
          <w:rFonts w:hint="eastAsia" w:ascii="宋体" w:hAnsi="宋体" w:eastAsia="宋体" w:cs="宋体"/>
          <w:color w:val="auto"/>
          <w:szCs w:val="21"/>
          <w:highlight w:val="none"/>
          <w:lang w:val="zh-CN"/>
        </w:rPr>
        <w:t>与手写签名或者盖章具有同等的法律效力。</w:t>
      </w:r>
    </w:p>
    <w:p w14:paraId="0B79B08A">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投标人使用电子标书制作软件编制电子投标文件时必须按招标文件相关条款及投标文件格式中的要求进行编制。</w:t>
      </w:r>
    </w:p>
    <w:p w14:paraId="37E73C29">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投标文件应按上述编制的要求编制电子标书。如投标文件未按上述编制要求编制的，所引起交易系统无法检索、读取相关信息时，其结果将由投标人自行承担。</w:t>
      </w:r>
    </w:p>
    <w:p w14:paraId="4AF1D480">
      <w:pPr>
        <w:tabs>
          <w:tab w:val="left" w:pos="567"/>
        </w:tabs>
        <w:autoSpaceDE w:val="0"/>
        <w:autoSpaceDN w:val="0"/>
        <w:adjustRightInd w:val="0"/>
        <w:spacing w:line="360" w:lineRule="auto"/>
        <w:ind w:left="357" w:leftChars="-100" w:hanging="567"/>
        <w:outlineLvl w:val="1"/>
        <w:rPr>
          <w:rFonts w:hint="eastAsia" w:ascii="宋体" w:hAnsi="宋体" w:eastAsia="宋体" w:cs="宋体"/>
          <w:color w:val="auto"/>
          <w:szCs w:val="21"/>
          <w:highlight w:val="none"/>
          <w:lang w:val="zh-CN"/>
        </w:rPr>
      </w:pPr>
      <w:bookmarkStart w:id="207" w:name="_Toc9587"/>
      <w:bookmarkStart w:id="208" w:name="_Toc26960"/>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投标文件必须按下列要求编制、使用数字证书电子</w:t>
      </w:r>
      <w:r>
        <w:rPr>
          <w:rFonts w:hint="eastAsia" w:ascii="宋体" w:hAnsi="宋体" w:eastAsia="宋体" w:cs="宋体"/>
          <w:color w:val="auto"/>
          <w:szCs w:val="21"/>
          <w:highlight w:val="none"/>
          <w:lang w:val="en-US"/>
        </w:rPr>
        <w:t>签名</w:t>
      </w:r>
      <w:r>
        <w:rPr>
          <w:rFonts w:hint="eastAsia" w:ascii="宋体" w:hAnsi="宋体" w:eastAsia="宋体" w:cs="宋体"/>
          <w:color w:val="auto"/>
          <w:szCs w:val="21"/>
          <w:highlight w:val="none"/>
          <w:lang w:val="en-US" w:eastAsia="zh-CN"/>
        </w:rPr>
        <w:t>：</w:t>
      </w:r>
      <w:bookmarkEnd w:id="207"/>
      <w:bookmarkEnd w:id="208"/>
    </w:p>
    <w:p w14:paraId="2FF5734B">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.6.1按本投标人须知第</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条的规定编制，按本投标人须知第1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条的规定填报投标报价，“投标文件的组成”中列明的内容在投标文件中不能有漏缺。</w:t>
      </w:r>
    </w:p>
    <w:p w14:paraId="48AE8FCD">
      <w:pPr>
        <w:tabs>
          <w:tab w:val="left" w:pos="567"/>
        </w:tabs>
        <w:autoSpaceDE w:val="0"/>
        <w:autoSpaceDN w:val="0"/>
        <w:adjustRightInd w:val="0"/>
        <w:spacing w:line="360" w:lineRule="auto"/>
        <w:ind w:left="357" w:leftChars="-100" w:hanging="567"/>
        <w:outlineLvl w:val="2"/>
        <w:rPr>
          <w:rFonts w:hint="eastAsia" w:ascii="宋体" w:hAnsi="宋体" w:eastAsia="宋体" w:cs="宋体"/>
          <w:color w:val="auto"/>
          <w:szCs w:val="21"/>
          <w:highlight w:val="none"/>
          <w:lang w:val="zh-CN"/>
        </w:rPr>
      </w:pPr>
      <w:bookmarkStart w:id="209" w:name="_Toc3092"/>
      <w:bookmarkStart w:id="210" w:name="_Toc19767"/>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.6.2投标文件商务标、技术标编制要求：</w:t>
      </w:r>
      <w:bookmarkEnd w:id="209"/>
      <w:bookmarkEnd w:id="210"/>
    </w:p>
    <w:p w14:paraId="20DC988A">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（1）投标文件必须按招标文件中规定的投标文件格式编制，并转换成PDF格式合成到电子投标文件中；</w:t>
      </w:r>
    </w:p>
    <w:p w14:paraId="11AAAD6A">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（2）投标文件商务标、技术标必须按招标文件的规定填写，不能出现缺项、缺页、手写、关键语句（或字）错误； </w:t>
      </w:r>
    </w:p>
    <w:p w14:paraId="1897B125">
      <w:pPr>
        <w:tabs>
          <w:tab w:val="left" w:pos="567"/>
        </w:tabs>
        <w:autoSpaceDE w:val="0"/>
        <w:autoSpaceDN w:val="0"/>
        <w:adjustRightInd w:val="0"/>
        <w:spacing w:line="360" w:lineRule="auto"/>
        <w:ind w:left="357" w:leftChars="-100" w:hanging="567"/>
        <w:outlineLvl w:val="3"/>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（3）投标文件的任何一页都不应有涂改、行间插字或删除；</w:t>
      </w:r>
    </w:p>
    <w:p w14:paraId="7EEF9662">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（4）投标文件商务标、技术标应按其格式要求由投标人的法定代表人或其授权代表电子签名、企业数字证书电子签名；</w:t>
      </w:r>
    </w:p>
    <w:p w14:paraId="31EEB5C0">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（5）严格按照第六篇投标文件格式内的要求完整、真实的填写《合同条款偏离表》《用户需求偏离表》；</w:t>
      </w:r>
    </w:p>
    <w:p w14:paraId="77CBCB1F">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（6）投标人要特别加以注意，必须严格按照第六篇商务标格式的要求完整、真实的填写《资格业绩》及提供对应证明资料；</w:t>
      </w:r>
    </w:p>
    <w:p w14:paraId="1D36DF6A">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（7）投标文件技术标部分必须按招标文件第六篇“技术标格式”编制。</w:t>
      </w:r>
    </w:p>
    <w:p w14:paraId="0BAE7BA2">
      <w:pPr>
        <w:tabs>
          <w:tab w:val="left" w:pos="567"/>
        </w:tabs>
        <w:autoSpaceDE w:val="0"/>
        <w:autoSpaceDN w:val="0"/>
        <w:adjustRightInd w:val="0"/>
        <w:spacing w:line="360" w:lineRule="auto"/>
        <w:ind w:left="357" w:leftChars="-100" w:hanging="567"/>
        <w:outlineLvl w:val="2"/>
        <w:rPr>
          <w:rFonts w:hint="eastAsia" w:ascii="宋体" w:hAnsi="宋体" w:eastAsia="宋体" w:cs="宋体"/>
          <w:color w:val="auto"/>
          <w:szCs w:val="21"/>
          <w:highlight w:val="none"/>
          <w:lang w:val="zh-CN"/>
        </w:rPr>
      </w:pPr>
      <w:bookmarkStart w:id="211" w:name="_Toc26313"/>
      <w:bookmarkStart w:id="212" w:name="_Toc3854"/>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.6.3投标文件报价信封编制要求：</w:t>
      </w:r>
      <w:bookmarkEnd w:id="211"/>
      <w:bookmarkEnd w:id="212"/>
    </w:p>
    <w:p w14:paraId="045A0240">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（1）投标人应使用电子标书制作软件编制并生成报价信封，内容根据招标文件设置的报价信封内容按实填报。</w:t>
      </w:r>
    </w:p>
    <w:p w14:paraId="002925D2">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（2）大写金额数字用“零、壹、贰、叁、肆、伍、陆、柒、捌、玖、拾、佰、仟、万、亿”填写。投标值大写与小写不一致时，以大写数额为准，修正小写数额。</w:t>
      </w:r>
    </w:p>
    <w:p w14:paraId="4D937635">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（3）投标文件价格部分应按其格式要求使用依法设立的电子认证服务提供者签发的电子签名认证证书对电子投标文件进行电子签名。该电子签名与手写签名或者盖章具有同等的法律效力。</w:t>
      </w:r>
    </w:p>
    <w:p w14:paraId="662D351B">
      <w:pPr>
        <w:autoSpaceDE w:val="0"/>
        <w:autoSpaceDN w:val="0"/>
        <w:adjustRightInd w:val="0"/>
        <w:jc w:val="left"/>
        <w:rPr>
          <w:rFonts w:hint="eastAsia" w:ascii="宋体" w:hAnsi="宋体" w:eastAsia="宋体" w:cs="宋体"/>
          <w:kern w:val="0"/>
          <w:sz w:val="24"/>
          <w:szCs w:val="24"/>
          <w:highlight w:val="none"/>
        </w:rPr>
      </w:pPr>
      <w:bookmarkStart w:id="213" w:name="_Toc450662867"/>
    </w:p>
    <w:bookmarkEnd w:id="213"/>
    <w:p w14:paraId="4095B8C5">
      <w:pPr>
        <w:keepNext/>
        <w:keepLines/>
        <w:tabs>
          <w:tab w:val="left" w:pos="509"/>
        </w:tabs>
        <w:autoSpaceDE w:val="0"/>
        <w:autoSpaceDN w:val="0"/>
        <w:adjustRightInd w:val="0"/>
        <w:spacing w:line="360" w:lineRule="auto"/>
        <w:jc w:val="left"/>
        <w:outlineLvl w:val="1"/>
        <w:rPr>
          <w:rFonts w:hint="eastAsia" w:ascii="宋体" w:hAnsi="宋体" w:eastAsia="宋体" w:cs="宋体"/>
          <w:b/>
          <w:bCs/>
          <w:color w:val="auto"/>
          <w:kern w:val="44"/>
          <w:szCs w:val="21"/>
          <w:highlight w:val="none"/>
          <w:lang w:val="zh-CN"/>
        </w:rPr>
      </w:pPr>
      <w:bookmarkStart w:id="214" w:name="_Toc22356_WPSOffice_Level2"/>
      <w:bookmarkStart w:id="215" w:name="_Toc195714236"/>
      <w:bookmarkStart w:id="216" w:name="_Toc26605"/>
      <w:bookmarkStart w:id="217" w:name="_Toc11307"/>
      <w:bookmarkStart w:id="218" w:name="_Toc486167682"/>
      <w:bookmarkStart w:id="219" w:name="_Toc140596891"/>
      <w:bookmarkStart w:id="220" w:name="_Toc7829"/>
      <w:bookmarkStart w:id="221" w:name="_Toc142508332"/>
      <w:bookmarkStart w:id="222" w:name="_Toc17199"/>
      <w:r>
        <w:rPr>
          <w:rFonts w:hint="eastAsia" w:ascii="宋体" w:hAnsi="宋体" w:eastAsia="宋体" w:cs="宋体"/>
          <w:b/>
          <w:bCs/>
          <w:color w:val="auto"/>
          <w:kern w:val="44"/>
          <w:szCs w:val="21"/>
          <w:highlight w:val="none"/>
          <w:lang w:val="zh-CN"/>
        </w:rPr>
        <w:t>四、投标</w:t>
      </w:r>
      <w:bookmarkEnd w:id="214"/>
      <w:bookmarkEnd w:id="215"/>
      <w:bookmarkEnd w:id="216"/>
      <w:bookmarkEnd w:id="217"/>
      <w:bookmarkEnd w:id="218"/>
      <w:bookmarkEnd w:id="219"/>
      <w:bookmarkEnd w:id="220"/>
      <w:bookmarkEnd w:id="221"/>
      <w:bookmarkEnd w:id="222"/>
    </w:p>
    <w:p w14:paraId="7EE6EC30">
      <w:pPr>
        <w:tabs>
          <w:tab w:val="left" w:pos="567"/>
        </w:tabs>
        <w:autoSpaceDE w:val="0"/>
        <w:autoSpaceDN w:val="0"/>
        <w:adjustRightInd w:val="0"/>
        <w:spacing w:line="360" w:lineRule="auto"/>
        <w:ind w:left="357" w:leftChars="-100" w:right="15" w:rightChars="7" w:hanging="567"/>
        <w:outlineLvl w:val="0"/>
        <w:rPr>
          <w:rFonts w:hint="eastAsia" w:ascii="宋体" w:hAnsi="宋体" w:eastAsia="宋体" w:cs="宋体"/>
          <w:color w:val="auto"/>
          <w:szCs w:val="21"/>
          <w:highlight w:val="none"/>
          <w:lang w:val="zh-CN"/>
        </w:rPr>
      </w:pPr>
      <w:bookmarkStart w:id="223" w:name="_Toc450662868"/>
      <w:bookmarkStart w:id="224" w:name="_Toc31551"/>
      <w:bookmarkStart w:id="225" w:name="_Toc195714237"/>
      <w:bookmarkStart w:id="226" w:name="_Toc29885"/>
      <w:bookmarkStart w:id="227" w:name="_Toc142508333"/>
      <w:bookmarkStart w:id="228" w:name="_Toc486167683"/>
      <w:bookmarkStart w:id="229" w:name="_Toc12192_WPSOffice_Level3"/>
      <w:bookmarkStart w:id="230" w:name="_Toc22475"/>
      <w:bookmarkStart w:id="231" w:name="_Toc3466"/>
      <w:r>
        <w:rPr>
          <w:rFonts w:hint="eastAsia" w:ascii="宋体" w:hAnsi="宋体" w:eastAsia="宋体" w:cs="宋体"/>
          <w:color w:val="auto"/>
          <w:szCs w:val="21"/>
          <w:highlight w:val="none"/>
          <w:lang w:val="zh-CN"/>
        </w:rPr>
        <w:t xml:space="preserve">18 </w:t>
      </w:r>
      <w:bookmarkEnd w:id="223"/>
      <w:bookmarkEnd w:id="224"/>
      <w:bookmarkEnd w:id="225"/>
      <w:bookmarkEnd w:id="226"/>
      <w:bookmarkEnd w:id="227"/>
      <w:bookmarkEnd w:id="228"/>
      <w:bookmarkEnd w:id="229"/>
      <w:r>
        <w:rPr>
          <w:rFonts w:hint="eastAsia" w:ascii="宋体" w:hAnsi="宋体" w:eastAsia="宋体" w:cs="宋体"/>
          <w:color w:val="auto"/>
          <w:szCs w:val="21"/>
          <w:highlight w:val="none"/>
          <w:lang w:val="zh-CN"/>
        </w:rPr>
        <w:t>投标文件的加密</w:t>
      </w:r>
      <w:bookmarkEnd w:id="230"/>
      <w:bookmarkEnd w:id="231"/>
    </w:p>
    <w:p w14:paraId="2DEE35D8">
      <w:pPr>
        <w:tabs>
          <w:tab w:val="left" w:pos="567"/>
        </w:tabs>
        <w:adjustRightInd w:val="0"/>
        <w:spacing w:line="360" w:lineRule="auto"/>
        <w:ind w:firstLine="144" w:firstLineChars="69"/>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投标人应使用依法设立的电子认证服务提供者签发的电子签章认证证书对电子投标文件进行电子签章并加密。</w:t>
      </w:r>
    </w:p>
    <w:p w14:paraId="55C79E10">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rPr>
      </w:pPr>
    </w:p>
    <w:p w14:paraId="42D7F1F6">
      <w:pPr>
        <w:tabs>
          <w:tab w:val="left" w:pos="567"/>
        </w:tabs>
        <w:autoSpaceDE w:val="0"/>
        <w:autoSpaceDN w:val="0"/>
        <w:adjustRightInd w:val="0"/>
        <w:spacing w:line="360" w:lineRule="auto"/>
        <w:ind w:left="357" w:leftChars="-100" w:right="15" w:rightChars="7" w:hanging="567"/>
        <w:outlineLvl w:val="0"/>
        <w:rPr>
          <w:rFonts w:hint="eastAsia" w:ascii="宋体" w:hAnsi="宋体" w:eastAsia="宋体" w:cs="宋体"/>
          <w:color w:val="auto"/>
          <w:szCs w:val="21"/>
          <w:highlight w:val="none"/>
          <w:lang w:val="zh-CN"/>
        </w:rPr>
      </w:pPr>
      <w:bookmarkStart w:id="232" w:name="_Toc195714238"/>
      <w:bookmarkStart w:id="233" w:name="_Toc3867"/>
      <w:bookmarkStart w:id="234" w:name="_Toc32766"/>
      <w:r>
        <w:rPr>
          <w:rFonts w:hint="eastAsia" w:ascii="宋体" w:hAnsi="宋体" w:eastAsia="宋体" w:cs="宋体"/>
          <w:color w:val="auto"/>
          <w:szCs w:val="21"/>
          <w:highlight w:val="none"/>
          <w:lang w:val="zh-CN"/>
        </w:rPr>
        <w:t>19 投标文件的提交</w:t>
      </w:r>
      <w:bookmarkEnd w:id="232"/>
      <w:bookmarkEnd w:id="233"/>
      <w:bookmarkEnd w:id="234"/>
    </w:p>
    <w:p w14:paraId="5228B4EB">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投标人应在本招标公告规定的投标截止时间前通过交易系统在线上传投标文件。上述方式外提交的投标文件，招标人将不予受理。</w:t>
      </w:r>
    </w:p>
    <w:p w14:paraId="38386F1C">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在通过交易系统在线上传投标文件时，需设置投标文件查询密码（用于查询投标文件递交情况、撤销投标文件及签到时匹配对应的招标文件）。上传成功后，投标人应打印“电子标书网站上传回执”作为成功上传的凭证。</w:t>
      </w:r>
    </w:p>
    <w:p w14:paraId="36E965CC">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投标文件成功上传后，交易系统将生成投标文件识别码。本识别码是投标人提交投标文件的唯一凭证，投标人须妥善保管。识别码丢失后，投标人将无法找回投标文件，需重新上传提交。</w:t>
      </w:r>
    </w:p>
    <w:p w14:paraId="19136C48">
      <w:pPr>
        <w:tabs>
          <w:tab w:val="left" w:pos="567"/>
        </w:tabs>
        <w:autoSpaceDE w:val="0"/>
        <w:autoSpaceDN w:val="0"/>
        <w:adjustRightInd w:val="0"/>
        <w:spacing w:line="360" w:lineRule="auto"/>
        <w:ind w:left="357" w:leftChars="-100" w:right="15" w:rightChars="7" w:hanging="567"/>
        <w:outlineLvl w:val="1"/>
        <w:rPr>
          <w:rFonts w:hint="eastAsia" w:ascii="宋体" w:hAnsi="宋体" w:eastAsia="宋体" w:cs="宋体"/>
          <w:color w:val="auto"/>
          <w:szCs w:val="21"/>
          <w:highlight w:val="none"/>
          <w:lang w:val="zh-CN"/>
        </w:rPr>
      </w:pPr>
      <w:bookmarkStart w:id="235" w:name="_Toc10837"/>
      <w:bookmarkStart w:id="236" w:name="_Toc8570"/>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投标会议</w:t>
      </w:r>
      <w:r>
        <w:rPr>
          <w:rFonts w:hint="eastAsia" w:ascii="宋体" w:hAnsi="宋体" w:eastAsia="宋体" w:cs="宋体"/>
          <w:color w:val="auto"/>
          <w:szCs w:val="21"/>
          <w:highlight w:val="none"/>
          <w:lang w:val="en-US" w:eastAsia="zh-CN"/>
        </w:rPr>
        <w:t>时间及</w:t>
      </w:r>
      <w:r>
        <w:rPr>
          <w:rFonts w:hint="eastAsia" w:ascii="宋体" w:hAnsi="宋体" w:eastAsia="宋体" w:cs="宋体"/>
          <w:color w:val="auto"/>
          <w:szCs w:val="21"/>
          <w:highlight w:val="none"/>
          <w:lang w:val="zh-CN"/>
        </w:rPr>
        <w:t>地点：见招标公告。</w:t>
      </w:r>
      <w:bookmarkEnd w:id="235"/>
      <w:bookmarkEnd w:id="236"/>
    </w:p>
    <w:p w14:paraId="6F6AEC7F">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.5</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逾期送达的或者未按指定方式提交的投标文件，招标人不予受理。</w:t>
      </w:r>
    </w:p>
    <w:p w14:paraId="68EFB9D7">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p>
    <w:p w14:paraId="72329605">
      <w:pPr>
        <w:tabs>
          <w:tab w:val="left" w:pos="567"/>
        </w:tabs>
        <w:autoSpaceDE w:val="0"/>
        <w:autoSpaceDN w:val="0"/>
        <w:adjustRightInd w:val="0"/>
        <w:spacing w:line="360" w:lineRule="auto"/>
        <w:ind w:left="357" w:leftChars="-100" w:right="15" w:rightChars="7" w:hanging="567"/>
        <w:outlineLvl w:val="0"/>
        <w:rPr>
          <w:rFonts w:hint="eastAsia" w:ascii="宋体" w:hAnsi="宋体" w:eastAsia="宋体" w:cs="宋体"/>
          <w:color w:val="auto"/>
          <w:szCs w:val="21"/>
          <w:highlight w:val="none"/>
          <w:lang w:val="zh-CN"/>
        </w:rPr>
      </w:pPr>
      <w:bookmarkStart w:id="237" w:name="_Toc2123"/>
      <w:bookmarkStart w:id="238" w:name="_Toc10027"/>
      <w:bookmarkStart w:id="239" w:name="_Toc195714239"/>
      <w:r>
        <w:rPr>
          <w:rFonts w:hint="eastAsia" w:ascii="宋体" w:hAnsi="宋体" w:eastAsia="宋体" w:cs="宋体"/>
          <w:color w:val="auto"/>
          <w:szCs w:val="21"/>
          <w:highlight w:val="none"/>
          <w:lang w:val="zh-CN"/>
        </w:rPr>
        <w:t>20 投标会时间、地点及投标文件提交的截止时间</w:t>
      </w:r>
      <w:bookmarkEnd w:id="237"/>
      <w:bookmarkEnd w:id="238"/>
      <w:bookmarkEnd w:id="239"/>
    </w:p>
    <w:p w14:paraId="796C3E2A">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投标人应按招标公告的时间、地点，或根据本投标人须知第</w:t>
      </w:r>
      <w:r>
        <w:rPr>
          <w:rFonts w:hint="eastAsia" w:ascii="宋体" w:hAnsi="宋体" w:eastAsia="宋体" w:cs="宋体"/>
          <w:color w:val="auto"/>
          <w:szCs w:val="21"/>
          <w:highlight w:val="none"/>
        </w:rPr>
        <w:t>7.2</w:t>
      </w:r>
      <w:r>
        <w:rPr>
          <w:rFonts w:hint="eastAsia" w:ascii="宋体" w:hAnsi="宋体" w:eastAsia="宋体" w:cs="宋体"/>
          <w:color w:val="auto"/>
          <w:szCs w:val="21"/>
          <w:highlight w:val="none"/>
          <w:lang w:val="zh-CN"/>
        </w:rPr>
        <w:t xml:space="preserve">款规定所延长的日期和时间之前通过交易系统在线上传投标文件。 </w:t>
      </w:r>
    </w:p>
    <w:p w14:paraId="1E1E32D1">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招标人有权按本投标人须知第</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条的规定发出补充通知书，延长投标文件递交的截止时间。这时，原截止时间前，招标人与投标人的权利和义务相应延长至新的投标截止时间。</w:t>
      </w:r>
    </w:p>
    <w:p w14:paraId="4C067EFC">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p>
    <w:p w14:paraId="69E6D2F3">
      <w:pPr>
        <w:tabs>
          <w:tab w:val="left" w:pos="567"/>
        </w:tabs>
        <w:autoSpaceDE w:val="0"/>
        <w:autoSpaceDN w:val="0"/>
        <w:adjustRightInd w:val="0"/>
        <w:spacing w:line="360" w:lineRule="auto"/>
        <w:ind w:left="357" w:leftChars="-100" w:right="15" w:rightChars="7" w:hanging="567"/>
        <w:outlineLvl w:val="0"/>
        <w:rPr>
          <w:rFonts w:hint="eastAsia" w:ascii="宋体" w:hAnsi="宋体" w:eastAsia="宋体" w:cs="宋体"/>
          <w:color w:val="auto"/>
          <w:szCs w:val="21"/>
          <w:highlight w:val="none"/>
          <w:lang w:val="zh-CN"/>
        </w:rPr>
      </w:pPr>
      <w:bookmarkStart w:id="240" w:name="_Toc20231"/>
      <w:bookmarkStart w:id="241" w:name="_Toc5699"/>
      <w:bookmarkStart w:id="242" w:name="_Toc195714240"/>
      <w:r>
        <w:rPr>
          <w:rFonts w:hint="eastAsia" w:ascii="宋体" w:hAnsi="宋体" w:eastAsia="宋体" w:cs="宋体"/>
          <w:color w:val="auto"/>
          <w:szCs w:val="21"/>
          <w:highlight w:val="none"/>
          <w:lang w:val="zh-CN"/>
        </w:rPr>
        <w:t>21 投标文件的拒绝</w:t>
      </w:r>
      <w:bookmarkEnd w:id="240"/>
      <w:bookmarkEnd w:id="241"/>
      <w:bookmarkEnd w:id="242"/>
    </w:p>
    <w:p w14:paraId="50EFCF0A">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投标会上，出现下列情形之一的投标文件，将被招标人拒绝：</w:t>
      </w:r>
    </w:p>
    <w:p w14:paraId="283FE209">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.1.1招标人在本投标人须知第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.4款规定的投标截止时间以后或指定方式以外收到的投标文件。</w:t>
      </w:r>
    </w:p>
    <w:p w14:paraId="028EE1F7">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.1.2投标人未按本投标人须知第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.4款规定提交的投标文件。</w:t>
      </w:r>
    </w:p>
    <w:p w14:paraId="4DD64960">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p>
    <w:p w14:paraId="3595967C">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243" w:name="_Toc1676"/>
      <w:bookmarkStart w:id="244" w:name="_Toc26166"/>
      <w:bookmarkStart w:id="245" w:name="_Toc195714241"/>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2 </w:t>
      </w:r>
      <w:r>
        <w:rPr>
          <w:rFonts w:hint="eastAsia" w:ascii="宋体" w:hAnsi="宋体" w:eastAsia="宋体" w:cs="宋体"/>
          <w:color w:val="auto"/>
          <w:szCs w:val="21"/>
          <w:highlight w:val="none"/>
          <w:lang w:val="zh-CN"/>
        </w:rPr>
        <w:t>投标文件的补充、修改与撤回</w:t>
      </w:r>
      <w:bookmarkEnd w:id="243"/>
      <w:bookmarkEnd w:id="244"/>
      <w:bookmarkEnd w:id="245"/>
    </w:p>
    <w:p w14:paraId="07AB4015">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在本投标人须知第</w:t>
      </w:r>
      <w:r>
        <w:rPr>
          <w:rFonts w:hint="eastAsia" w:ascii="宋体" w:hAnsi="宋体" w:eastAsia="宋体" w:cs="宋体"/>
          <w:color w:val="auto"/>
          <w:szCs w:val="21"/>
          <w:highlight w:val="none"/>
        </w:rPr>
        <w:t>19</w:t>
      </w:r>
      <w:r>
        <w:rPr>
          <w:rFonts w:hint="eastAsia" w:ascii="宋体" w:hAnsi="宋体" w:eastAsia="宋体" w:cs="宋体"/>
          <w:color w:val="auto"/>
          <w:szCs w:val="21"/>
          <w:highlight w:val="none"/>
          <w:lang w:val="zh-CN"/>
        </w:rPr>
        <w:t>.1款规定的投标截止时间前，投标人可以修改或撤回已递交的投标文件。在投标截止时间之后，投标人不得补充、修改投标文件。</w:t>
      </w:r>
    </w:p>
    <w:p w14:paraId="43F8D519">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投标人应使用企业数字证书、投标文件识别码及投标文件查询密码通过网络撤回已递交投标文件。</w:t>
      </w:r>
    </w:p>
    <w:p w14:paraId="29673AE5">
      <w:pPr>
        <w:autoSpaceDE w:val="0"/>
        <w:autoSpaceDN w:val="0"/>
        <w:adjustRightInd w:val="0"/>
        <w:spacing w:line="360" w:lineRule="auto"/>
        <w:ind w:left="357" w:leftChars="-100" w:right="15" w:rightChars="7" w:hanging="567"/>
        <w:rPr>
          <w:rFonts w:hint="eastAsia" w:ascii="宋体" w:hAnsi="宋体" w:eastAsia="宋体" w:cs="宋体"/>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在投标截止时间至投标有效期满之前，投标人不得撤销其投标文件。投标截止后投标人撤销投标文件的，招标人没收其投标保证金（逾期未解密投标文件的除外）。</w:t>
      </w:r>
    </w:p>
    <w:p w14:paraId="3617117C">
      <w:pPr>
        <w:autoSpaceDE w:val="0"/>
        <w:autoSpaceDN w:val="0"/>
        <w:adjustRightInd w:val="0"/>
        <w:spacing w:line="360" w:lineRule="auto"/>
        <w:ind w:left="357" w:leftChars="-100" w:right="15" w:rightChars="7" w:hanging="567"/>
        <w:rPr>
          <w:rFonts w:hint="eastAsia" w:ascii="宋体" w:hAnsi="宋体" w:eastAsia="宋体" w:cs="宋体"/>
          <w:szCs w:val="21"/>
          <w:highlight w:val="none"/>
          <w:lang w:val="zh-CN"/>
        </w:rPr>
      </w:pPr>
    </w:p>
    <w:p w14:paraId="31AC93F0">
      <w:pPr>
        <w:keepNext/>
        <w:keepLines/>
        <w:tabs>
          <w:tab w:val="left" w:pos="509"/>
        </w:tabs>
        <w:autoSpaceDE w:val="0"/>
        <w:autoSpaceDN w:val="0"/>
        <w:adjustRightInd w:val="0"/>
        <w:spacing w:line="360" w:lineRule="auto"/>
        <w:jc w:val="left"/>
        <w:outlineLvl w:val="1"/>
        <w:rPr>
          <w:rFonts w:hint="eastAsia" w:ascii="宋体" w:hAnsi="宋体" w:eastAsia="宋体" w:cs="宋体"/>
          <w:b/>
          <w:bCs/>
          <w:color w:val="auto"/>
          <w:kern w:val="44"/>
          <w:szCs w:val="21"/>
          <w:highlight w:val="none"/>
          <w:lang w:val="zh-CN"/>
        </w:rPr>
      </w:pPr>
      <w:bookmarkStart w:id="246" w:name="_Toc486167687"/>
      <w:bookmarkStart w:id="247" w:name="_Toc1049_WPSOffice_Level2"/>
      <w:bookmarkStart w:id="248" w:name="_Toc450662872"/>
      <w:bookmarkStart w:id="249" w:name="_Toc140596896"/>
      <w:bookmarkStart w:id="250" w:name="_Toc30428"/>
      <w:bookmarkStart w:id="251" w:name="_Toc142508337"/>
      <w:bookmarkStart w:id="252" w:name="_Toc28824"/>
      <w:bookmarkStart w:id="253" w:name="_Toc5498"/>
      <w:bookmarkStart w:id="254" w:name="_Toc29729"/>
      <w:bookmarkStart w:id="255" w:name="_Toc195714242"/>
      <w:bookmarkStart w:id="256" w:name="_Toc450662880"/>
      <w:r>
        <w:rPr>
          <w:rFonts w:hint="eastAsia" w:ascii="宋体" w:hAnsi="宋体" w:eastAsia="宋体" w:cs="宋体"/>
          <w:b/>
          <w:bCs/>
          <w:color w:val="auto"/>
          <w:kern w:val="44"/>
          <w:szCs w:val="21"/>
          <w:highlight w:val="none"/>
          <w:lang w:val="zh-CN"/>
        </w:rPr>
        <w:t>五、开标与评标</w:t>
      </w:r>
      <w:bookmarkEnd w:id="246"/>
      <w:bookmarkEnd w:id="247"/>
      <w:bookmarkEnd w:id="248"/>
      <w:bookmarkEnd w:id="249"/>
      <w:bookmarkEnd w:id="250"/>
      <w:bookmarkEnd w:id="251"/>
      <w:bookmarkEnd w:id="252"/>
      <w:bookmarkEnd w:id="253"/>
      <w:bookmarkEnd w:id="254"/>
      <w:bookmarkEnd w:id="255"/>
    </w:p>
    <w:p w14:paraId="782A278E">
      <w:pPr>
        <w:tabs>
          <w:tab w:val="left" w:pos="567"/>
        </w:tabs>
        <w:autoSpaceDE w:val="0"/>
        <w:autoSpaceDN w:val="0"/>
        <w:adjustRightInd w:val="0"/>
        <w:spacing w:line="360" w:lineRule="auto"/>
        <w:ind w:left="357" w:leftChars="-100" w:right="15" w:rightChars="7" w:hanging="567"/>
        <w:outlineLvl w:val="0"/>
        <w:rPr>
          <w:rFonts w:hint="eastAsia" w:ascii="宋体" w:hAnsi="宋体" w:eastAsia="宋体" w:cs="宋体"/>
          <w:color w:val="auto"/>
          <w:szCs w:val="21"/>
          <w:highlight w:val="none"/>
          <w:lang w:val="zh-CN"/>
        </w:rPr>
      </w:pPr>
      <w:bookmarkStart w:id="257" w:name="_Toc195714243"/>
      <w:bookmarkStart w:id="258" w:name="_Toc17477"/>
      <w:bookmarkStart w:id="259" w:name="_Toc19111"/>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 xml:space="preserve">3 </w:t>
      </w:r>
      <w:r>
        <w:rPr>
          <w:rFonts w:hint="eastAsia" w:ascii="宋体" w:hAnsi="宋体" w:eastAsia="宋体" w:cs="宋体"/>
          <w:color w:val="auto"/>
          <w:szCs w:val="21"/>
          <w:highlight w:val="none"/>
          <w:lang w:val="zh-CN"/>
        </w:rPr>
        <w:t>开标</w:t>
      </w:r>
      <w:bookmarkEnd w:id="257"/>
      <w:bookmarkEnd w:id="258"/>
      <w:bookmarkEnd w:id="259"/>
    </w:p>
    <w:p w14:paraId="38CC16D6">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招标人在19.1款规定的投标截止时间（开标时间）和19.4款规定的地点召开投标会并公开开标，投标人可在规定的时间和地点参加投标会或通过登录交易系统在线查看开标过程相关信息。</w:t>
      </w:r>
    </w:p>
    <w:p w14:paraId="0A331A18">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23.2 </w:t>
      </w:r>
      <w:r>
        <w:rPr>
          <w:rFonts w:hint="eastAsia" w:ascii="宋体" w:hAnsi="宋体" w:eastAsia="宋体" w:cs="宋体"/>
          <w:b/>
          <w:bCs/>
          <w:color w:val="auto"/>
          <w:szCs w:val="21"/>
          <w:highlight w:val="none"/>
          <w:lang w:val="en-US" w:eastAsia="zh-CN"/>
        </w:rPr>
        <w:t>投标人网上签到时间为开标当天上午6时至投标截止时间</w:t>
      </w:r>
      <w:r>
        <w:rPr>
          <w:rFonts w:hint="eastAsia" w:ascii="宋体" w:hAnsi="宋体" w:eastAsia="宋体" w:cs="宋体"/>
          <w:color w:val="auto"/>
          <w:szCs w:val="21"/>
          <w:highlight w:val="none"/>
          <w:lang w:val="en-US" w:eastAsia="zh-CN"/>
        </w:rPr>
        <w:t>，使用企业数字证书（机构证书或业务证书）登录交易系统在线完成投标保证金关联及电子投标文件关联等的网上签到手续。招标人在投标会现场不受理投标人签到事项，因投标人原因造成投标人签到失败、关联相关投标信息错误及不完整的，视为其投标文件无效，招标人将否决其投标。</w:t>
      </w:r>
    </w:p>
    <w:p w14:paraId="44BA3EEE">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23.3 投标人网上签到需要由法定代表人或</w:t>
      </w:r>
      <w:r>
        <w:rPr>
          <w:rFonts w:hint="eastAsia" w:ascii="宋体" w:hAnsi="宋体" w:eastAsia="宋体" w:cs="宋体"/>
          <w:color w:val="auto"/>
          <w:szCs w:val="21"/>
          <w:highlight w:val="none"/>
          <w:lang w:val="zh-CN"/>
        </w:rPr>
        <w:t>其授权代表</w:t>
      </w:r>
      <w:r>
        <w:rPr>
          <w:rFonts w:hint="eastAsia" w:ascii="宋体" w:hAnsi="宋体" w:eastAsia="宋体" w:cs="宋体"/>
          <w:color w:val="auto"/>
          <w:szCs w:val="21"/>
          <w:highlight w:val="none"/>
          <w:lang w:val="en-US" w:eastAsia="zh-CN"/>
        </w:rPr>
        <w:t>进行人脸识别完成签到。（注：投标人在网上签到时须关联的法定代表人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1E2918D8">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投标文件提交截止时间后，招标人按本投标人须知第2</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.1款规定拒绝不符合要求的投标文件。</w:t>
      </w:r>
    </w:p>
    <w:p w14:paraId="4405F9FE">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 xml:space="preserve"> </w:t>
      </w:r>
      <w:r>
        <w:rPr>
          <w:rFonts w:hint="eastAsia" w:ascii="宋体" w:hAnsi="宋体" w:eastAsia="宋体" w:cs="宋体"/>
          <w:b/>
          <w:bCs/>
          <w:color w:val="auto"/>
          <w:szCs w:val="21"/>
          <w:highlight w:val="none"/>
          <w:lang w:val="zh-CN"/>
        </w:rPr>
        <w:t>解密投标文件的时间：投标文件提交截止时间后60分钟内</w:t>
      </w:r>
      <w:r>
        <w:rPr>
          <w:rFonts w:hint="eastAsia" w:ascii="宋体" w:hAnsi="宋体" w:eastAsia="宋体" w:cs="宋体"/>
          <w:b w:val="0"/>
          <w:bCs w:val="0"/>
          <w:color w:val="auto"/>
          <w:szCs w:val="21"/>
          <w:highlight w:val="none"/>
          <w:lang w:val="zh-CN"/>
        </w:rPr>
        <w:t>。</w:t>
      </w:r>
      <w:r>
        <w:rPr>
          <w:rFonts w:hint="eastAsia" w:ascii="宋体" w:hAnsi="宋体" w:eastAsia="宋体" w:cs="宋体"/>
          <w:color w:val="auto"/>
          <w:szCs w:val="21"/>
          <w:highlight w:val="none"/>
          <w:lang w:val="zh-CN"/>
        </w:rPr>
        <w:t>若全部投标文件均在解密时间内完成解密，经招标人确认，可以提前进入下一环节。投标会现场不受理投标人的投标文件解密等事项。因投标人原因造成投标文件未解密的，视为撤销其投标文件；因投标人</w:t>
      </w:r>
      <w:r>
        <w:rPr>
          <w:rFonts w:hint="eastAsia" w:ascii="宋体" w:hAnsi="宋体" w:eastAsia="宋体" w:cs="宋体"/>
          <w:color w:val="auto"/>
          <w:szCs w:val="21"/>
          <w:highlight w:val="none"/>
          <w:lang w:val="en-US" w:eastAsia="zh-CN"/>
        </w:rPr>
        <w:t>之外的</w:t>
      </w:r>
      <w:r>
        <w:rPr>
          <w:rFonts w:hint="eastAsia" w:ascii="宋体" w:hAnsi="宋体" w:eastAsia="宋体" w:cs="宋体"/>
          <w:color w:val="auto"/>
          <w:szCs w:val="21"/>
          <w:highlight w:val="none"/>
          <w:lang w:val="zh-CN"/>
        </w:rPr>
        <w:t>原因造成投标文件未解密的，视为撤回其投标文件。投标文件解密需要由法定代表人或其授权代表进行人脸识别完成解密。</w:t>
      </w:r>
      <w:r>
        <w:rPr>
          <w:rFonts w:hint="eastAsia" w:ascii="宋体" w:hAnsi="宋体" w:eastAsia="宋体" w:cs="宋体"/>
          <w:color w:val="auto"/>
          <w:szCs w:val="21"/>
          <w:highlight w:val="none"/>
          <w:lang w:val="en-US" w:eastAsia="zh-CN"/>
        </w:rPr>
        <w:t>（注：投标人在网上签到时须关联的法定代表人</w:t>
      </w:r>
      <w:r>
        <w:rPr>
          <w:rFonts w:hint="eastAsia" w:ascii="宋体" w:hAnsi="宋体" w:eastAsia="宋体" w:cs="宋体"/>
          <w:color w:val="auto"/>
          <w:szCs w:val="21"/>
          <w:highlight w:val="none"/>
          <w:lang w:val="zh-CN"/>
        </w:rPr>
        <w:t>授权代表</w:t>
      </w:r>
      <w:r>
        <w:rPr>
          <w:rFonts w:hint="eastAsia" w:ascii="宋体" w:hAnsi="宋体" w:eastAsia="宋体" w:cs="宋体"/>
          <w:color w:val="auto"/>
          <w:szCs w:val="21"/>
          <w:highlight w:val="none"/>
          <w:lang w:val="en-US" w:eastAsia="zh-CN"/>
        </w:rPr>
        <w:t>为本项目法定代表人授权书列明的被授权人。）</w:t>
      </w:r>
    </w:p>
    <w:p w14:paraId="747F0BFC">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招标人将所有已解密的电子投标文件，按要求通过开标系统将进入评标环节的投标文件打包并导入评标系统。</w:t>
      </w:r>
    </w:p>
    <w:p w14:paraId="42955A9E">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招标人、招标代理工作人员、监督部门（如有）等有关人员在开标记录上签字确认，开标记录封存。</w:t>
      </w:r>
    </w:p>
    <w:p w14:paraId="5A39880C">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kern w:val="0"/>
          <w:szCs w:val="21"/>
          <w:highlight w:val="none"/>
        </w:rPr>
      </w:pPr>
    </w:p>
    <w:p w14:paraId="36630E12">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260" w:name="_Toc450662874"/>
      <w:bookmarkStart w:id="261" w:name="_Toc12165_WPSOffice_Level3"/>
      <w:bookmarkStart w:id="262" w:name="_Toc32534"/>
      <w:bookmarkStart w:id="263" w:name="_Toc29774"/>
      <w:bookmarkStart w:id="264" w:name="_Toc5684"/>
      <w:bookmarkStart w:id="265" w:name="_Toc486167689"/>
      <w:bookmarkStart w:id="266" w:name="_Toc142508339"/>
      <w:bookmarkStart w:id="267" w:name="_Toc23059"/>
      <w:bookmarkStart w:id="268" w:name="_Toc195714244"/>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 xml:space="preserve"> </w:t>
      </w:r>
      <w:r>
        <w:rPr>
          <w:rFonts w:hint="eastAsia" w:ascii="宋体" w:hAnsi="宋体" w:eastAsia="宋体" w:cs="宋体"/>
          <w:color w:val="auto"/>
          <w:kern w:val="0"/>
          <w:szCs w:val="24"/>
          <w:highlight w:val="none"/>
        </w:rPr>
        <w:t>评标过程的保密性</w:t>
      </w:r>
      <w:bookmarkEnd w:id="260"/>
      <w:bookmarkEnd w:id="261"/>
      <w:bookmarkEnd w:id="262"/>
      <w:bookmarkEnd w:id="263"/>
      <w:bookmarkEnd w:id="264"/>
      <w:bookmarkEnd w:id="265"/>
      <w:bookmarkEnd w:id="266"/>
      <w:bookmarkEnd w:id="267"/>
      <w:bookmarkEnd w:id="268"/>
    </w:p>
    <w:p w14:paraId="3E758E1B">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递交投标文件后，直至向中标人授予合同期间，凡与审查、澄清、评估和比较投标报价的有关资料以及意见等，均不得向投标人及与评审无关的其他人透露，否则追究有关当事人的法律责任。</w:t>
      </w:r>
    </w:p>
    <w:p w14:paraId="326D65E7">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24</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在评标过程中，如果投标人试图在投标文件审查、澄清、比较及授予合同方面向招标代理机构和招标人施加任何影响，其投标文件将被拒绝。</w:t>
      </w:r>
    </w:p>
    <w:p w14:paraId="125EB184">
      <w:pPr>
        <w:tabs>
          <w:tab w:val="left" w:pos="567"/>
        </w:tabs>
        <w:autoSpaceDE w:val="0"/>
        <w:autoSpaceDN w:val="0"/>
        <w:adjustRightInd w:val="0"/>
        <w:spacing w:line="360" w:lineRule="auto"/>
        <w:ind w:left="357" w:leftChars="-100" w:right="15" w:rightChars="7" w:hanging="567"/>
        <w:rPr>
          <w:rFonts w:hint="eastAsia" w:ascii="宋体" w:hAnsi="宋体" w:eastAsia="宋体" w:cs="宋体"/>
          <w:color w:val="auto"/>
          <w:szCs w:val="21"/>
          <w:highlight w:val="none"/>
          <w:lang w:val="zh-CN"/>
        </w:rPr>
      </w:pPr>
    </w:p>
    <w:p w14:paraId="6B231E71">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269" w:name="_Toc142508340"/>
      <w:bookmarkStart w:id="270" w:name="_Toc16920"/>
      <w:bookmarkStart w:id="271" w:name="_Toc32615"/>
      <w:bookmarkStart w:id="272" w:name="_Toc486167690"/>
      <w:bookmarkStart w:id="273" w:name="_Toc195714245"/>
      <w:bookmarkStart w:id="274" w:name="_Toc450662875"/>
      <w:bookmarkStart w:id="275" w:name="_Toc800"/>
      <w:bookmarkStart w:id="276" w:name="_Toc15565_WPSOffice_Level3"/>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 xml:space="preserve"> 评标委员会</w:t>
      </w:r>
      <w:bookmarkEnd w:id="269"/>
      <w:bookmarkEnd w:id="270"/>
      <w:bookmarkEnd w:id="271"/>
      <w:bookmarkEnd w:id="272"/>
      <w:bookmarkEnd w:id="273"/>
      <w:bookmarkEnd w:id="274"/>
      <w:bookmarkEnd w:id="275"/>
      <w:bookmarkEnd w:id="276"/>
    </w:p>
    <w:p w14:paraId="11F17736">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依法组建评标委员会。评标委员会的成员在评审过程中必须严格遵守国家及地方招标投标的有关规定。</w:t>
      </w:r>
    </w:p>
    <w:p w14:paraId="52B2BFDB">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评标委员会依法根据招标文件的规定，进行投标文件的评审、得出评审结果，并向招标人推荐中标候选人。</w:t>
      </w:r>
    </w:p>
    <w:p w14:paraId="723D28BF">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p>
    <w:p w14:paraId="3E7A50D8">
      <w:pPr>
        <w:autoSpaceDE w:val="0"/>
        <w:autoSpaceDN w:val="0"/>
        <w:adjustRightInd w:val="0"/>
        <w:spacing w:line="360" w:lineRule="auto"/>
        <w:ind w:left="357" w:leftChars="-100" w:hanging="567"/>
        <w:outlineLvl w:val="0"/>
        <w:rPr>
          <w:rFonts w:hint="eastAsia" w:ascii="宋体" w:hAnsi="宋体" w:eastAsia="宋体" w:cs="宋体"/>
          <w:color w:val="auto"/>
          <w:szCs w:val="21"/>
          <w:highlight w:val="none"/>
          <w:lang w:val="zh-CN"/>
        </w:rPr>
      </w:pPr>
      <w:bookmarkStart w:id="277" w:name="_Toc195714246"/>
      <w:bookmarkStart w:id="278" w:name="_Toc29870"/>
      <w:bookmarkStart w:id="279" w:name="_Toc4946"/>
      <w:r>
        <w:rPr>
          <w:rFonts w:hint="eastAsia" w:ascii="宋体" w:hAnsi="宋体" w:eastAsia="宋体" w:cs="宋体"/>
          <w:color w:val="auto"/>
          <w:szCs w:val="21"/>
          <w:highlight w:val="none"/>
          <w:lang w:val="zh-CN"/>
        </w:rPr>
        <w:t>26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zh-CN"/>
        </w:rPr>
        <w:t>投标文件的有效性</w:t>
      </w:r>
      <w:bookmarkEnd w:id="277"/>
      <w:bookmarkEnd w:id="278"/>
      <w:bookmarkEnd w:id="279"/>
    </w:p>
    <w:p w14:paraId="3F2279A1">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26.1开标（评标）时，投标文件出现下列情形之一的，应当作为无效投标文件：</w:t>
      </w:r>
    </w:p>
    <w:p w14:paraId="3A6A07EA">
      <w:pPr>
        <w:autoSpaceDE w:val="0"/>
        <w:autoSpaceDN w:val="0"/>
        <w:adjustRightInd w:val="0"/>
        <w:spacing w:line="360" w:lineRule="auto"/>
        <w:ind w:left="357" w:leftChars="-100" w:hanging="567"/>
        <w:outlineLvl w:val="1"/>
        <w:rPr>
          <w:rFonts w:hint="eastAsia" w:ascii="宋体" w:hAnsi="宋体" w:eastAsia="宋体" w:cs="宋体"/>
          <w:color w:val="auto"/>
          <w:szCs w:val="21"/>
          <w:highlight w:val="none"/>
          <w:lang w:val="zh-CN"/>
        </w:rPr>
      </w:pPr>
      <w:bookmarkStart w:id="280" w:name="_Toc1252"/>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上传的投标文件损坏或无法读取的；</w:t>
      </w:r>
      <w:bookmarkEnd w:id="280"/>
    </w:p>
    <w:p w14:paraId="075AC19C">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经招标人确认，投标人在公共资源交易企业库填报的与本项目密切相关的信息与事实不相符的；</w:t>
      </w:r>
    </w:p>
    <w:p w14:paraId="5AD972FA">
      <w:pPr>
        <w:autoSpaceDE w:val="0"/>
        <w:autoSpaceDN w:val="0"/>
        <w:adjustRightInd w:val="0"/>
        <w:spacing w:line="360" w:lineRule="auto"/>
        <w:ind w:left="357" w:leftChars="-100" w:hanging="567"/>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26.1.3投标文件中使用的本项目招标文件版本，与交易系统上发布的本项目招标文件的最新版本不一致的；</w:t>
      </w:r>
    </w:p>
    <w:p w14:paraId="45700CC0">
      <w:pPr>
        <w:autoSpaceDE w:val="0"/>
        <w:autoSpaceDN w:val="0"/>
        <w:adjustRightInd w:val="0"/>
        <w:spacing w:line="360" w:lineRule="auto"/>
        <w:ind w:left="357" w:leftChars="-100" w:hanging="567"/>
        <w:outlineLvl w:val="1"/>
        <w:rPr>
          <w:rFonts w:hint="eastAsia" w:ascii="宋体" w:hAnsi="宋体" w:eastAsia="宋体" w:cs="宋体"/>
          <w:color w:val="auto"/>
          <w:szCs w:val="21"/>
          <w:highlight w:val="none"/>
          <w:lang w:val="zh-CN"/>
        </w:rPr>
      </w:pPr>
      <w:bookmarkStart w:id="281" w:name="_Toc15371"/>
      <w:r>
        <w:rPr>
          <w:rFonts w:hint="eastAsia" w:ascii="宋体" w:hAnsi="宋体" w:eastAsia="宋体" w:cs="宋体"/>
          <w:color w:val="auto"/>
          <w:szCs w:val="21"/>
          <w:highlight w:val="none"/>
          <w:lang w:val="en-US" w:eastAsia="zh-CN"/>
        </w:rPr>
        <w:t>26.1.4</w:t>
      </w:r>
      <w:r>
        <w:rPr>
          <w:rFonts w:hint="eastAsia" w:ascii="宋体" w:hAnsi="宋体" w:eastAsia="宋体" w:cs="宋体"/>
          <w:color w:val="auto"/>
          <w:szCs w:val="21"/>
          <w:highlight w:val="none"/>
          <w:lang w:val="zh-CN"/>
        </w:rPr>
        <w:t>投标文件未使用企业数字证书签名的；</w:t>
      </w:r>
      <w:bookmarkEnd w:id="281"/>
    </w:p>
    <w:p w14:paraId="7FE08A90">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投标文件签名使用的数字证书与签到的投标人名称不一致的；</w:t>
      </w:r>
    </w:p>
    <w:p w14:paraId="4D5C81B9">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lang w:val="zh-CN"/>
        </w:rPr>
        <w:t>投标人的投标编制MAC信息、投标编制CPU序列号、投标编制硬盘序列号均与其他投标人相同的；</w:t>
      </w:r>
    </w:p>
    <w:p w14:paraId="7D417811">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lang w:val="zh-CN"/>
        </w:rPr>
        <w:t>投标文件附有招标人不能接受的条件的；</w:t>
      </w:r>
    </w:p>
    <w:p w14:paraId="6DCA4A85">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lang w:val="zh-CN"/>
        </w:rPr>
        <w:t>投标人资格不满足本投标人须知第</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val="zh-CN"/>
        </w:rPr>
        <w:t>款的要求；</w:t>
      </w:r>
    </w:p>
    <w:p w14:paraId="50CE3209">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lang w:val="zh-CN"/>
        </w:rPr>
        <w:t>投标人未按招标文件要求交纳投标保证金的；</w:t>
      </w:r>
    </w:p>
    <w:p w14:paraId="020448DA">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lang w:val="zh-CN"/>
        </w:rPr>
        <w:t>投标文件报价信封中填报的投标费率报价高于招标文件最高费率限价的；</w:t>
      </w:r>
    </w:p>
    <w:p w14:paraId="265A3EE3">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11</w:t>
      </w:r>
      <w:r>
        <w:rPr>
          <w:rFonts w:hint="eastAsia" w:ascii="宋体" w:hAnsi="宋体" w:eastAsia="宋体" w:cs="宋体"/>
          <w:color w:val="auto"/>
          <w:szCs w:val="21"/>
          <w:highlight w:val="none"/>
          <w:lang w:val="zh-CN"/>
        </w:rPr>
        <w:t>投标人以低于企业成本价报价，且投标人不能合理说明或不能提供相关证明材料；</w:t>
      </w:r>
    </w:p>
    <w:p w14:paraId="18DBC69D">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lang w:val="zh-CN"/>
        </w:rPr>
        <w:t>投标人递交两份或多份内容不同的投标文件，或在一份投标文件中报有两个或多个报价，且未书面声明哪一个有效；</w:t>
      </w:r>
    </w:p>
    <w:p w14:paraId="7F3C602E">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13</w:t>
      </w:r>
      <w:r>
        <w:rPr>
          <w:rFonts w:hint="eastAsia" w:ascii="宋体" w:hAnsi="宋体" w:eastAsia="宋体" w:cs="宋体"/>
          <w:color w:val="auto"/>
          <w:szCs w:val="21"/>
          <w:highlight w:val="none"/>
          <w:lang w:val="zh-CN"/>
        </w:rPr>
        <w:t>投标文件未按</w:t>
      </w:r>
      <w:r>
        <w:rPr>
          <w:rFonts w:hint="eastAsia" w:ascii="宋体" w:hAnsi="宋体" w:eastAsia="宋体" w:cs="宋体"/>
          <w:color w:val="auto"/>
          <w:szCs w:val="21"/>
          <w:highlight w:val="none"/>
          <w:lang w:val="en-US" w:eastAsia="zh-CN"/>
        </w:rPr>
        <w:t>本</w:t>
      </w:r>
      <w:r>
        <w:rPr>
          <w:rFonts w:hint="eastAsia" w:ascii="宋体" w:hAnsi="宋体" w:eastAsia="宋体" w:cs="宋体"/>
          <w:color w:val="auto"/>
          <w:szCs w:val="21"/>
          <w:highlight w:val="none"/>
          <w:lang w:val="zh-CN"/>
        </w:rPr>
        <w:t>投标人须知第17</w:t>
      </w:r>
      <w:r>
        <w:rPr>
          <w:rFonts w:hint="eastAsia" w:ascii="宋体" w:hAnsi="宋体" w:eastAsia="宋体" w:cs="宋体"/>
          <w:color w:val="auto"/>
          <w:szCs w:val="21"/>
          <w:highlight w:val="none"/>
          <w:lang w:val="en-US" w:eastAsia="zh-CN"/>
        </w:rPr>
        <w:t>款</w:t>
      </w:r>
      <w:r>
        <w:rPr>
          <w:rFonts w:hint="eastAsia" w:ascii="宋体" w:hAnsi="宋体" w:eastAsia="宋体" w:cs="宋体"/>
          <w:color w:val="auto"/>
          <w:szCs w:val="21"/>
          <w:highlight w:val="none"/>
          <w:lang w:val="zh-CN"/>
        </w:rPr>
        <w:t>的要求编制、使用企业数字证书或个人数字证书电子签名的；</w:t>
      </w:r>
    </w:p>
    <w:p w14:paraId="1A3CD818">
      <w:pPr>
        <w:autoSpaceDE w:val="0"/>
        <w:autoSpaceDN w:val="0"/>
        <w:adjustRightInd w:val="0"/>
        <w:spacing w:line="360" w:lineRule="auto"/>
        <w:ind w:left="357" w:leftChars="-100" w:hanging="567"/>
        <w:outlineLvl w:val="1"/>
        <w:rPr>
          <w:rFonts w:hint="eastAsia" w:ascii="宋体" w:hAnsi="宋体" w:eastAsia="宋体" w:cs="宋体"/>
          <w:color w:val="auto"/>
          <w:szCs w:val="21"/>
          <w:highlight w:val="none"/>
          <w:lang w:val="zh-CN"/>
        </w:rPr>
      </w:pPr>
      <w:bookmarkStart w:id="282" w:name="_Toc30574"/>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lang w:val="zh-CN"/>
        </w:rPr>
        <w:t>投标有效期限不符合要求；</w:t>
      </w:r>
      <w:bookmarkEnd w:id="282"/>
    </w:p>
    <w:p w14:paraId="10960001">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lang w:val="zh-CN"/>
        </w:rPr>
        <w:t>投标文件未对招标范围内的全部内容进行投标报价或投标方案不是唯一；</w:t>
      </w:r>
    </w:p>
    <w:p w14:paraId="169E4CB2">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16</w:t>
      </w:r>
      <w:r>
        <w:rPr>
          <w:rFonts w:hint="eastAsia" w:ascii="宋体" w:hAnsi="宋体" w:eastAsia="宋体" w:cs="宋体"/>
          <w:color w:val="auto"/>
          <w:szCs w:val="21"/>
          <w:highlight w:val="none"/>
          <w:lang w:val="zh-CN"/>
        </w:rPr>
        <w:t>未提供或虚假填写《合同条款偏离表》，或对《合同条款偏离表》有负偏离的；</w:t>
      </w:r>
    </w:p>
    <w:p w14:paraId="2B523B5B">
      <w:pPr>
        <w:autoSpaceDE w:val="0"/>
        <w:autoSpaceDN w:val="0"/>
        <w:adjustRightInd w:val="0"/>
        <w:spacing w:line="360" w:lineRule="auto"/>
        <w:ind w:left="357" w:leftChars="-100" w:hanging="567"/>
        <w:outlineLvl w:val="1"/>
        <w:rPr>
          <w:rFonts w:hint="eastAsia" w:ascii="宋体" w:hAnsi="宋体" w:eastAsia="宋体" w:cs="宋体"/>
          <w:color w:val="auto"/>
          <w:szCs w:val="21"/>
          <w:highlight w:val="none"/>
          <w:lang w:val="zh-CN"/>
        </w:rPr>
      </w:pPr>
      <w:bookmarkStart w:id="283" w:name="_Toc3291"/>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lang w:val="zh-CN"/>
        </w:rPr>
        <w:t>未填写或虚假填写《用户需求偏离表》的；</w:t>
      </w:r>
      <w:bookmarkEnd w:id="283"/>
    </w:p>
    <w:p w14:paraId="2C3303A5">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18</w:t>
      </w:r>
      <w:r>
        <w:rPr>
          <w:rFonts w:hint="eastAsia" w:ascii="宋体" w:hAnsi="宋体" w:eastAsia="宋体" w:cs="宋体"/>
          <w:color w:val="auto"/>
          <w:szCs w:val="21"/>
          <w:highlight w:val="none"/>
          <w:lang w:val="zh-CN"/>
        </w:rPr>
        <w:t>未响应招标文件提出的实质性要求和条件（标注★的条款）；</w:t>
      </w:r>
    </w:p>
    <w:p w14:paraId="43DE3C3C">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26.1.</w:t>
      </w:r>
      <w:r>
        <w:rPr>
          <w:rFonts w:hint="eastAsia" w:ascii="宋体" w:hAnsi="宋体" w:eastAsia="宋体" w:cs="宋体"/>
          <w:color w:val="auto"/>
          <w:szCs w:val="21"/>
          <w:highlight w:val="none"/>
          <w:lang w:val="en-US" w:eastAsia="zh-CN"/>
        </w:rPr>
        <w:t>19</w:t>
      </w:r>
      <w:r>
        <w:rPr>
          <w:rFonts w:hint="eastAsia" w:ascii="宋体" w:hAnsi="宋体" w:eastAsia="宋体" w:cs="宋体"/>
          <w:color w:val="auto"/>
          <w:szCs w:val="21"/>
          <w:highlight w:val="none"/>
          <w:lang w:val="zh-CN"/>
        </w:rPr>
        <w:t>属于招标文件中规定为无效标的；属于法律、法规、规章规定的应作无效投标文件处理的。</w:t>
      </w:r>
    </w:p>
    <w:p w14:paraId="3BFFDF28">
      <w:pPr>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p>
    <w:p w14:paraId="79B37080">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b/>
          <w:color w:val="auto"/>
          <w:szCs w:val="21"/>
          <w:highlight w:val="none"/>
          <w:lang w:val="zh-CN"/>
        </w:rPr>
      </w:pPr>
      <w:bookmarkStart w:id="284" w:name="_Toc22266"/>
      <w:bookmarkStart w:id="285" w:name="_Toc28910_WPSOffice_Level3"/>
      <w:bookmarkStart w:id="286" w:name="_Toc18668"/>
      <w:bookmarkStart w:id="287" w:name="_Toc12715"/>
      <w:bookmarkStart w:id="288" w:name="_Toc142508341"/>
      <w:bookmarkStart w:id="289" w:name="_Toc195714247"/>
      <w:bookmarkStart w:id="290" w:name="_Toc8692"/>
      <w:bookmarkStart w:id="291" w:name="_Toc486167691"/>
      <w:bookmarkStart w:id="292" w:name="_Toc450662876"/>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 xml:space="preserve"> 投标文件的初审</w:t>
      </w:r>
      <w:bookmarkEnd w:id="284"/>
      <w:bookmarkEnd w:id="285"/>
      <w:bookmarkEnd w:id="286"/>
      <w:bookmarkEnd w:id="287"/>
      <w:bookmarkEnd w:id="288"/>
      <w:bookmarkEnd w:id="289"/>
      <w:bookmarkEnd w:id="290"/>
      <w:bookmarkEnd w:id="291"/>
      <w:bookmarkEnd w:id="292"/>
    </w:p>
    <w:p w14:paraId="155F544B">
      <w:pPr>
        <w:autoSpaceDE w:val="0"/>
        <w:autoSpaceDN w:val="0"/>
        <w:adjustRightInd w:val="0"/>
        <w:spacing w:line="360" w:lineRule="auto"/>
        <w:ind w:left="357" w:leftChars="-100" w:hanging="567"/>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.1 资格性检查：依据法律法规和招标文件的规定，对投标文件中的资格证明、投标保证金等进行审查，以确定投标人是否具备投标资格。</w:t>
      </w:r>
    </w:p>
    <w:p w14:paraId="776FEC2F">
      <w:pPr>
        <w:autoSpaceDE w:val="0"/>
        <w:autoSpaceDN w:val="0"/>
        <w:adjustRightInd w:val="0"/>
        <w:spacing w:line="360" w:lineRule="auto"/>
        <w:ind w:left="330" w:leftChars="-100" w:hanging="540"/>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2</w:t>
      </w:r>
      <w:r>
        <w:rPr>
          <w:rFonts w:hint="eastAsia" w:ascii="宋体" w:hAnsi="宋体" w:eastAsia="宋体" w:cs="宋体"/>
          <w:b/>
          <w:color w:val="auto"/>
          <w:szCs w:val="21"/>
          <w:highlight w:val="none"/>
        </w:rPr>
        <w:t>7</w:t>
      </w:r>
      <w:r>
        <w:rPr>
          <w:rFonts w:hint="eastAsia" w:ascii="宋体" w:hAnsi="宋体" w:eastAsia="宋体" w:cs="宋体"/>
          <w:b/>
          <w:color w:val="auto"/>
          <w:szCs w:val="21"/>
          <w:highlight w:val="none"/>
          <w:lang w:val="zh-CN"/>
        </w:rPr>
        <w:t>.2 符合性检查：依据招标文件的规定，从投标文件的有效性、完整性和对招标文件的响应程度进行审查，以确定是否对招标文件的实质性要求作出响应。</w:t>
      </w:r>
    </w:p>
    <w:p w14:paraId="2DDF0743">
      <w:pPr>
        <w:autoSpaceDE w:val="0"/>
        <w:autoSpaceDN w:val="0"/>
        <w:adjustRightInd w:val="0"/>
        <w:spacing w:line="360" w:lineRule="auto"/>
        <w:ind w:left="330" w:leftChars="-100" w:hanging="540"/>
        <w:rPr>
          <w:rFonts w:hint="eastAsia" w:ascii="宋体" w:hAnsi="宋体" w:eastAsia="宋体" w:cs="宋体"/>
          <w:b/>
          <w:color w:val="auto"/>
          <w:szCs w:val="21"/>
          <w:highlight w:val="none"/>
          <w:lang w:val="zh-CN"/>
        </w:rPr>
      </w:pPr>
    </w:p>
    <w:p w14:paraId="4D3467E6">
      <w:pPr>
        <w:tabs>
          <w:tab w:val="left" w:pos="525"/>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293" w:name="_Toc4837"/>
      <w:bookmarkStart w:id="294" w:name="_Toc14701"/>
      <w:bookmarkStart w:id="295" w:name="_Toc338_WPSOffice_Level3"/>
      <w:bookmarkStart w:id="296" w:name="_Toc450662877"/>
      <w:bookmarkStart w:id="297" w:name="_Toc195714248"/>
      <w:bookmarkStart w:id="298" w:name="_Toc142508342"/>
      <w:bookmarkStart w:id="299" w:name="_Toc486167692"/>
      <w:bookmarkStart w:id="300" w:name="_Toc6362"/>
      <w:bookmarkStart w:id="301" w:name="_Toc30225"/>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 xml:space="preserve"> 投标文件的澄清</w:t>
      </w:r>
      <w:bookmarkEnd w:id="293"/>
      <w:bookmarkEnd w:id="294"/>
      <w:bookmarkEnd w:id="295"/>
      <w:bookmarkEnd w:id="296"/>
      <w:bookmarkEnd w:id="297"/>
      <w:bookmarkEnd w:id="298"/>
      <w:bookmarkEnd w:id="299"/>
      <w:bookmarkEnd w:id="300"/>
      <w:bookmarkEnd w:id="301"/>
    </w:p>
    <w:p w14:paraId="369CBBDC">
      <w:pPr>
        <w:autoSpaceDE w:val="0"/>
        <w:autoSpaceDN w:val="0"/>
        <w:adjustRightInd w:val="0"/>
        <w:spacing w:line="360" w:lineRule="auto"/>
        <w:ind w:left="315" w:leftChars="-100" w:hanging="525" w:hangingChars="2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.1 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14:paraId="6182122A">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bookmarkStart w:id="302" w:name="_Toc450662879"/>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val="zh-CN"/>
        </w:rPr>
        <w:t xml:space="preserve">.2 </w:t>
      </w:r>
      <w:r>
        <w:rPr>
          <w:rFonts w:hint="eastAsia" w:ascii="宋体" w:hAnsi="宋体" w:eastAsia="宋体" w:cs="宋体"/>
          <w:color w:val="auto"/>
          <w:szCs w:val="21"/>
          <w:highlight w:val="none"/>
        </w:rPr>
        <w:t>开标当天</w:t>
      </w:r>
      <w:r>
        <w:rPr>
          <w:rFonts w:hint="eastAsia" w:ascii="宋体" w:hAnsi="宋体" w:eastAsia="宋体" w:cs="宋体"/>
          <w:color w:val="auto"/>
          <w:szCs w:val="21"/>
          <w:highlight w:val="none"/>
          <w:lang w:val="zh-CN"/>
        </w:rPr>
        <w:t>，投标人法定代表人或法定代表人授权书列明的被授权人的联系电话应保持开机状态，以便在评标期间，评标委员会要求投标人对投标文件进行澄清时能够收到有关通知，否则视为投标人放弃澄清的权利，对评标委员会就该项内容的评审意见无异议。因此温馨提示各投标人：编制投标文件时，请认真填写本项目递交投标文件时法定代表人或法定代表人授权书列明的被授权人的联系电话，如招标文件</w:t>
      </w:r>
      <w:r>
        <w:rPr>
          <w:rFonts w:hint="eastAsia" w:ascii="宋体" w:hAnsi="宋体" w:eastAsia="宋体" w:cs="宋体"/>
          <w:color w:val="auto"/>
          <w:szCs w:val="21"/>
          <w:highlight w:val="none"/>
          <w:lang w:val="en-US" w:eastAsia="zh-CN"/>
        </w:rPr>
        <w:t>第六篇</w:t>
      </w:r>
      <w:r>
        <w:rPr>
          <w:rFonts w:hint="eastAsia" w:ascii="宋体" w:hAnsi="宋体" w:eastAsia="宋体" w:cs="宋体"/>
          <w:color w:val="auto"/>
          <w:szCs w:val="21"/>
          <w:highlight w:val="none"/>
          <w:lang w:val="zh-CN"/>
        </w:rPr>
        <w:t>投标文件格式“投标函”</w:t>
      </w:r>
      <w:r>
        <w:rPr>
          <w:rFonts w:hint="eastAsia" w:ascii="宋体" w:hAnsi="宋体" w:eastAsia="宋体" w:cs="宋体"/>
          <w:color w:val="auto"/>
          <w:szCs w:val="21"/>
          <w:highlight w:val="none"/>
          <w:lang w:val="en-US" w:eastAsia="zh-CN"/>
        </w:rPr>
        <w:t>和“法定代表人授权书”</w:t>
      </w:r>
      <w:r>
        <w:rPr>
          <w:rFonts w:hint="eastAsia" w:ascii="宋体" w:hAnsi="宋体" w:eastAsia="宋体" w:cs="宋体"/>
          <w:color w:val="auto"/>
          <w:szCs w:val="21"/>
          <w:highlight w:val="none"/>
          <w:lang w:val="zh-CN"/>
        </w:rPr>
        <w:t>中的</w:t>
      </w:r>
      <w:r>
        <w:rPr>
          <w:rFonts w:hint="eastAsia" w:ascii="宋体" w:hAnsi="宋体" w:eastAsia="宋体" w:cs="宋体"/>
          <w:color w:val="auto"/>
          <w:szCs w:val="21"/>
          <w:highlight w:val="none"/>
          <w:lang w:val="en-US" w:eastAsia="zh-CN"/>
        </w:rPr>
        <w:t>联系方式及电子邮箱</w:t>
      </w:r>
      <w:r>
        <w:rPr>
          <w:rFonts w:hint="eastAsia" w:ascii="宋体" w:hAnsi="宋体" w:eastAsia="宋体" w:cs="宋体"/>
          <w:color w:val="auto"/>
          <w:szCs w:val="21"/>
          <w:highlight w:val="none"/>
          <w:lang w:val="zh-CN"/>
        </w:rPr>
        <w:t>，以便能及时收到澄清通知。</w:t>
      </w:r>
    </w:p>
    <w:p w14:paraId="1B0CFADE">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p>
    <w:bookmarkEnd w:id="302"/>
    <w:p w14:paraId="783ADEBE">
      <w:pPr>
        <w:tabs>
          <w:tab w:val="left" w:pos="525"/>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03" w:name="_Toc6675"/>
      <w:bookmarkStart w:id="304" w:name="_Toc195714249"/>
      <w:bookmarkStart w:id="305" w:name="_Toc10292"/>
      <w:bookmarkStart w:id="306" w:name="_Toc142508343"/>
      <w:bookmarkStart w:id="307" w:name="_Toc522047355"/>
      <w:bookmarkStart w:id="308" w:name="_Toc22065"/>
      <w:bookmarkStart w:id="309" w:name="_Toc521918096"/>
      <w:bookmarkStart w:id="310" w:name="_Toc18368_WPSOffice_Level3"/>
      <w:bookmarkStart w:id="311" w:name="_Toc10967"/>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 xml:space="preserve"> 对投标文件的比较和评价</w:t>
      </w:r>
      <w:bookmarkEnd w:id="303"/>
      <w:bookmarkEnd w:id="304"/>
      <w:bookmarkEnd w:id="305"/>
      <w:bookmarkEnd w:id="306"/>
      <w:bookmarkEnd w:id="307"/>
      <w:bookmarkEnd w:id="308"/>
      <w:bookmarkEnd w:id="309"/>
      <w:bookmarkEnd w:id="310"/>
      <w:bookmarkEnd w:id="311"/>
    </w:p>
    <w:p w14:paraId="1B0E801A">
      <w:pPr>
        <w:tabs>
          <w:tab w:val="left" w:pos="540"/>
        </w:tabs>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评标委员会将对资格性检查和符合性检查合格的投标文件进行比较和评价，包括商务、技术</w:t>
      </w:r>
      <w:r>
        <w:rPr>
          <w:rFonts w:hint="eastAsia" w:ascii="宋体" w:hAnsi="宋体" w:eastAsia="宋体" w:cs="宋体"/>
          <w:color w:val="000000" w:themeColor="text1"/>
          <w:szCs w:val="21"/>
          <w:highlight w:val="none"/>
          <w:lang w:val="zh-CN"/>
          <w14:textFill>
            <w14:solidFill>
              <w14:schemeClr w14:val="tx1"/>
            </w14:solidFill>
          </w14:textFill>
        </w:rPr>
        <w:t>、价格</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lang w:val="zh-CN"/>
        </w:rPr>
        <w:t>详细评审。</w:t>
      </w:r>
    </w:p>
    <w:p w14:paraId="3761B72F">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对投标文件商务的评审详见评标工作大纲。</w:t>
      </w:r>
    </w:p>
    <w:p w14:paraId="417E4A26">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对投标文件技术的评审详见评标工作大纲。</w:t>
      </w:r>
    </w:p>
    <w:p w14:paraId="26AA9B4A">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29.4 </w:t>
      </w:r>
      <w:r>
        <w:rPr>
          <w:rFonts w:hint="eastAsia" w:ascii="宋体" w:hAnsi="宋体" w:eastAsia="宋体" w:cs="宋体"/>
          <w:color w:val="000000" w:themeColor="text1"/>
          <w:szCs w:val="21"/>
          <w:highlight w:val="none"/>
          <w:lang w:val="zh-CN"/>
          <w14:textFill>
            <w14:solidFill>
              <w14:schemeClr w14:val="tx1"/>
            </w14:solidFill>
          </w14:textFill>
        </w:rPr>
        <w:t>对投标价格的评审详见评标工作大纲。</w:t>
      </w:r>
    </w:p>
    <w:p w14:paraId="6640B76C">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本次评标的评分权重详见评标工作大纲。</w:t>
      </w:r>
    </w:p>
    <w:p w14:paraId="43134497">
      <w:pPr>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根据</w:t>
      </w:r>
      <w:r>
        <w:rPr>
          <w:rFonts w:hint="eastAsia" w:ascii="宋体" w:hAnsi="宋体" w:eastAsia="宋体" w:cs="宋体"/>
          <w:color w:val="000000" w:themeColor="text1"/>
          <w:szCs w:val="21"/>
          <w:highlight w:val="none"/>
          <w:lang w:val="zh-CN"/>
          <w14:textFill>
            <w14:solidFill>
              <w14:schemeClr w14:val="tx1"/>
            </w14:solidFill>
          </w14:textFill>
        </w:rPr>
        <w:t>上述商务、技术及价格综合评价的权重分配计算出各投标人的综合得分</w:t>
      </w:r>
      <w:r>
        <w:rPr>
          <w:rFonts w:hint="eastAsia" w:ascii="宋体" w:hAnsi="宋体" w:eastAsia="宋体" w:cs="宋体"/>
          <w:color w:val="auto"/>
          <w:szCs w:val="21"/>
          <w:highlight w:val="none"/>
          <w:lang w:val="zh-CN"/>
        </w:rPr>
        <w:t>。</w:t>
      </w:r>
    </w:p>
    <w:p w14:paraId="0389D64F">
      <w:pPr>
        <w:tabs>
          <w:tab w:val="left" w:pos="567"/>
        </w:tabs>
        <w:autoSpaceDE w:val="0"/>
        <w:autoSpaceDN w:val="0"/>
        <w:adjustRightInd w:val="0"/>
        <w:spacing w:line="360" w:lineRule="auto"/>
        <w:ind w:left="357" w:leftChars="-100" w:hanging="567"/>
        <w:jc w:val="left"/>
        <w:rPr>
          <w:rFonts w:hint="eastAsia" w:ascii="宋体" w:hAnsi="宋体" w:eastAsia="宋体" w:cs="宋体"/>
          <w:color w:val="auto"/>
          <w:szCs w:val="21"/>
          <w:highlight w:val="none"/>
          <w:lang w:val="zh-CN"/>
        </w:rPr>
      </w:pPr>
      <w:bookmarkStart w:id="312" w:name="_Toc522047356"/>
      <w:bookmarkStart w:id="313" w:name="_Toc521918097"/>
    </w:p>
    <w:p w14:paraId="097717CA">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14" w:name="_Toc27026"/>
      <w:bookmarkStart w:id="315" w:name="_Toc142508344"/>
      <w:bookmarkStart w:id="316" w:name="_Toc195714250"/>
      <w:bookmarkStart w:id="317" w:name="_Toc14804"/>
      <w:bookmarkStart w:id="318" w:name="_Toc16591"/>
      <w:bookmarkStart w:id="319" w:name="_Toc18614"/>
      <w:bookmarkStart w:id="320" w:name="_Toc21460_WPSOffice_Level3"/>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 xml:space="preserve"> 评标原则及方法</w:t>
      </w:r>
      <w:bookmarkEnd w:id="312"/>
      <w:bookmarkEnd w:id="313"/>
      <w:bookmarkEnd w:id="314"/>
      <w:bookmarkEnd w:id="315"/>
      <w:bookmarkEnd w:id="316"/>
      <w:bookmarkEnd w:id="317"/>
      <w:bookmarkEnd w:id="318"/>
      <w:bookmarkEnd w:id="319"/>
      <w:bookmarkEnd w:id="320"/>
    </w:p>
    <w:p w14:paraId="67048780">
      <w:pPr>
        <w:tabs>
          <w:tab w:val="left" w:pos="567"/>
        </w:tabs>
        <w:autoSpaceDE w:val="0"/>
        <w:autoSpaceDN w:val="0"/>
        <w:adjustRightInd w:val="0"/>
        <w:spacing w:line="360" w:lineRule="auto"/>
        <w:ind w:left="357" w:leftChars="-100" w:hanging="567"/>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对所有投标文件的评审，都采用相同的程序和标准。按步骤先进行初步评审，再进行商务、技术评审。</w:t>
      </w:r>
    </w:p>
    <w:p w14:paraId="3BB0AFDF">
      <w:pPr>
        <w:tabs>
          <w:tab w:val="left" w:pos="360"/>
        </w:tabs>
        <w:autoSpaceDE w:val="0"/>
        <w:autoSpaceDN w:val="0"/>
        <w:adjustRightInd w:val="0"/>
        <w:spacing w:line="360" w:lineRule="auto"/>
        <w:ind w:left="330" w:leftChars="-100" w:right="44" w:rightChars="21" w:hanging="540"/>
        <w:outlineLvl w:val="1"/>
        <w:rPr>
          <w:rFonts w:hint="eastAsia" w:ascii="宋体" w:hAnsi="宋体" w:eastAsia="宋体" w:cs="宋体"/>
          <w:color w:val="auto"/>
          <w:szCs w:val="21"/>
          <w:highlight w:val="none"/>
          <w:lang w:val="zh-CN"/>
        </w:rPr>
      </w:pPr>
      <w:bookmarkStart w:id="321" w:name="_Toc4225"/>
      <w:r>
        <w:rPr>
          <w:rFonts w:hint="eastAsia" w:ascii="宋体" w:hAnsi="宋体" w:eastAsia="宋体" w:cs="宋体"/>
          <w:color w:val="auto"/>
          <w:szCs w:val="21"/>
          <w:highlight w:val="none"/>
        </w:rPr>
        <w:t>30</w:t>
      </w:r>
      <w:r>
        <w:rPr>
          <w:rFonts w:hint="eastAsia" w:ascii="宋体" w:hAnsi="宋体" w:eastAsia="宋体" w:cs="宋体"/>
          <w:color w:val="auto"/>
          <w:szCs w:val="21"/>
          <w:highlight w:val="none"/>
          <w:lang w:val="zh-CN"/>
        </w:rPr>
        <w:t>.2 评标严格按照招标文件的要求和条件进行。</w:t>
      </w:r>
      <w:bookmarkEnd w:id="321"/>
    </w:p>
    <w:p w14:paraId="4C03DDB2">
      <w:pPr>
        <w:tabs>
          <w:tab w:val="left" w:pos="360"/>
        </w:tabs>
        <w:autoSpaceDE w:val="0"/>
        <w:autoSpaceDN w:val="0"/>
        <w:adjustRightInd w:val="0"/>
        <w:spacing w:line="360" w:lineRule="auto"/>
        <w:ind w:left="330" w:leftChars="-100" w:right="44" w:rightChars="21"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在评标时将根据第</w:t>
      </w:r>
      <w:r>
        <w:rPr>
          <w:rFonts w:hint="eastAsia" w:ascii="宋体" w:hAnsi="宋体" w:eastAsia="宋体" w:cs="宋体"/>
          <w:color w:val="auto"/>
          <w:szCs w:val="21"/>
          <w:highlight w:val="none"/>
        </w:rPr>
        <w:t>29</w:t>
      </w:r>
      <w:r>
        <w:rPr>
          <w:rFonts w:hint="eastAsia" w:ascii="宋体" w:hAnsi="宋体" w:eastAsia="宋体" w:cs="宋体"/>
          <w:color w:val="auto"/>
          <w:szCs w:val="21"/>
          <w:highlight w:val="none"/>
          <w:lang w:val="zh-CN"/>
        </w:rPr>
        <w:t>条，采用综合评分法的评审方法，对所有实质响应性投标文件进行综合打分。</w:t>
      </w:r>
    </w:p>
    <w:p w14:paraId="7D4FF72D">
      <w:pPr>
        <w:tabs>
          <w:tab w:val="left" w:pos="360"/>
        </w:tabs>
        <w:autoSpaceDE w:val="0"/>
        <w:autoSpaceDN w:val="0"/>
        <w:adjustRightInd w:val="0"/>
        <w:spacing w:line="360" w:lineRule="auto"/>
        <w:ind w:left="330" w:leftChars="-100" w:right="44" w:rightChars="21" w:hanging="540"/>
        <w:rPr>
          <w:rFonts w:hint="eastAsia" w:ascii="宋体" w:hAnsi="宋体" w:eastAsia="宋体" w:cs="宋体"/>
          <w:b/>
          <w:bCs/>
          <w:color w:val="auto"/>
          <w:szCs w:val="21"/>
          <w:highlight w:val="none"/>
          <w:lang w:val="zh-CN"/>
        </w:rPr>
      </w:pPr>
      <w:r>
        <w:rPr>
          <w:rFonts w:hint="eastAsia" w:ascii="宋体" w:hAnsi="宋体" w:eastAsia="宋体" w:cs="宋体"/>
          <w:b/>
          <w:bCs/>
          <w:color w:val="auto"/>
          <w:szCs w:val="21"/>
          <w:highlight w:val="none"/>
        </w:rPr>
        <w:t>30</w:t>
      </w:r>
      <w:r>
        <w:rPr>
          <w:rFonts w:hint="eastAsia" w:ascii="宋体" w:hAnsi="宋体" w:eastAsia="宋体" w:cs="宋体"/>
          <w:b/>
          <w:bCs/>
          <w:color w:val="auto"/>
          <w:szCs w:val="21"/>
          <w:highlight w:val="none"/>
          <w:lang w:val="zh-CN"/>
        </w:rPr>
        <w:t>.3 若本次招标过程中有效投标人不足三个时，公开招标失败，并由评标委员会论证，招标文件是否没有不合理条款、招标程序是否符合规定</w:t>
      </w:r>
      <w:r>
        <w:rPr>
          <w:rFonts w:hint="eastAsia" w:ascii="宋体" w:hAnsi="宋体" w:eastAsia="宋体" w:cs="宋体"/>
          <w:b/>
          <w:bCs/>
          <w:color w:val="auto"/>
          <w:szCs w:val="21"/>
          <w:highlight w:val="none"/>
        </w:rPr>
        <w:t>。</w:t>
      </w:r>
    </w:p>
    <w:p w14:paraId="5C9A941D">
      <w:pPr>
        <w:tabs>
          <w:tab w:val="left" w:pos="360"/>
        </w:tabs>
        <w:autoSpaceDE w:val="0"/>
        <w:autoSpaceDN w:val="0"/>
        <w:adjustRightInd w:val="0"/>
        <w:spacing w:line="360" w:lineRule="auto"/>
        <w:ind w:left="330" w:leftChars="-100" w:right="44" w:rightChars="21" w:hanging="540"/>
        <w:rPr>
          <w:rFonts w:hint="eastAsia" w:ascii="宋体" w:hAnsi="宋体" w:eastAsia="宋体" w:cs="宋体"/>
          <w:color w:val="auto"/>
          <w:szCs w:val="21"/>
          <w:highlight w:val="none"/>
          <w:lang w:val="zh-CN"/>
        </w:rPr>
      </w:pPr>
    </w:p>
    <w:p w14:paraId="4DA55800">
      <w:pPr>
        <w:tabs>
          <w:tab w:val="left" w:pos="525"/>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22" w:name="_Toc4819"/>
      <w:bookmarkStart w:id="323" w:name="_Toc465358969"/>
      <w:bookmarkStart w:id="324" w:name="_Toc15217"/>
      <w:bookmarkStart w:id="325" w:name="_Toc32498_WPSOffice_Level3"/>
      <w:bookmarkStart w:id="326" w:name="_Toc486167694"/>
      <w:bookmarkStart w:id="327" w:name="_Toc15343"/>
      <w:bookmarkStart w:id="328" w:name="_Toc142508345"/>
      <w:bookmarkStart w:id="329" w:name="_Toc11615"/>
      <w:bookmarkStart w:id="330" w:name="_Toc466882017"/>
      <w:bookmarkStart w:id="331" w:name="_Toc195714251"/>
      <w:r>
        <w:rPr>
          <w:rFonts w:hint="eastAsia" w:ascii="宋体" w:hAnsi="宋体" w:eastAsia="宋体" w:cs="宋体"/>
          <w:color w:val="auto"/>
          <w:szCs w:val="21"/>
          <w:highlight w:val="none"/>
        </w:rPr>
        <w:t xml:space="preserve">31 </w:t>
      </w:r>
      <w:r>
        <w:rPr>
          <w:rFonts w:hint="eastAsia" w:ascii="宋体" w:hAnsi="宋体" w:eastAsia="宋体" w:cs="宋体"/>
          <w:color w:val="auto"/>
          <w:szCs w:val="21"/>
          <w:highlight w:val="none"/>
          <w:lang w:val="zh-CN"/>
        </w:rPr>
        <w:t>评标结果公示及异议、投诉</w:t>
      </w:r>
      <w:bookmarkEnd w:id="322"/>
      <w:bookmarkEnd w:id="323"/>
      <w:bookmarkEnd w:id="324"/>
      <w:bookmarkEnd w:id="325"/>
      <w:bookmarkEnd w:id="326"/>
      <w:bookmarkEnd w:id="327"/>
      <w:bookmarkEnd w:id="328"/>
      <w:bookmarkEnd w:id="329"/>
      <w:bookmarkEnd w:id="330"/>
      <w:bookmarkEnd w:id="331"/>
    </w:p>
    <w:p w14:paraId="685D1A81">
      <w:pPr>
        <w:tabs>
          <w:tab w:val="left" w:pos="360"/>
        </w:tabs>
        <w:autoSpaceDE w:val="0"/>
        <w:autoSpaceDN w:val="0"/>
        <w:adjustRightInd w:val="0"/>
        <w:spacing w:line="360" w:lineRule="auto"/>
        <w:ind w:left="330" w:leftChars="-100" w:right="44" w:rightChars="21"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.1 招标代理机构在招标公告发布媒介公示中标候选人，公示期不得少于3日（最后一日是节假日或公休日的，应顺延到节假日或公休日后第一个工作日）。投标人或者其他利害关系人对评标结果有异议的，应当在</w:t>
      </w:r>
      <w:r>
        <w:rPr>
          <w:rFonts w:hint="eastAsia" w:ascii="宋体" w:hAnsi="宋体" w:eastAsia="宋体" w:cs="宋体"/>
          <w:color w:val="auto"/>
          <w:szCs w:val="21"/>
          <w:highlight w:val="none"/>
        </w:rPr>
        <w:t>评标结果</w:t>
      </w:r>
      <w:r>
        <w:rPr>
          <w:rFonts w:hint="eastAsia" w:ascii="宋体" w:hAnsi="宋体" w:eastAsia="宋体" w:cs="宋体"/>
          <w:color w:val="auto"/>
          <w:szCs w:val="21"/>
          <w:highlight w:val="none"/>
          <w:lang w:val="zh-CN"/>
        </w:rPr>
        <w:t>公示期间向招标代理机构以书面的形式提出，并将完整的异议书面材料原件送达招标代理机构，逾期则视为对评标结果无异议。超出提交异议截止时间而提出的任何疑问，招标代理机构可不予答复。</w:t>
      </w:r>
    </w:p>
    <w:p w14:paraId="0CE3EF0A">
      <w:pPr>
        <w:autoSpaceDE w:val="0"/>
        <w:autoSpaceDN w:val="0"/>
        <w:adjustRightInd w:val="0"/>
        <w:snapToGrid w:val="0"/>
        <w:spacing w:line="360" w:lineRule="auto"/>
        <w:ind w:left="210" w:leftChars="100" w:firstLine="525" w:firstLineChars="250"/>
        <w:jc w:val="left"/>
        <w:rPr>
          <w:rFonts w:hint="eastAsia" w:ascii="宋体" w:hAnsi="宋体" w:eastAsia="宋体" w:cs="宋体"/>
          <w:color w:val="auto"/>
          <w:kern w:val="0"/>
          <w:szCs w:val="21"/>
          <w:highlight w:val="none"/>
          <w:lang w:val="zh-CN"/>
        </w:rPr>
      </w:pPr>
      <w:r>
        <w:rPr>
          <w:rFonts w:hint="eastAsia" w:ascii="宋体" w:hAnsi="宋体" w:eastAsia="宋体" w:cs="宋体"/>
          <w:color w:val="auto"/>
          <w:szCs w:val="21"/>
          <w:highlight w:val="none"/>
          <w:lang w:val="zh-CN"/>
        </w:rPr>
        <w:t>招标代理机构将拒收未能提供完整异议书面材料的异议，完整的异议书面材料必须同时包含：异议书（加盖法人公章，并注明联系人、联系电话、联系地址）、授权提交异议的法定代表人授权书原件、反映异议人主体资格的营业执照扫描件（加盖法人公章）、以及合法来源的证据证明材料</w:t>
      </w:r>
      <w:r>
        <w:rPr>
          <w:rFonts w:hint="eastAsia" w:ascii="宋体" w:hAnsi="宋体" w:eastAsia="宋体" w:cs="宋体"/>
          <w:color w:val="auto"/>
          <w:kern w:val="0"/>
          <w:szCs w:val="21"/>
          <w:highlight w:val="none"/>
          <w:lang w:val="zh-CN"/>
        </w:rPr>
        <w:t>。</w:t>
      </w:r>
    </w:p>
    <w:p w14:paraId="0E78CE87">
      <w:pPr>
        <w:autoSpaceDE w:val="0"/>
        <w:autoSpaceDN w:val="0"/>
        <w:adjustRightInd w:val="0"/>
        <w:spacing w:line="360" w:lineRule="auto"/>
        <w:ind w:left="284" w:hanging="568"/>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rPr>
        <w:t xml:space="preserve">31.2 </w:t>
      </w:r>
      <w:r>
        <w:rPr>
          <w:rFonts w:hint="eastAsia" w:ascii="宋体" w:hAnsi="宋体" w:eastAsia="宋体" w:cs="宋体"/>
          <w:b/>
          <w:color w:val="auto"/>
          <w:szCs w:val="21"/>
          <w:highlight w:val="none"/>
          <w:lang w:val="zh-CN"/>
        </w:rPr>
        <w:t>结果公示后，招标人有权要求中标候选人在结果公示之日起3日（最后一日是节假日或公休日的，应顺延到节假日或公休日后第一个工作日）内提交投标文件中所提供的资格证明文件、业绩证明文件、对招标文件实质性条款响应文件、履约能力证明文件的原件供招标人核查。招标人如有需要，中标候选人有义务提供投标文件外其他相关证明资料原件（包括但不限于业绩合同对应的发票等）供招标人核查。招标人如发现投标人提供虚假证明文件、虚假响应文件等弄虚作假行为骗取中标的，招标人将取消其中标资格，不予退还其投标保证金。涉嫌违法犯罪的，将移交司法机关处理。</w:t>
      </w:r>
    </w:p>
    <w:p w14:paraId="054C3C4E">
      <w:pPr>
        <w:autoSpaceDE w:val="0"/>
        <w:autoSpaceDN w:val="0"/>
        <w:adjustRightInd w:val="0"/>
        <w:snapToGrid w:val="0"/>
        <w:spacing w:line="360" w:lineRule="auto"/>
        <w:ind w:left="246" w:leftChars="117" w:firstLine="422" w:firstLineChars="200"/>
        <w:jc w:val="left"/>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当招标人（或其委托的招标代理机构）向中标候选人发出提供上述投标文件或投标文件外其他相关（包括但不限于业绩合同对应的发票等）的证明资料原件进行核查的书面通知后，</w:t>
      </w:r>
      <w:r>
        <w:rPr>
          <w:rFonts w:hint="eastAsia" w:ascii="宋体" w:hAnsi="宋体" w:eastAsia="宋体" w:cs="宋体"/>
          <w:b/>
          <w:color w:val="auto"/>
          <w:kern w:val="0"/>
          <w:szCs w:val="21"/>
          <w:highlight w:val="none"/>
        </w:rPr>
        <w:t>第一中标候选人未能在招标人（或其委托的招标代理机构)书面要求的时间(一般不少于三个工作日)内提供完整的材料原件进行核查的</w:t>
      </w:r>
      <w:r>
        <w:rPr>
          <w:rFonts w:hint="eastAsia" w:ascii="宋体" w:hAnsi="宋体" w:eastAsia="宋体" w:cs="宋体"/>
          <w:b/>
          <w:color w:val="auto"/>
          <w:szCs w:val="21"/>
          <w:highlight w:val="none"/>
          <w:lang w:val="zh-CN"/>
        </w:rPr>
        <w:t>，视为其无法提供真实的资料，招标人有权取消其中标候选人资格。</w:t>
      </w:r>
    </w:p>
    <w:p w14:paraId="4B5ADD9F">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.3 投标人或者其他利害关系人认为招标投标活动不符合法律、行政法规规定的，可以自知道或者应当知道之日起10日内，按程序向招标人采购活动的监督部门投诉。投诉应当提供纸质投诉书及必要的证明材料。投诉书应当包括下列内容：</w:t>
      </w:r>
    </w:p>
    <w:p w14:paraId="04FE1256">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（一）投诉人和被投诉人的姓名或者名称、通讯地址、邮编、联系人及联系电话；</w:t>
      </w:r>
    </w:p>
    <w:p w14:paraId="6FCAF7C8">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（二）异议和异议答复情况说明及相关证明材料；</w:t>
      </w:r>
    </w:p>
    <w:p w14:paraId="593752DE">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（三）具体、明确的投诉事项和与投诉事项相关的投诉请求；</w:t>
      </w:r>
    </w:p>
    <w:p w14:paraId="54B41FD9">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（四）事实依据；</w:t>
      </w:r>
    </w:p>
    <w:p w14:paraId="45153CF0">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（五）法律依据；</w:t>
      </w:r>
    </w:p>
    <w:p w14:paraId="3A87266C">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（六）提起投诉的日期。</w:t>
      </w:r>
    </w:p>
    <w:p w14:paraId="060E71EE">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投诉人为法人或者其他组织的，应当由法定代表人、主要负责人，或者其授权代表签字或者盖章，并加盖公章。</w:t>
      </w:r>
    </w:p>
    <w:p w14:paraId="0E33A2DE">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投诉人投诉的事项不得超出已异议事项的范围，但基于异议答复内容提出的投诉事项除外。</w:t>
      </w:r>
    </w:p>
    <w:p w14:paraId="74E6DC2D">
      <w:pPr>
        <w:autoSpaceDE w:val="0"/>
        <w:autoSpaceDN w:val="0"/>
        <w:adjustRightInd w:val="0"/>
        <w:snapToGrid w:val="0"/>
        <w:spacing w:line="360" w:lineRule="auto"/>
        <w:ind w:left="319" w:leftChars="-100" w:hanging="529" w:hangingChars="252"/>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 xml:space="preserve">     监督部门：东莞市水务环境投资控股集团有限公司，联系人：莫先生，联系电话：0769-28823251。</w:t>
      </w:r>
    </w:p>
    <w:p w14:paraId="01CA372E">
      <w:pPr>
        <w:autoSpaceDE w:val="0"/>
        <w:autoSpaceDN w:val="0"/>
        <w:adjustRightInd w:val="0"/>
        <w:snapToGrid w:val="0"/>
        <w:spacing w:line="360" w:lineRule="auto"/>
        <w:ind w:left="296" w:leftChars="100" w:hanging="86" w:hangingChars="41"/>
        <w:jc w:val="left"/>
        <w:rPr>
          <w:rFonts w:hint="eastAsia" w:ascii="宋体" w:hAnsi="宋体" w:eastAsia="宋体" w:cs="宋体"/>
          <w:color w:val="auto"/>
          <w:szCs w:val="21"/>
          <w:highlight w:val="none"/>
          <w:lang w:val="zh-CN"/>
        </w:rPr>
      </w:pPr>
    </w:p>
    <w:p w14:paraId="7810635E">
      <w:pPr>
        <w:tabs>
          <w:tab w:val="left" w:pos="567"/>
        </w:tabs>
        <w:autoSpaceDE w:val="0"/>
        <w:autoSpaceDN w:val="0"/>
        <w:adjustRightInd w:val="0"/>
        <w:spacing w:line="360" w:lineRule="auto"/>
        <w:ind w:left="288" w:leftChars="-100" w:hanging="498" w:hangingChars="236"/>
        <w:outlineLvl w:val="0"/>
        <w:rPr>
          <w:rFonts w:hint="eastAsia" w:ascii="宋体" w:hAnsi="宋体" w:eastAsia="宋体" w:cs="宋体"/>
          <w:b/>
          <w:color w:val="auto"/>
          <w:szCs w:val="21"/>
          <w:highlight w:val="none"/>
          <w:lang w:val="zh-CN"/>
        </w:rPr>
      </w:pPr>
      <w:bookmarkStart w:id="332" w:name="_Toc26354"/>
      <w:bookmarkStart w:id="333" w:name="_Toc1848_WPSOffice_Level3"/>
      <w:bookmarkStart w:id="334" w:name="_Toc465358970"/>
      <w:bookmarkStart w:id="335" w:name="_Toc142508346"/>
      <w:bookmarkStart w:id="336" w:name="_Toc195714252"/>
      <w:bookmarkStart w:id="337" w:name="_Toc486167695"/>
      <w:bookmarkStart w:id="338" w:name="_Toc466882018"/>
      <w:bookmarkStart w:id="339" w:name="_Toc3154"/>
      <w:bookmarkStart w:id="340" w:name="_Toc26283"/>
      <w:bookmarkStart w:id="341" w:name="_Toc30599"/>
      <w:r>
        <w:rPr>
          <w:rFonts w:hint="eastAsia" w:ascii="宋体" w:hAnsi="宋体" w:eastAsia="宋体" w:cs="宋体"/>
          <w:b/>
          <w:color w:val="auto"/>
          <w:szCs w:val="21"/>
          <w:highlight w:val="none"/>
        </w:rPr>
        <w:t>32</w:t>
      </w:r>
      <w:r>
        <w:rPr>
          <w:rFonts w:hint="eastAsia" w:ascii="宋体" w:hAnsi="宋体" w:eastAsia="宋体" w:cs="宋体"/>
          <w:b/>
          <w:color w:val="auto"/>
          <w:szCs w:val="21"/>
          <w:highlight w:val="none"/>
          <w:lang w:val="zh-CN"/>
        </w:rPr>
        <w:t xml:space="preserve"> 真实性审查</w:t>
      </w:r>
      <w:bookmarkEnd w:id="332"/>
      <w:bookmarkEnd w:id="333"/>
      <w:bookmarkEnd w:id="334"/>
      <w:bookmarkEnd w:id="335"/>
      <w:bookmarkEnd w:id="336"/>
      <w:bookmarkEnd w:id="337"/>
      <w:bookmarkEnd w:id="338"/>
      <w:bookmarkEnd w:id="339"/>
      <w:bookmarkEnd w:id="340"/>
      <w:bookmarkEnd w:id="341"/>
    </w:p>
    <w:p w14:paraId="25B71A47">
      <w:pPr>
        <w:autoSpaceDE w:val="0"/>
        <w:autoSpaceDN w:val="0"/>
        <w:adjustRightInd w:val="0"/>
        <w:snapToGrid w:val="0"/>
        <w:spacing w:line="360" w:lineRule="auto"/>
        <w:ind w:left="321" w:leftChars="-100" w:hanging="531" w:hangingChars="252"/>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32.1 在</w:t>
      </w:r>
      <w:r>
        <w:rPr>
          <w:rFonts w:hint="eastAsia" w:ascii="宋体" w:hAnsi="宋体" w:eastAsia="宋体" w:cs="宋体"/>
          <w:b/>
          <w:color w:val="auto"/>
          <w:kern w:val="0"/>
          <w:szCs w:val="21"/>
          <w:highlight w:val="none"/>
        </w:rPr>
        <w:t>授予合同前，招标人（或其委托的招标代理机构）、或评标委员会有权组织对投标人的真实性审查。包括对投标人的资格证明文件、业绩证明文件、对招标文件实质性条款响应文件、履约能力证明文件的原件真实性进行核查。招标人</w:t>
      </w:r>
      <w:r>
        <w:rPr>
          <w:rFonts w:hint="eastAsia" w:ascii="宋体" w:hAnsi="宋体" w:eastAsia="宋体" w:cs="宋体"/>
          <w:b/>
          <w:color w:val="auto"/>
          <w:szCs w:val="21"/>
          <w:highlight w:val="none"/>
          <w:lang w:val="zh-CN"/>
        </w:rPr>
        <w:t>如有需要，投标人有义务提供投标文件外其他相关证明资料原件（包括但不限于业绩合同对应的发票等）供招标人核查。</w:t>
      </w:r>
      <w:r>
        <w:rPr>
          <w:rFonts w:hint="eastAsia" w:ascii="宋体" w:hAnsi="宋体" w:eastAsia="宋体" w:cs="宋体"/>
          <w:b/>
          <w:color w:val="auto"/>
          <w:kern w:val="0"/>
          <w:szCs w:val="21"/>
          <w:highlight w:val="none"/>
        </w:rPr>
        <w:t>若发现投标人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7C32922B">
      <w:pPr>
        <w:autoSpaceDE w:val="0"/>
        <w:autoSpaceDN w:val="0"/>
        <w:adjustRightInd w:val="0"/>
        <w:snapToGrid w:val="0"/>
        <w:spacing w:line="360" w:lineRule="auto"/>
        <w:ind w:left="321" w:leftChars="-100" w:hanging="531" w:hangingChars="252"/>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32.2 投标人</w:t>
      </w:r>
      <w:r>
        <w:rPr>
          <w:rFonts w:hint="eastAsia" w:ascii="宋体" w:hAnsi="宋体" w:eastAsia="宋体" w:cs="宋体"/>
          <w:b/>
          <w:color w:val="auto"/>
          <w:kern w:val="0"/>
          <w:szCs w:val="21"/>
          <w:highlight w:val="none"/>
        </w:rPr>
        <w:t>在招标人（或其委托的招标代理机构）、或评标委员会通知其提供</w:t>
      </w:r>
      <w:r>
        <w:rPr>
          <w:rFonts w:hint="eastAsia" w:ascii="宋体" w:hAnsi="宋体" w:eastAsia="宋体" w:cs="宋体"/>
          <w:b/>
          <w:color w:val="auto"/>
          <w:szCs w:val="21"/>
          <w:highlight w:val="none"/>
          <w:lang w:val="zh-CN"/>
        </w:rPr>
        <w:t>上述投标文件或投标文件外其他相关（包括但不限于业绩合同对应的发票等）的证明资料原件</w:t>
      </w:r>
      <w:r>
        <w:rPr>
          <w:rFonts w:hint="eastAsia" w:ascii="宋体" w:hAnsi="宋体" w:eastAsia="宋体" w:cs="宋体"/>
          <w:b/>
          <w:color w:val="auto"/>
          <w:kern w:val="0"/>
          <w:szCs w:val="21"/>
          <w:highlight w:val="none"/>
        </w:rPr>
        <w:t>进行核查的要求后，未能在约定的时间内提供原件进行核查的，视为投标人无法提供真实的资料，招标人有权按照评标委员会提出的中标候选人名单排序依次确定其他中标候选人为中标人或重新招标</w:t>
      </w:r>
      <w:r>
        <w:rPr>
          <w:rFonts w:hint="eastAsia" w:ascii="宋体" w:hAnsi="宋体" w:eastAsia="宋体" w:cs="宋体"/>
          <w:b/>
          <w:color w:val="auto"/>
          <w:szCs w:val="21"/>
          <w:highlight w:val="none"/>
        </w:rPr>
        <w:t>。</w:t>
      </w:r>
    </w:p>
    <w:p w14:paraId="7C1BB9F2">
      <w:pPr>
        <w:autoSpaceDE w:val="0"/>
        <w:autoSpaceDN w:val="0"/>
        <w:adjustRightInd w:val="0"/>
        <w:snapToGrid w:val="0"/>
        <w:spacing w:line="360" w:lineRule="auto"/>
        <w:ind w:left="321" w:leftChars="-100" w:hanging="531" w:hangingChars="252"/>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32.3 若投标人在投标或履约过程中存在提供虚假材料、虚假响应招标文件要求等弄虚作假行为，或未能根据</w:t>
      </w:r>
      <w:r>
        <w:rPr>
          <w:rFonts w:hint="eastAsia" w:ascii="宋体" w:hAnsi="宋体" w:eastAsia="宋体" w:cs="宋体"/>
          <w:b/>
          <w:color w:val="auto"/>
          <w:szCs w:val="21"/>
          <w:highlight w:val="none"/>
          <w:lang w:eastAsia="zh-CN"/>
        </w:rPr>
        <w:t>本须知</w:t>
      </w:r>
      <w:r>
        <w:rPr>
          <w:rFonts w:hint="eastAsia" w:ascii="宋体" w:hAnsi="宋体" w:eastAsia="宋体" w:cs="宋体"/>
          <w:b/>
          <w:color w:val="auto"/>
          <w:szCs w:val="21"/>
          <w:highlight w:val="none"/>
        </w:rPr>
        <w:t>31.2款约定按时提供原件进行核查的，或不按照投标文件承诺履约或</w:t>
      </w:r>
      <w:r>
        <w:rPr>
          <w:rFonts w:hint="eastAsia" w:ascii="宋体" w:hAnsi="宋体" w:eastAsia="宋体" w:cs="宋体"/>
          <w:b/>
          <w:color w:val="auto"/>
          <w:szCs w:val="21"/>
          <w:highlight w:val="none"/>
          <w:lang w:eastAsia="zh-CN"/>
        </w:rPr>
        <w:t>撤</w:t>
      </w:r>
      <w:r>
        <w:rPr>
          <w:rFonts w:hint="eastAsia" w:ascii="宋体" w:hAnsi="宋体" w:eastAsia="宋体" w:cs="宋体"/>
          <w:b/>
          <w:color w:val="auto"/>
          <w:szCs w:val="21"/>
          <w:highlight w:val="none"/>
          <w:lang w:val="en-US" w:eastAsia="zh-CN"/>
        </w:rPr>
        <w:t>回</w:t>
      </w:r>
      <w:r>
        <w:rPr>
          <w:rFonts w:hint="eastAsia" w:ascii="宋体" w:hAnsi="宋体" w:eastAsia="宋体" w:cs="宋体"/>
          <w:b/>
          <w:color w:val="auto"/>
          <w:szCs w:val="21"/>
          <w:highlight w:val="none"/>
        </w:rPr>
        <w:t>投标或放弃中标资格或不按要求与招标人签订合同等影响中标结果的行为，因此导致投标人无法参与</w:t>
      </w:r>
      <w:r>
        <w:rPr>
          <w:rFonts w:hint="eastAsia" w:ascii="宋体" w:hAnsi="宋体" w:eastAsia="宋体" w:cs="宋体"/>
          <w:b/>
          <w:color w:val="auto"/>
          <w:szCs w:val="21"/>
          <w:highlight w:val="none"/>
          <w:lang w:eastAsia="zh-CN"/>
        </w:rPr>
        <w:t>东莞市水务环境投资控股集团有限公司</w:t>
      </w:r>
      <w:r>
        <w:rPr>
          <w:rFonts w:hint="eastAsia" w:ascii="宋体" w:hAnsi="宋体" w:eastAsia="宋体" w:cs="宋体"/>
          <w:b/>
          <w:color w:val="auto"/>
          <w:szCs w:val="21"/>
          <w:highlight w:val="none"/>
        </w:rPr>
        <w:t>相关招标采购等活动的，由投标人自行承担全部后果。</w:t>
      </w:r>
    </w:p>
    <w:p w14:paraId="3E5B7A89">
      <w:pPr>
        <w:autoSpaceDE w:val="0"/>
        <w:autoSpaceDN w:val="0"/>
        <w:adjustRightInd w:val="0"/>
        <w:snapToGrid w:val="0"/>
        <w:spacing w:line="360" w:lineRule="auto"/>
        <w:jc w:val="left"/>
        <w:rPr>
          <w:rFonts w:hint="eastAsia" w:ascii="宋体" w:hAnsi="宋体" w:eastAsia="宋体" w:cs="宋体"/>
          <w:color w:val="auto"/>
          <w:szCs w:val="21"/>
          <w:highlight w:val="none"/>
        </w:rPr>
      </w:pPr>
      <w:bookmarkStart w:id="342" w:name="_Toc466882019"/>
      <w:bookmarkStart w:id="343" w:name="_Toc465358971"/>
    </w:p>
    <w:p w14:paraId="5C501D94">
      <w:pPr>
        <w:tabs>
          <w:tab w:val="left" w:pos="567"/>
        </w:tabs>
        <w:autoSpaceDE w:val="0"/>
        <w:autoSpaceDN w:val="0"/>
        <w:adjustRightInd w:val="0"/>
        <w:spacing w:line="360" w:lineRule="auto"/>
        <w:ind w:left="16" w:leftChars="-59" w:hanging="140" w:hangingChars="67"/>
        <w:outlineLvl w:val="0"/>
        <w:rPr>
          <w:rFonts w:hint="eastAsia" w:ascii="宋体" w:hAnsi="宋体" w:eastAsia="宋体" w:cs="宋体"/>
          <w:color w:val="auto"/>
          <w:szCs w:val="21"/>
          <w:highlight w:val="none"/>
          <w:lang w:val="zh-CN"/>
        </w:rPr>
      </w:pPr>
      <w:bookmarkStart w:id="344" w:name="_Toc23672"/>
      <w:bookmarkStart w:id="345" w:name="_Toc195714253"/>
      <w:bookmarkStart w:id="346" w:name="_Toc6704"/>
      <w:bookmarkStart w:id="347" w:name="_Toc142508347"/>
      <w:bookmarkStart w:id="348" w:name="_Toc8654"/>
      <w:bookmarkStart w:id="349" w:name="_Toc8903"/>
      <w:bookmarkStart w:id="350" w:name="_Toc10867_WPSOffice_Level3"/>
      <w:bookmarkStart w:id="351" w:name="_Toc486167696"/>
      <w:r>
        <w:rPr>
          <w:rFonts w:hint="eastAsia" w:ascii="宋体" w:hAnsi="宋体" w:eastAsia="宋体" w:cs="宋体"/>
          <w:color w:val="auto"/>
          <w:szCs w:val="21"/>
          <w:highlight w:val="none"/>
        </w:rPr>
        <w:t>33</w:t>
      </w:r>
      <w:r>
        <w:rPr>
          <w:rFonts w:hint="eastAsia" w:ascii="宋体" w:hAnsi="宋体" w:eastAsia="宋体" w:cs="宋体"/>
          <w:color w:val="auto"/>
          <w:szCs w:val="21"/>
          <w:highlight w:val="none"/>
          <w:lang w:val="zh-CN"/>
        </w:rPr>
        <w:t xml:space="preserve"> 评标委员会和招标人接受或拒绝任何投标或所有投标的权利</w:t>
      </w:r>
      <w:bookmarkEnd w:id="342"/>
      <w:bookmarkEnd w:id="343"/>
      <w:bookmarkEnd w:id="344"/>
      <w:bookmarkEnd w:id="345"/>
      <w:bookmarkEnd w:id="346"/>
      <w:bookmarkEnd w:id="347"/>
      <w:bookmarkEnd w:id="348"/>
      <w:bookmarkEnd w:id="349"/>
      <w:bookmarkEnd w:id="350"/>
      <w:bookmarkEnd w:id="351"/>
    </w:p>
    <w:p w14:paraId="4C3BE7AB">
      <w:pPr>
        <w:autoSpaceDE w:val="0"/>
        <w:autoSpaceDN w:val="0"/>
        <w:adjustRightInd w:val="0"/>
        <w:spacing w:line="360" w:lineRule="auto"/>
        <w:ind w:left="248" w:leftChars="118" w:firstLine="1"/>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在授予合同前的任何时候，招标人仍保留接受或拒绝任何投标，宣布招标程序无效或拒绝所有投标的权利，无需向受影响的投标人承担任何责任。</w:t>
      </w:r>
    </w:p>
    <w:p w14:paraId="79EB705B">
      <w:pPr>
        <w:autoSpaceDE w:val="0"/>
        <w:autoSpaceDN w:val="0"/>
        <w:adjustRightInd w:val="0"/>
        <w:snapToGrid w:val="0"/>
        <w:spacing w:line="360" w:lineRule="auto"/>
        <w:ind w:left="436" w:leftChars="-158" w:hanging="768" w:hangingChars="320"/>
        <w:jc w:val="left"/>
        <w:rPr>
          <w:rFonts w:hint="eastAsia" w:ascii="宋体" w:hAnsi="宋体" w:eastAsia="宋体" w:cs="宋体"/>
          <w:kern w:val="44"/>
          <w:sz w:val="24"/>
          <w:szCs w:val="24"/>
          <w:highlight w:val="none"/>
          <w:lang w:val="zh-CN"/>
        </w:rPr>
      </w:pPr>
    </w:p>
    <w:bookmarkEnd w:id="256"/>
    <w:p w14:paraId="216546F2">
      <w:pPr>
        <w:keepNext/>
        <w:keepLines/>
        <w:autoSpaceDE w:val="0"/>
        <w:autoSpaceDN w:val="0"/>
        <w:adjustRightInd w:val="0"/>
        <w:spacing w:line="360" w:lineRule="auto"/>
        <w:jc w:val="left"/>
        <w:outlineLvl w:val="1"/>
        <w:rPr>
          <w:rFonts w:hint="eastAsia" w:ascii="宋体" w:hAnsi="宋体" w:eastAsia="宋体" w:cs="宋体"/>
          <w:b/>
          <w:bCs/>
          <w:color w:val="auto"/>
          <w:kern w:val="44"/>
          <w:szCs w:val="21"/>
          <w:highlight w:val="none"/>
          <w:lang w:val="zh-CN"/>
        </w:rPr>
      </w:pPr>
      <w:bookmarkStart w:id="352" w:name="_Toc27936"/>
      <w:bookmarkStart w:id="353" w:name="_Toc16789"/>
      <w:bookmarkStart w:id="354" w:name="_Toc486167697"/>
      <w:bookmarkStart w:id="355" w:name="_Toc195714254"/>
      <w:bookmarkStart w:id="356" w:name="_Toc16848_WPSOffice_Level2"/>
      <w:bookmarkStart w:id="357" w:name="_Toc142508348"/>
      <w:bookmarkStart w:id="358" w:name="_Toc32732"/>
      <w:bookmarkStart w:id="359" w:name="_Toc25011"/>
      <w:bookmarkStart w:id="360" w:name="_Toc140596907"/>
      <w:bookmarkStart w:id="361" w:name="_Toc466882025"/>
      <w:bookmarkStart w:id="362" w:name="_Toc465358977"/>
      <w:r>
        <w:rPr>
          <w:rFonts w:hint="eastAsia" w:ascii="宋体" w:hAnsi="宋体" w:eastAsia="宋体" w:cs="宋体"/>
          <w:b/>
          <w:bCs/>
          <w:color w:val="auto"/>
          <w:kern w:val="44"/>
          <w:szCs w:val="21"/>
          <w:highlight w:val="none"/>
          <w:lang w:val="zh-CN"/>
        </w:rPr>
        <w:t>六、授予合同</w:t>
      </w:r>
      <w:bookmarkEnd w:id="352"/>
      <w:bookmarkEnd w:id="353"/>
      <w:bookmarkEnd w:id="354"/>
      <w:bookmarkEnd w:id="355"/>
      <w:bookmarkEnd w:id="356"/>
      <w:bookmarkEnd w:id="357"/>
      <w:bookmarkEnd w:id="358"/>
      <w:bookmarkEnd w:id="359"/>
      <w:bookmarkEnd w:id="360"/>
    </w:p>
    <w:p w14:paraId="768119D2">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63" w:name="_Toc8164"/>
      <w:bookmarkStart w:id="364" w:name="_Toc195714255"/>
      <w:bookmarkStart w:id="365" w:name="_Toc31713"/>
      <w:bookmarkStart w:id="366" w:name="_Toc486167698"/>
      <w:bookmarkStart w:id="367" w:name="_Toc6401_WPSOffice_Level3"/>
      <w:bookmarkStart w:id="368" w:name="_Toc450662881"/>
      <w:bookmarkStart w:id="369" w:name="_Toc142508349"/>
      <w:bookmarkStart w:id="370" w:name="_Toc29383"/>
      <w:bookmarkStart w:id="371" w:name="_Toc8531"/>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 xml:space="preserve"> 授予合同的准则</w:t>
      </w:r>
      <w:bookmarkEnd w:id="363"/>
      <w:bookmarkEnd w:id="364"/>
      <w:bookmarkEnd w:id="365"/>
      <w:bookmarkEnd w:id="366"/>
      <w:bookmarkEnd w:id="367"/>
      <w:bookmarkEnd w:id="368"/>
      <w:bookmarkEnd w:id="369"/>
      <w:bookmarkEnd w:id="370"/>
      <w:bookmarkEnd w:id="371"/>
    </w:p>
    <w:p w14:paraId="0C5DA690">
      <w:pPr>
        <w:tabs>
          <w:tab w:val="left" w:pos="645"/>
        </w:tabs>
        <w:autoSpaceDE w:val="0"/>
        <w:autoSpaceDN w:val="0"/>
        <w:adjustRightInd w:val="0"/>
        <w:spacing w:line="360" w:lineRule="auto"/>
        <w:ind w:left="330" w:leftChars="-100" w:right="44" w:rightChars="21"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除第</w:t>
      </w:r>
      <w:r>
        <w:rPr>
          <w:rFonts w:hint="eastAsia" w:ascii="宋体" w:hAnsi="宋体" w:eastAsia="宋体" w:cs="宋体"/>
          <w:color w:val="auto"/>
          <w:szCs w:val="21"/>
          <w:highlight w:val="none"/>
        </w:rPr>
        <w:t>31</w:t>
      </w:r>
      <w:r>
        <w:rPr>
          <w:rFonts w:hint="eastAsia" w:ascii="宋体" w:hAnsi="宋体" w:eastAsia="宋体" w:cs="宋体"/>
          <w:color w:val="auto"/>
          <w:szCs w:val="21"/>
          <w:highlight w:val="none"/>
          <w:lang w:val="zh-CN"/>
        </w:rPr>
        <w:t>条、</w:t>
      </w:r>
      <w:r>
        <w:rPr>
          <w:rFonts w:hint="eastAsia" w:ascii="宋体" w:hAnsi="宋体" w:eastAsia="宋体" w:cs="宋体"/>
          <w:color w:val="auto"/>
          <w:szCs w:val="21"/>
          <w:highlight w:val="none"/>
        </w:rPr>
        <w:t>32</w:t>
      </w:r>
      <w:r>
        <w:rPr>
          <w:rFonts w:hint="eastAsia" w:ascii="宋体" w:hAnsi="宋体" w:eastAsia="宋体" w:cs="宋体"/>
          <w:color w:val="auto"/>
          <w:szCs w:val="21"/>
          <w:highlight w:val="none"/>
          <w:lang w:val="zh-CN"/>
        </w:rPr>
        <w:t>条</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Cs w:val="24"/>
          <w:highlight w:val="none"/>
        </w:rPr>
        <w:t>33</w:t>
      </w:r>
      <w:r>
        <w:rPr>
          <w:rFonts w:hint="eastAsia" w:ascii="宋体" w:hAnsi="宋体" w:eastAsia="宋体" w:cs="宋体"/>
          <w:color w:val="auto"/>
          <w:szCs w:val="21"/>
          <w:highlight w:val="none"/>
          <w:lang w:val="zh-CN"/>
        </w:rPr>
        <w:t>条规定外，招标人将合同授予其投标文件符合招标文件要求，并且能承诺履行合同，对招标人最为有利的投标人。</w:t>
      </w:r>
    </w:p>
    <w:p w14:paraId="184D8337">
      <w:pPr>
        <w:numPr>
          <w:ilvl w:val="1"/>
          <w:numId w:val="0"/>
        </w:numPr>
        <w:tabs>
          <w:tab w:val="left" w:pos="540"/>
        </w:tabs>
        <w:autoSpaceDE w:val="0"/>
        <w:autoSpaceDN w:val="0"/>
        <w:adjustRightInd w:val="0"/>
        <w:spacing w:line="360" w:lineRule="auto"/>
        <w:ind w:left="330" w:leftChars="-100" w:right="44" w:rightChars="21"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34</w:t>
      </w:r>
      <w:r>
        <w:rPr>
          <w:rFonts w:hint="eastAsia" w:ascii="宋体" w:hAnsi="宋体" w:eastAsia="宋体" w:cs="宋体"/>
          <w:color w:val="auto"/>
          <w:szCs w:val="21"/>
          <w:highlight w:val="none"/>
          <w:lang w:val="zh-CN"/>
        </w:rPr>
        <w:t>.2 招标人依法</w:t>
      </w:r>
      <w:r>
        <w:rPr>
          <w:rFonts w:hint="eastAsia" w:ascii="宋体" w:hAnsi="宋体" w:eastAsia="宋体" w:cs="宋体"/>
          <w:color w:val="auto"/>
          <w:kern w:val="0"/>
          <w:szCs w:val="21"/>
          <w:highlight w:val="none"/>
        </w:rPr>
        <w:t>按照评标报告中推荐的中标候选人顺序</w:t>
      </w:r>
      <w:r>
        <w:rPr>
          <w:rFonts w:hint="eastAsia" w:ascii="宋体" w:hAnsi="宋体" w:eastAsia="宋体" w:cs="宋体"/>
          <w:color w:val="auto"/>
          <w:szCs w:val="21"/>
          <w:highlight w:val="none"/>
          <w:lang w:val="zh-CN"/>
        </w:rPr>
        <w:t>确定中标人。</w:t>
      </w:r>
    </w:p>
    <w:p w14:paraId="63798932">
      <w:pPr>
        <w:autoSpaceDE w:val="0"/>
        <w:autoSpaceDN w:val="0"/>
        <w:adjustRightInd w:val="0"/>
        <w:snapToGrid w:val="0"/>
        <w:spacing w:line="360" w:lineRule="auto"/>
        <w:ind w:left="315" w:leftChars="-100" w:hanging="525" w:hangingChars="250"/>
        <w:jc w:val="left"/>
        <w:rPr>
          <w:rFonts w:hint="eastAsia" w:ascii="宋体" w:hAnsi="宋体" w:eastAsia="宋体" w:cs="宋体"/>
          <w:b/>
          <w:color w:val="auto"/>
          <w:kern w:val="0"/>
          <w:szCs w:val="21"/>
          <w:highlight w:val="none"/>
        </w:rPr>
      </w:pPr>
      <w:r>
        <w:rPr>
          <w:rFonts w:hint="eastAsia" w:ascii="宋体" w:hAnsi="宋体" w:eastAsia="宋体" w:cs="宋体"/>
          <w:color w:val="auto"/>
          <w:szCs w:val="21"/>
          <w:highlight w:val="none"/>
        </w:rPr>
        <w:t>34</w:t>
      </w:r>
      <w:r>
        <w:rPr>
          <w:rFonts w:hint="eastAsia" w:ascii="宋体" w:hAnsi="宋体" w:eastAsia="宋体" w:cs="宋体"/>
          <w:color w:val="auto"/>
          <w:kern w:val="0"/>
          <w:szCs w:val="21"/>
          <w:highlight w:val="none"/>
        </w:rPr>
        <w:t>.3 因不可抗力或自身原因不能履行合同的、不按要求与招标人签订合同、中标人放弃中标、中标资格被依法确认无效的，招标人可以按照评标委员会提出的中标候选人名单排序依次确定其他中标候选人为中标人或重新招标</w:t>
      </w:r>
      <w:r>
        <w:rPr>
          <w:rFonts w:hint="eastAsia" w:ascii="宋体" w:hAnsi="宋体" w:eastAsia="宋体" w:cs="宋体"/>
          <w:b/>
          <w:color w:val="auto"/>
          <w:kern w:val="0"/>
          <w:szCs w:val="21"/>
          <w:highlight w:val="none"/>
        </w:rPr>
        <w:t>。</w:t>
      </w:r>
    </w:p>
    <w:p w14:paraId="655D5F5E">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bookmarkStart w:id="372" w:name="_Toc450662885"/>
    </w:p>
    <w:p w14:paraId="4649708D">
      <w:pPr>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73" w:name="_Toc6726_WPSOffice_Level3"/>
      <w:bookmarkStart w:id="374" w:name="_Toc13906"/>
      <w:bookmarkStart w:id="375" w:name="_Toc142508350"/>
      <w:bookmarkStart w:id="376" w:name="_Toc18984"/>
      <w:bookmarkStart w:id="377" w:name="_Toc486167699"/>
      <w:bookmarkStart w:id="378" w:name="_Toc21308"/>
      <w:bookmarkStart w:id="379" w:name="_Toc8196"/>
      <w:bookmarkStart w:id="380" w:name="_Toc195714256"/>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zh-CN"/>
        </w:rPr>
        <w:t xml:space="preserve"> 中标通知</w:t>
      </w:r>
      <w:bookmarkEnd w:id="372"/>
      <w:bookmarkEnd w:id="373"/>
      <w:bookmarkEnd w:id="374"/>
      <w:bookmarkEnd w:id="375"/>
      <w:bookmarkEnd w:id="376"/>
      <w:bookmarkEnd w:id="377"/>
      <w:bookmarkEnd w:id="378"/>
      <w:bookmarkEnd w:id="379"/>
      <w:bookmarkEnd w:id="380"/>
    </w:p>
    <w:p w14:paraId="51E93A78">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bookmarkStart w:id="381" w:name="_Toc450662886"/>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招标代理机构向中标人发出书面通知，中标通知书是合同的一个组成部分。</w:t>
      </w:r>
    </w:p>
    <w:p w14:paraId="5EBD3575">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35</w:t>
      </w:r>
      <w:r>
        <w:rPr>
          <w:rFonts w:hint="eastAsia" w:ascii="宋体" w:hAnsi="宋体" w:eastAsia="宋体" w:cs="宋体"/>
          <w:color w:val="auto"/>
          <w:szCs w:val="21"/>
          <w:highlight w:val="none"/>
          <w:lang w:val="zh-CN"/>
        </w:rPr>
        <w:t>.2</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招标代理机构向中标人发出书面通知的同时，招标代理机构通知落选的投标人其投标文件未被接受而不提原因。</w:t>
      </w:r>
    </w:p>
    <w:p w14:paraId="1290A57E">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p>
    <w:p w14:paraId="3F2ADE68">
      <w:pPr>
        <w:tabs>
          <w:tab w:val="left" w:pos="567"/>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82" w:name="_Toc9694_WPSOffice_Level3"/>
      <w:bookmarkStart w:id="383" w:name="_Toc28020"/>
      <w:bookmarkStart w:id="384" w:name="_Toc4722"/>
      <w:bookmarkStart w:id="385" w:name="_Toc31041"/>
      <w:bookmarkStart w:id="386" w:name="_Toc195714257"/>
      <w:bookmarkStart w:id="387" w:name="_Toc142508351"/>
      <w:bookmarkStart w:id="388" w:name="_Toc19127"/>
      <w:bookmarkStart w:id="389" w:name="_Toc486167700"/>
      <w:r>
        <w:rPr>
          <w:rFonts w:hint="eastAsia" w:ascii="宋体" w:hAnsi="宋体" w:eastAsia="宋体" w:cs="宋体"/>
          <w:color w:val="auto"/>
          <w:szCs w:val="21"/>
          <w:highlight w:val="none"/>
        </w:rPr>
        <w:t>36</w:t>
      </w:r>
      <w:r>
        <w:rPr>
          <w:rFonts w:hint="eastAsia" w:ascii="宋体" w:hAnsi="宋体" w:eastAsia="宋体" w:cs="宋体"/>
          <w:color w:val="auto"/>
          <w:szCs w:val="21"/>
          <w:highlight w:val="none"/>
          <w:lang w:val="zh-CN"/>
        </w:rPr>
        <w:t xml:space="preserve"> 签署合同</w:t>
      </w:r>
      <w:bookmarkEnd w:id="381"/>
      <w:bookmarkEnd w:id="382"/>
      <w:bookmarkEnd w:id="383"/>
      <w:bookmarkEnd w:id="384"/>
      <w:bookmarkEnd w:id="385"/>
      <w:bookmarkEnd w:id="386"/>
      <w:bookmarkEnd w:id="387"/>
      <w:bookmarkEnd w:id="388"/>
      <w:bookmarkEnd w:id="389"/>
    </w:p>
    <w:p w14:paraId="73D4CFD8">
      <w:pPr>
        <w:tabs>
          <w:tab w:val="left" w:pos="540"/>
        </w:tabs>
        <w:autoSpaceDE w:val="0"/>
        <w:autoSpaceDN w:val="0"/>
        <w:adjustRightInd w:val="0"/>
        <w:spacing w:line="360" w:lineRule="auto"/>
        <w:ind w:left="330" w:leftChars="-100" w:right="15" w:rightChars="7" w:hanging="54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36</w:t>
      </w:r>
      <w:r>
        <w:rPr>
          <w:rFonts w:hint="eastAsia" w:ascii="宋体" w:hAnsi="宋体" w:eastAsia="宋体" w:cs="宋体"/>
          <w:color w:val="auto"/>
          <w:szCs w:val="21"/>
          <w:highlight w:val="none"/>
          <w:lang w:val="zh-CN"/>
        </w:rPr>
        <w:t>.1</w:t>
      </w:r>
      <w:r>
        <w:rPr>
          <w:rFonts w:hint="eastAsia" w:ascii="宋体" w:hAnsi="宋体" w:eastAsia="宋体" w:cs="宋体"/>
          <w:color w:val="auto"/>
          <w:szCs w:val="21"/>
          <w:highlight w:val="none"/>
          <w:lang w:val="zh-CN"/>
        </w:rPr>
        <w:tab/>
      </w:r>
      <w:r>
        <w:rPr>
          <w:rFonts w:hint="eastAsia" w:ascii="宋体" w:hAnsi="宋体" w:eastAsia="宋体" w:cs="宋体"/>
          <w:b/>
          <w:color w:val="auto"/>
          <w:szCs w:val="21"/>
          <w:highlight w:val="none"/>
          <w:u w:val="single"/>
          <w:lang w:val="zh-CN"/>
        </w:rPr>
        <w:t>中标人在自中标通知书发出之日起30日内，按照招标文件和中标人的投标文件的约定，与招标人签订书面合同，具体签订方式以招标人通知为准（</w:t>
      </w:r>
      <w:r>
        <w:rPr>
          <w:rFonts w:hint="eastAsia" w:ascii="宋体" w:hAnsi="宋体" w:eastAsia="宋体" w:cs="宋体"/>
          <w:b/>
          <w:color w:val="auto"/>
          <w:szCs w:val="21"/>
          <w:highlight w:val="none"/>
          <w:u w:val="single"/>
          <w:lang w:val="en-US" w:eastAsia="zh-CN"/>
        </w:rPr>
        <w:t>如分支机构中标的，由其总公司与招标人签订合同</w:t>
      </w:r>
      <w:r>
        <w:rPr>
          <w:rFonts w:hint="eastAsia" w:ascii="宋体" w:hAnsi="宋体" w:eastAsia="宋体" w:cs="宋体"/>
          <w:b/>
          <w:color w:val="auto"/>
          <w:szCs w:val="21"/>
          <w:highlight w:val="none"/>
          <w:u w:val="single"/>
          <w:lang w:val="zh-CN"/>
        </w:rPr>
        <w:t>）。否则招标人有权取消中标资格并按招标文件及法律、法规的规定进行处理</w:t>
      </w:r>
      <w:r>
        <w:rPr>
          <w:rFonts w:hint="eastAsia" w:ascii="宋体" w:hAnsi="宋体" w:eastAsia="宋体" w:cs="宋体"/>
          <w:color w:val="auto"/>
          <w:szCs w:val="21"/>
          <w:highlight w:val="none"/>
          <w:lang w:val="zh-CN"/>
        </w:rPr>
        <w:t>。</w:t>
      </w:r>
    </w:p>
    <w:p w14:paraId="4C741309">
      <w:pPr>
        <w:autoSpaceDE w:val="0"/>
        <w:autoSpaceDN w:val="0"/>
        <w:adjustRightInd w:val="0"/>
        <w:snapToGrid w:val="0"/>
        <w:spacing w:line="360" w:lineRule="auto"/>
        <w:ind w:left="315" w:leftChars="-100" w:hanging="525" w:hangingChars="250"/>
        <w:jc w:val="left"/>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lang w:val="zh-CN"/>
          <w14:textFill>
            <w14:solidFill>
              <w14:schemeClr w14:val="tx1"/>
            </w14:solidFill>
          </w14:textFill>
        </w:rPr>
        <w:t>3</w:t>
      </w:r>
      <w:r>
        <w:rPr>
          <w:rFonts w:hint="eastAsia" w:ascii="宋体" w:hAnsi="宋体" w:eastAsia="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lang w:val="zh-CN"/>
          <w14:textFill>
            <w14:solidFill>
              <w14:schemeClr w14:val="tx1"/>
            </w14:solidFill>
          </w14:textFill>
        </w:rPr>
        <w:t>2 在签署合同前，招标人可对中标人投标报价明细及附表内的计算或表达上的错误进行修正，修正原则为：</w:t>
      </w:r>
      <w:r>
        <w:rPr>
          <w:rFonts w:hint="eastAsia" w:ascii="宋体" w:hAnsi="宋体" w:eastAsia="宋体" w:cs="宋体"/>
          <w:color w:val="000000" w:themeColor="text1"/>
          <w:szCs w:val="21"/>
          <w:highlight w:val="none"/>
          <w:lang w:val="en-US" w:eastAsia="zh-CN"/>
          <w14:textFill>
            <w14:solidFill>
              <w14:schemeClr w14:val="tx1"/>
            </w14:solidFill>
          </w14:textFill>
        </w:rPr>
        <w:t>\</w:t>
      </w:r>
      <w:r>
        <w:rPr>
          <w:rFonts w:hint="eastAsia" w:ascii="宋体" w:hAnsi="宋体" w:eastAsia="宋体" w:cs="宋体"/>
          <w:color w:val="000000" w:themeColor="text1"/>
          <w:szCs w:val="21"/>
          <w:highlight w:val="none"/>
          <w:lang w:val="zh-CN"/>
          <w14:textFill>
            <w14:solidFill>
              <w14:schemeClr w14:val="tx1"/>
            </w14:solidFill>
          </w14:textFill>
        </w:rPr>
        <w:t>当以数字表示的金额与以文字表示的金额不一致时，以文字表示的金额为准；按前述修正原则排进行修正至唯一值后的报价表经双方确认后，作为合同文件的组成部分。</w:t>
      </w:r>
    </w:p>
    <w:p w14:paraId="0DFE9CD4">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p>
    <w:p w14:paraId="7F7EDABD">
      <w:pPr>
        <w:tabs>
          <w:tab w:val="left" w:pos="360"/>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390" w:name="_Toc6114"/>
      <w:bookmarkStart w:id="391" w:name="_Toc8181"/>
      <w:bookmarkStart w:id="392" w:name="_Toc5304"/>
      <w:bookmarkStart w:id="393" w:name="_Toc486167701"/>
      <w:bookmarkStart w:id="394" w:name="_Toc10371"/>
      <w:bookmarkStart w:id="395" w:name="_Toc10513_WPSOffice_Level3"/>
      <w:bookmarkStart w:id="396" w:name="_Toc450662887"/>
      <w:bookmarkStart w:id="397" w:name="_Toc142508352"/>
      <w:bookmarkStart w:id="398" w:name="_Toc195714258"/>
      <w:r>
        <w:rPr>
          <w:rFonts w:hint="eastAsia" w:ascii="宋体" w:hAnsi="宋体" w:eastAsia="宋体" w:cs="宋体"/>
          <w:color w:val="auto"/>
          <w:szCs w:val="21"/>
          <w:highlight w:val="none"/>
        </w:rPr>
        <w:t xml:space="preserve">37 </w:t>
      </w:r>
      <w:r>
        <w:rPr>
          <w:rFonts w:hint="eastAsia" w:ascii="宋体" w:hAnsi="宋体" w:eastAsia="宋体" w:cs="宋体"/>
          <w:color w:val="auto"/>
          <w:szCs w:val="21"/>
          <w:highlight w:val="none"/>
          <w:lang w:val="zh-CN"/>
        </w:rPr>
        <w:t>履约担保</w:t>
      </w:r>
      <w:bookmarkEnd w:id="390"/>
      <w:bookmarkEnd w:id="391"/>
      <w:bookmarkEnd w:id="392"/>
      <w:bookmarkEnd w:id="393"/>
      <w:bookmarkEnd w:id="394"/>
      <w:bookmarkEnd w:id="395"/>
      <w:bookmarkEnd w:id="396"/>
      <w:bookmarkEnd w:id="397"/>
      <w:bookmarkEnd w:id="398"/>
    </w:p>
    <w:p w14:paraId="0E9AA8E5">
      <w:pPr>
        <w:numPr>
          <w:ilvl w:val="1"/>
          <w:numId w:val="0"/>
        </w:numPr>
        <w:autoSpaceDE w:val="0"/>
        <w:autoSpaceDN w:val="0"/>
        <w:adjustRightInd w:val="0"/>
        <w:spacing w:line="360" w:lineRule="auto"/>
        <w:ind w:left="354" w:leftChars="-100" w:right="15" w:rightChars="7" w:hanging="564" w:hangingChars="269"/>
        <w:rPr>
          <w:rFonts w:hint="eastAsia" w:ascii="宋体" w:hAnsi="宋体" w:eastAsia="宋体" w:cs="宋体"/>
          <w:b/>
          <w:bCs/>
          <w:color w:val="auto"/>
          <w:szCs w:val="21"/>
          <w:highlight w:val="none"/>
          <w:lang w:val="zh-CN"/>
        </w:rPr>
      </w:pPr>
      <w:r>
        <w:rPr>
          <w:rFonts w:hint="eastAsia" w:ascii="宋体" w:hAnsi="宋体" w:eastAsia="宋体" w:cs="宋体"/>
          <w:bCs/>
          <w:color w:val="auto"/>
          <w:szCs w:val="21"/>
          <w:highlight w:val="none"/>
        </w:rPr>
        <w:t>37</w:t>
      </w:r>
      <w:r>
        <w:rPr>
          <w:rFonts w:hint="eastAsia" w:ascii="宋体" w:hAnsi="宋体" w:eastAsia="宋体" w:cs="宋体"/>
          <w:bCs/>
          <w:color w:val="auto"/>
          <w:szCs w:val="21"/>
          <w:highlight w:val="none"/>
          <w:lang w:val="zh-CN"/>
        </w:rPr>
        <w:t>.1</w:t>
      </w:r>
      <w:r>
        <w:rPr>
          <w:rFonts w:hint="eastAsia" w:ascii="宋体" w:hAnsi="宋体" w:eastAsia="宋体" w:cs="宋体"/>
          <w:b/>
          <w:bCs/>
          <w:color w:val="auto"/>
          <w:szCs w:val="21"/>
          <w:highlight w:val="none"/>
          <w:lang w:val="zh-CN"/>
        </w:rPr>
        <w:t xml:space="preserve"> </w:t>
      </w:r>
      <w:r>
        <w:rPr>
          <w:rFonts w:hint="eastAsia" w:ascii="宋体" w:hAnsi="宋体" w:eastAsia="宋体" w:cs="宋体"/>
          <w:b/>
          <w:bCs/>
          <w:color w:val="auto"/>
          <w:szCs w:val="21"/>
          <w:highlight w:val="none"/>
          <w:u w:val="single"/>
          <w:lang w:val="zh-CN"/>
        </w:rPr>
        <w:t>中标人应在签订合同前，按本招标文件规定金额及形式要求，向招标人提交不可撤销银行履约保函（或履约保证金</w:t>
      </w:r>
      <w:r>
        <w:rPr>
          <w:rFonts w:hint="eastAsia" w:ascii="宋体" w:hAnsi="宋体" w:eastAsia="宋体" w:cs="宋体"/>
          <w:b/>
          <w:bCs/>
          <w:color w:val="auto"/>
          <w:szCs w:val="21"/>
          <w:highlight w:val="none"/>
          <w:u w:val="single"/>
        </w:rPr>
        <w:t>或履约保证保险</w:t>
      </w:r>
      <w:r>
        <w:rPr>
          <w:rFonts w:hint="eastAsia" w:ascii="宋体" w:hAnsi="宋体" w:eastAsia="宋体" w:cs="宋体"/>
          <w:b/>
          <w:bCs/>
          <w:color w:val="auto"/>
          <w:szCs w:val="21"/>
          <w:highlight w:val="none"/>
          <w:u w:val="single"/>
          <w:lang w:val="zh-CN"/>
        </w:rPr>
        <w:t>或担保公司履约担保书），作为履约担保（所需费用由中标人自行承担），</w:t>
      </w:r>
      <w:r>
        <w:rPr>
          <w:rFonts w:hint="eastAsia" w:ascii="宋体" w:hAnsi="宋体" w:eastAsia="宋体" w:cs="宋体"/>
          <w:b/>
          <w:bCs/>
          <w:color w:val="auto"/>
          <w:kern w:val="0"/>
          <w:szCs w:val="24"/>
          <w:highlight w:val="none"/>
          <w:u w:val="single"/>
        </w:rPr>
        <w:t>否则招标人可取消中标人的中标资格，不予退还其投标保证金。</w:t>
      </w:r>
      <w:bookmarkStart w:id="399" w:name="OLE_LINK387"/>
      <w:r>
        <w:rPr>
          <w:rFonts w:hint="eastAsia" w:ascii="宋体" w:hAnsi="宋体" w:eastAsia="宋体" w:cs="宋体"/>
          <w:b/>
          <w:bCs/>
          <w:color w:val="auto"/>
          <w:kern w:val="0"/>
          <w:szCs w:val="24"/>
          <w:highlight w:val="none"/>
          <w:u w:val="single"/>
        </w:rPr>
        <w:t>履约担保的金额为人民币50,000.00元</w:t>
      </w:r>
      <w:r>
        <w:rPr>
          <w:rFonts w:hint="eastAsia" w:ascii="宋体" w:hAnsi="宋体" w:eastAsia="宋体" w:cs="宋体"/>
          <w:b/>
          <w:bCs/>
          <w:color w:val="000000" w:themeColor="text1"/>
          <w:szCs w:val="21"/>
          <w:highlight w:val="none"/>
          <w:u w:val="single"/>
          <w:lang w:val="zh-CN"/>
          <w14:textFill>
            <w14:solidFill>
              <w14:schemeClr w14:val="tx1"/>
            </w14:solidFill>
          </w14:textFill>
        </w:rPr>
        <w:t>。</w:t>
      </w:r>
      <w:bookmarkEnd w:id="399"/>
      <w:r>
        <w:rPr>
          <w:rFonts w:hint="eastAsia" w:ascii="宋体" w:hAnsi="宋体" w:eastAsia="宋体" w:cs="宋体"/>
          <w:bCs/>
          <w:color w:val="auto"/>
          <w:kern w:val="0"/>
          <w:szCs w:val="24"/>
          <w:highlight w:val="none"/>
        </w:rPr>
        <w:t>合同履行过程中，中标人</w:t>
      </w:r>
      <w:r>
        <w:rPr>
          <w:rFonts w:hint="eastAsia" w:ascii="宋体" w:hAnsi="宋体" w:eastAsia="宋体" w:cs="宋体"/>
          <w:color w:val="auto"/>
          <w:kern w:val="0"/>
          <w:szCs w:val="24"/>
          <w:highlight w:val="none"/>
        </w:rPr>
        <w:t>给招标人造成的损失超过履约担保数额的，中标人还应当对超过部分予以赔偿，招标人并依法追究中标人的相应责任。</w:t>
      </w:r>
    </w:p>
    <w:p w14:paraId="348C3059">
      <w:pPr>
        <w:tabs>
          <w:tab w:val="left" w:pos="360"/>
          <w:tab w:val="left" w:pos="4725"/>
        </w:tabs>
        <w:autoSpaceDE w:val="0"/>
        <w:autoSpaceDN w:val="0"/>
        <w:adjustRightInd w:val="0"/>
        <w:spacing w:line="360" w:lineRule="auto"/>
        <w:ind w:left="315" w:leftChars="-100" w:hanging="525" w:hanging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37.2 履约担保用于补偿招标人因中标人不能完全履行其合同义务而蒙受的损失或其他合同约定的事项。如发生下列任一情况时，招标人有权依合同追究违约责任外，同时有权提取履约担保并进行相应处理：</w:t>
      </w:r>
    </w:p>
    <w:p w14:paraId="51FCB225">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（1）中标人将合同项下中标人的权利义务全部转让给第三方，或未经招标人书面同意将部分权利义务转让给第三方的，招标人有权没收其履约担保。</w:t>
      </w:r>
    </w:p>
    <w:p w14:paraId="5DDA5402">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（2）在合同履行期间，中标人怠于履行合同义务，经招标人通知或要求承担违约金后仍拒不改正的，招标人可依法没收其履约担保。</w:t>
      </w:r>
    </w:p>
    <w:p w14:paraId="581EE90A">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（3）在合同履行期间，因中标人服务质量问题造成损害、侵权损失</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包括但不限于招标人经济损失、第三人人身财产损失等</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、拖欠原材料供应商货款或与其所雇用员工发生劳资纠纷、上访、闹事或其他影响招标人生产经营等情况而其未及时妥善处理的，招标人有权使用履约担保予以支付或作出相应处理，由此产生的一切法律后果</w:t>
      </w:r>
      <w:r>
        <w:rPr>
          <w:rFonts w:hint="eastAsia" w:ascii="宋体" w:hAnsi="宋体" w:eastAsia="宋体" w:cs="宋体"/>
          <w:color w:val="auto"/>
          <w:kern w:val="0"/>
          <w:szCs w:val="21"/>
          <w:highlight w:val="none"/>
          <w:lang w:val="en-US" w:eastAsia="zh-CN"/>
        </w:rPr>
        <w:t>和经济损失</w:t>
      </w:r>
      <w:r>
        <w:rPr>
          <w:rFonts w:hint="eastAsia" w:ascii="宋体" w:hAnsi="宋体" w:eastAsia="宋体" w:cs="宋体"/>
          <w:color w:val="auto"/>
          <w:kern w:val="0"/>
          <w:szCs w:val="21"/>
          <w:highlight w:val="none"/>
        </w:rPr>
        <w:t>由中标人承担。</w:t>
      </w:r>
    </w:p>
    <w:p w14:paraId="57FBF677">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（4）在合同履行期间，中标人违约产生的违约金、赔偿、罚款或其他应付费用等款项，招标人有权直接从未付款项中直接扣除或启用履约担保予以支付。</w:t>
      </w:r>
    </w:p>
    <w:p w14:paraId="12FE7090">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（5）合同期内，中标人不能及时完成合同某项义务的，招标人有权提取履约担保用于处理该项工作。</w:t>
      </w:r>
    </w:p>
    <w:p w14:paraId="1BC78D34">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（6）其他根据本合同约定或法律规定，招标人可启用履约担保的情形。</w:t>
      </w:r>
    </w:p>
    <w:p w14:paraId="2AD15BC4">
      <w:pPr>
        <w:tabs>
          <w:tab w:val="left" w:pos="360"/>
          <w:tab w:val="left" w:pos="4725"/>
        </w:tabs>
        <w:autoSpaceDE w:val="0"/>
        <w:autoSpaceDN w:val="0"/>
        <w:adjustRightInd w:val="0"/>
        <w:spacing w:line="360" w:lineRule="auto"/>
        <w:ind w:left="315" w:leftChars="-100" w:hanging="525" w:hangingChars="250"/>
        <w:jc w:val="left"/>
        <w:outlineLvl w:val="1"/>
        <w:rPr>
          <w:rFonts w:hint="eastAsia" w:ascii="宋体" w:hAnsi="宋体" w:eastAsia="宋体" w:cs="宋体"/>
          <w:color w:val="auto"/>
          <w:kern w:val="0"/>
          <w:szCs w:val="21"/>
          <w:highlight w:val="none"/>
        </w:rPr>
      </w:pPr>
      <w:bookmarkStart w:id="400" w:name="_Toc32290"/>
      <w:r>
        <w:rPr>
          <w:rFonts w:hint="eastAsia" w:ascii="宋体" w:hAnsi="宋体" w:eastAsia="宋体" w:cs="宋体"/>
          <w:color w:val="auto"/>
          <w:kern w:val="0"/>
          <w:szCs w:val="21"/>
          <w:highlight w:val="none"/>
        </w:rPr>
        <w:t>37.3  履约担保应符合如下规定：</w:t>
      </w:r>
      <w:bookmarkEnd w:id="400"/>
    </w:p>
    <w:p w14:paraId="0CF01809">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（1）出具履约保函的银行必须是境内支行一级以上机构，并经招标人同意，执行本款时所发生的费用由中标人承担。</w:t>
      </w:r>
    </w:p>
    <w:p w14:paraId="739D964D">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履约担保格式应采用招标文件中提供的，投标人如以履约保函（或履约保证保险或担保公司履约担保书）形式提供履约担保的，投标前应当自行向其拟申请开具保函的银行（或保险或担保）机构落实履约保函（或履约保证保险或担保公司履约担保书）格式情况，以确保能按本招标文件规定的格式提供保函。如使用其他格式的履约保函（或履约保证保险或担保公司履约担保书），须事先经招标人的书面同意。</w:t>
      </w:r>
    </w:p>
    <w:p w14:paraId="1C1C7397">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提供担保的担保机构经济性质须为东莞市国有企业，或政府性融资担保机构（中标人须提供能证明其属于政府性融资担保机构的证明文件），并经招标人同意，执行本款时所发生的费用由中标人承担。如招标人合同条款接受担保公司预付款担保函的，对担保机构要求参照本条执行。</w:t>
      </w:r>
    </w:p>
    <w:p w14:paraId="073EBC84">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如果中标人提交的履约担保的有效期届满时间先于招标文件、合同文件要求的，中标人应在原提交的履约担保有效期届满前15日内，无条件办理符合招标人要求的履约担保延期手续，否则视为中标人违约，招标人有权在不可撤销银行履约保函或履约保证保险或担保公司履约担保书到期前向出具履约担保的机构提取履约担保金。在不可撤销银行履约保函（或履约保证保险或担保公司履约担保书）到期后中标人未按招标人要求重新提供的，招标人有权要求中标人以履约担保金额为限承担违约金，违约金可直接从未付采购合同费用中扣除。</w:t>
      </w:r>
    </w:p>
    <w:p w14:paraId="3834B2BC">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在合同履行过程中，不论何种原因导致履约担保金数额不符合招标文件要求的，中标人应当在5日内予以补足。逾期不予补足的，招标人有权按需补足的金额要求中标人承担违约金，并要求限期补足。如中标人仍不补足的，招标人有权单方解除合同，违约金可直接从未付合同款或履约担保中扣除。</w:t>
      </w:r>
    </w:p>
    <w:p w14:paraId="4E79CE1F">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（6）不可撤销银行履约保函（或履约保证保险或担保公司履约担保书）</w:t>
      </w:r>
      <w:r>
        <w:rPr>
          <w:rFonts w:hint="eastAsia" w:ascii="宋体" w:hAnsi="宋体" w:eastAsia="宋体" w:cs="Times New Roman"/>
          <w:color w:val="auto"/>
          <w:kern w:val="0"/>
          <w:szCs w:val="21"/>
          <w:highlight w:val="none"/>
        </w:rPr>
        <w:t>应</w:t>
      </w:r>
      <w:r>
        <w:rPr>
          <w:rFonts w:hint="eastAsia" w:ascii="宋体" w:hAnsi="宋体" w:eastAsia="宋体" w:cs="宋体"/>
          <w:color w:val="auto"/>
          <w:sz w:val="21"/>
          <w:szCs w:val="21"/>
        </w:rPr>
        <w:t>自合同生效之日起至合同期限届满并完成全部服务义务后</w:t>
      </w:r>
      <w:r>
        <w:rPr>
          <w:rFonts w:hint="eastAsia" w:ascii="宋体" w:hAnsi="宋体" w:eastAsia="宋体" w:cs="宋体"/>
          <w:color w:val="auto"/>
          <w:sz w:val="21"/>
          <w:szCs w:val="21"/>
          <w:lang w:val="zh-CN"/>
        </w:rPr>
        <w:t>二十八（28）</w:t>
      </w:r>
      <w:r>
        <w:rPr>
          <w:rFonts w:hint="eastAsia" w:ascii="宋体" w:hAnsi="宋体" w:eastAsia="宋体" w:cs="宋体"/>
          <w:color w:val="auto"/>
          <w:sz w:val="21"/>
          <w:szCs w:val="21"/>
        </w:rPr>
        <w:t>日内</w:t>
      </w:r>
      <w:r>
        <w:rPr>
          <w:rFonts w:ascii="宋体" w:hAnsi="宋体" w:eastAsia="宋体" w:cs="Times New Roman"/>
          <w:color w:val="auto"/>
          <w:kern w:val="0"/>
          <w:szCs w:val="21"/>
          <w:highlight w:val="none"/>
        </w:rPr>
        <w:t>保持有效</w:t>
      </w:r>
      <w:r>
        <w:rPr>
          <w:rFonts w:hint="eastAsia" w:ascii="宋体" w:hAnsi="宋体" w:eastAsia="宋体" w:cs="宋体"/>
          <w:color w:val="auto"/>
          <w:kern w:val="0"/>
          <w:szCs w:val="21"/>
          <w:highlight w:val="none"/>
        </w:rPr>
        <w:t>。</w:t>
      </w:r>
    </w:p>
    <w:p w14:paraId="6595B977">
      <w:pPr>
        <w:tabs>
          <w:tab w:val="left" w:pos="360"/>
          <w:tab w:val="left" w:pos="4725"/>
        </w:tabs>
        <w:autoSpaceDE w:val="0"/>
        <w:autoSpaceDN w:val="0"/>
        <w:adjustRightInd w:val="0"/>
        <w:spacing w:line="360" w:lineRule="auto"/>
        <w:ind w:left="315" w:leftChars="-100" w:hanging="525" w:hangingChars="250"/>
        <w:jc w:val="left"/>
        <w:outlineLvl w:val="1"/>
        <w:rPr>
          <w:rFonts w:hint="eastAsia" w:ascii="宋体" w:hAnsi="宋体" w:eastAsia="宋体" w:cs="宋体"/>
          <w:color w:val="auto"/>
          <w:kern w:val="0"/>
          <w:szCs w:val="21"/>
          <w:highlight w:val="none"/>
        </w:rPr>
      </w:pPr>
      <w:bookmarkStart w:id="401" w:name="_Toc26730"/>
      <w:r>
        <w:rPr>
          <w:rFonts w:hint="eastAsia" w:ascii="宋体" w:hAnsi="宋体" w:eastAsia="宋体" w:cs="宋体"/>
          <w:color w:val="auto"/>
          <w:kern w:val="0"/>
          <w:szCs w:val="21"/>
          <w:highlight w:val="none"/>
        </w:rPr>
        <w:t>37.4  履约保证金应用本合同货币。</w:t>
      </w:r>
      <w:bookmarkEnd w:id="401"/>
    </w:p>
    <w:p w14:paraId="3C565EF1">
      <w:pPr>
        <w:tabs>
          <w:tab w:val="left" w:pos="360"/>
          <w:tab w:val="left" w:pos="4725"/>
        </w:tabs>
        <w:autoSpaceDE w:val="0"/>
        <w:autoSpaceDN w:val="0"/>
        <w:adjustRightInd w:val="0"/>
        <w:spacing w:line="360" w:lineRule="auto"/>
        <w:ind w:left="315" w:leftChars="-100" w:hanging="525" w:hanging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37.5  中标人也可以按招标文件约定的额度和时间，向招标人交纳同等数额的履约保证金作为履约担保。如中标人提交的履约保证金是其分支机构以转账形式转入的，要提交中标人的法人书面授权，不接受由私人账户和其它单位转入的保证金，也不接受现金形式提交。履约保证金应以存入招标人指定的以下银行账户为准。</w:t>
      </w:r>
    </w:p>
    <w:p w14:paraId="3D63EF91">
      <w:pPr>
        <w:tabs>
          <w:tab w:val="left" w:pos="360"/>
          <w:tab w:val="left" w:pos="4725"/>
        </w:tabs>
        <w:autoSpaceDE w:val="0"/>
        <w:autoSpaceDN w:val="0"/>
        <w:adjustRightInd w:val="0"/>
        <w:spacing w:line="360" w:lineRule="auto"/>
        <w:ind w:firstLine="632" w:firstLineChars="300"/>
        <w:jc w:val="left"/>
        <w:outlineLvl w:val="0"/>
        <w:rPr>
          <w:rFonts w:hint="eastAsia" w:ascii="宋体" w:hAnsi="宋体" w:eastAsia="宋体" w:cs="宋体"/>
          <w:b/>
          <w:color w:val="auto"/>
          <w:kern w:val="0"/>
          <w:szCs w:val="21"/>
          <w:highlight w:val="none"/>
        </w:rPr>
      </w:pPr>
      <w:bookmarkStart w:id="402" w:name="_Toc26661"/>
      <w:r>
        <w:rPr>
          <w:rFonts w:hint="eastAsia" w:ascii="宋体" w:hAnsi="宋体" w:eastAsia="宋体" w:cs="宋体"/>
          <w:b/>
          <w:color w:val="auto"/>
          <w:kern w:val="0"/>
          <w:szCs w:val="21"/>
          <w:highlight w:val="none"/>
        </w:rPr>
        <w:t>履约保证金账户：</w:t>
      </w:r>
      <w:r>
        <w:rPr>
          <w:rFonts w:hint="eastAsia" w:ascii="宋体" w:hAnsi="宋体" w:eastAsia="宋体" w:cs="宋体"/>
          <w:b/>
          <w:color w:val="auto"/>
          <w:kern w:val="0"/>
          <w:szCs w:val="21"/>
          <w:highlight w:val="none"/>
          <w:u w:val="single"/>
        </w:rPr>
        <w:t>（特别提醒，本账户非投标保证金账户）</w:t>
      </w:r>
      <w:bookmarkEnd w:id="402"/>
    </w:p>
    <w:p w14:paraId="309A76E3">
      <w:pPr>
        <w:autoSpaceDE w:val="0"/>
        <w:autoSpaceDN w:val="0"/>
        <w:adjustRightInd w:val="0"/>
        <w:snapToGrid w:val="0"/>
        <w:spacing w:line="360" w:lineRule="auto"/>
        <w:ind w:firstLine="632" w:firstLineChars="300"/>
        <w:jc w:val="left"/>
        <w:rPr>
          <w:rFonts w:hint="eastAsia" w:ascii="宋体" w:hAnsi="宋体" w:eastAsia="宋体" w:cs="宋体"/>
          <w:b/>
          <w:kern w:val="0"/>
          <w:szCs w:val="21"/>
          <w:highlight w:val="none"/>
          <w:lang w:eastAsia="zh-CN"/>
        </w:rPr>
      </w:pPr>
      <w:r>
        <w:rPr>
          <w:rFonts w:hint="eastAsia" w:ascii="宋体" w:hAnsi="宋体" w:eastAsia="宋体" w:cs="宋体"/>
          <w:b/>
          <w:kern w:val="0"/>
          <w:szCs w:val="21"/>
          <w:highlight w:val="none"/>
        </w:rPr>
        <w:t>开户名称：</w:t>
      </w:r>
      <w:r>
        <w:rPr>
          <w:rFonts w:hint="eastAsia" w:ascii="宋体" w:hAnsi="宋体" w:eastAsia="宋体" w:cs="宋体"/>
          <w:b/>
          <w:color w:val="000000" w:themeColor="text1"/>
          <w:kern w:val="0"/>
          <w:szCs w:val="21"/>
          <w:lang w:eastAsia="zh-CN"/>
          <w14:textFill>
            <w14:solidFill>
              <w14:schemeClr w14:val="tx1"/>
            </w14:solidFill>
          </w14:textFill>
        </w:rPr>
        <w:t>东莞市水务环境投资控股集团有限公司</w:t>
      </w:r>
    </w:p>
    <w:p w14:paraId="78BFB749">
      <w:pPr>
        <w:autoSpaceDE w:val="0"/>
        <w:autoSpaceDN w:val="0"/>
        <w:adjustRightInd w:val="0"/>
        <w:snapToGrid w:val="0"/>
        <w:spacing w:line="360" w:lineRule="auto"/>
        <w:ind w:firstLine="632" w:firstLineChars="300"/>
        <w:jc w:val="left"/>
        <w:rPr>
          <w:rFonts w:hint="eastAsia" w:ascii="宋体" w:hAnsi="宋体" w:eastAsia="宋体" w:cs="宋体"/>
          <w:b/>
          <w:kern w:val="0"/>
          <w:szCs w:val="21"/>
          <w:highlight w:val="none"/>
        </w:rPr>
      </w:pPr>
      <w:r>
        <w:rPr>
          <w:rFonts w:hint="eastAsia" w:ascii="宋体" w:hAnsi="宋体" w:eastAsia="宋体" w:cs="宋体"/>
          <w:b/>
          <w:kern w:val="0"/>
          <w:szCs w:val="21"/>
          <w:highlight w:val="none"/>
        </w:rPr>
        <w:t>银行账号：</w:t>
      </w:r>
      <w:r>
        <w:rPr>
          <w:rFonts w:hint="eastAsia" w:ascii="宋体" w:hAnsi="宋体" w:eastAsia="宋体" w:cs="Times New Roman"/>
          <w:b/>
          <w:color w:val="auto"/>
          <w:kern w:val="0"/>
          <w:szCs w:val="21"/>
          <w:highlight w:val="none"/>
        </w:rPr>
        <w:t>2010 0213 0920 0288 889</w:t>
      </w:r>
    </w:p>
    <w:p w14:paraId="67D85F27">
      <w:pPr>
        <w:autoSpaceDE w:val="0"/>
        <w:autoSpaceDN w:val="0"/>
        <w:adjustRightInd w:val="0"/>
        <w:snapToGrid w:val="0"/>
        <w:spacing w:line="360" w:lineRule="auto"/>
        <w:ind w:firstLine="632" w:firstLineChars="300"/>
        <w:jc w:val="left"/>
        <w:rPr>
          <w:rFonts w:hint="eastAsia" w:ascii="宋体" w:hAnsi="宋体" w:eastAsia="宋体" w:cs="宋体"/>
          <w:b/>
          <w:kern w:val="0"/>
          <w:szCs w:val="21"/>
          <w:highlight w:val="none"/>
        </w:rPr>
      </w:pPr>
      <w:r>
        <w:rPr>
          <w:rFonts w:hint="eastAsia" w:ascii="宋体" w:hAnsi="宋体" w:eastAsia="宋体" w:cs="宋体"/>
          <w:b/>
          <w:kern w:val="0"/>
          <w:szCs w:val="21"/>
          <w:highlight w:val="none"/>
        </w:rPr>
        <w:t>开户银行：</w:t>
      </w:r>
      <w:r>
        <w:rPr>
          <w:rFonts w:hint="eastAsia" w:ascii="宋体" w:hAnsi="宋体" w:eastAsia="宋体" w:cs="Times New Roman"/>
          <w:b/>
          <w:color w:val="auto"/>
          <w:kern w:val="0"/>
          <w:szCs w:val="21"/>
          <w:highlight w:val="none"/>
        </w:rPr>
        <w:t>中国工商银行东莞分行</w:t>
      </w:r>
    </w:p>
    <w:bookmarkEnd w:id="361"/>
    <w:bookmarkEnd w:id="362"/>
    <w:p w14:paraId="646DE4CE">
      <w:pPr>
        <w:autoSpaceDE w:val="0"/>
        <w:autoSpaceDN w:val="0"/>
        <w:adjustRightInd w:val="0"/>
        <w:spacing w:line="360" w:lineRule="auto"/>
        <w:ind w:left="420" w:leftChars="-100" w:hanging="630" w:hangingChars="3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37.6  中标</w:t>
      </w:r>
      <w:r>
        <w:rPr>
          <w:rFonts w:hint="eastAsia" w:ascii="宋体" w:hAnsi="宋体" w:eastAsia="宋体" w:cs="宋体"/>
          <w:color w:val="auto"/>
          <w:kern w:val="0"/>
          <w:szCs w:val="24"/>
          <w:highlight w:val="none"/>
        </w:rPr>
        <w:t>单位提交了履约担保后，当履约保证金转达招标人履约保证金账户后，</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人将履约保证金的汇款凭证用A4纸</w:t>
      </w:r>
      <w:r>
        <w:rPr>
          <w:rFonts w:hint="eastAsia" w:ascii="宋体" w:hAnsi="宋体" w:eastAsia="宋体" w:cs="宋体"/>
          <w:color w:val="auto"/>
          <w:kern w:val="0"/>
          <w:szCs w:val="24"/>
          <w:highlight w:val="none"/>
          <w:lang w:eastAsia="zh-CN"/>
        </w:rPr>
        <w:t>扫描件</w:t>
      </w:r>
      <w:r>
        <w:rPr>
          <w:rFonts w:hint="eastAsia" w:ascii="宋体" w:hAnsi="宋体" w:eastAsia="宋体" w:cs="宋体"/>
          <w:color w:val="auto"/>
          <w:kern w:val="0"/>
          <w:szCs w:val="24"/>
          <w:highlight w:val="none"/>
        </w:rPr>
        <w:t>（</w:t>
      </w:r>
      <w:r>
        <w:rPr>
          <w:rFonts w:hint="eastAsia" w:ascii="宋体" w:hAnsi="宋体" w:eastAsia="宋体" w:cs="宋体"/>
          <w:bCs/>
          <w:color w:val="auto"/>
          <w:kern w:val="0"/>
          <w:szCs w:val="24"/>
          <w:highlight w:val="none"/>
        </w:rPr>
        <w:t>注明</w:t>
      </w:r>
      <w:r>
        <w:rPr>
          <w:rFonts w:hint="eastAsia" w:ascii="宋体" w:hAnsi="宋体" w:eastAsia="宋体" w:cs="宋体"/>
          <w:bCs/>
          <w:color w:val="auto"/>
          <w:szCs w:val="21"/>
          <w:highlight w:val="none"/>
          <w:lang w:val="zh-CN"/>
        </w:rPr>
        <w:t>招标</w:t>
      </w:r>
      <w:r>
        <w:rPr>
          <w:rFonts w:hint="eastAsia" w:ascii="宋体" w:hAnsi="宋体" w:eastAsia="宋体" w:cs="宋体"/>
          <w:bCs/>
          <w:color w:val="auto"/>
          <w:kern w:val="0"/>
          <w:szCs w:val="24"/>
          <w:highlight w:val="none"/>
        </w:rPr>
        <w:t>编号</w:t>
      </w:r>
      <w:r>
        <w:rPr>
          <w:rFonts w:hint="eastAsia" w:ascii="宋体" w:hAnsi="宋体" w:eastAsia="宋体" w:cs="宋体"/>
          <w:color w:val="auto"/>
          <w:kern w:val="0"/>
          <w:szCs w:val="24"/>
          <w:highlight w:val="none"/>
        </w:rPr>
        <w:t>）一式二份并加盖</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人的公章送招标代理机构，[或当中标人采取不可撤销银行履约保函（</w:t>
      </w:r>
      <w:r>
        <w:rPr>
          <w:rFonts w:hint="eastAsia" w:ascii="宋体" w:hAnsi="宋体" w:eastAsia="宋体" w:cs="宋体"/>
          <w:color w:val="auto"/>
          <w:kern w:val="0"/>
          <w:szCs w:val="21"/>
          <w:highlight w:val="none"/>
        </w:rPr>
        <w:t>或履约保证保险</w:t>
      </w:r>
      <w:r>
        <w:rPr>
          <w:rFonts w:hint="eastAsia" w:ascii="宋体" w:hAnsi="宋体" w:eastAsia="宋体" w:cs="宋体"/>
          <w:color w:val="auto"/>
          <w:kern w:val="0"/>
          <w:szCs w:val="24"/>
          <w:highlight w:val="none"/>
        </w:rPr>
        <w:t>或担保公司履约担保书）的方式缴纳履约担保时，中标人将不可撤销银行履约保函（</w:t>
      </w:r>
      <w:r>
        <w:rPr>
          <w:rFonts w:hint="eastAsia" w:ascii="宋体" w:hAnsi="宋体" w:eastAsia="宋体" w:cs="宋体"/>
          <w:color w:val="auto"/>
          <w:kern w:val="0"/>
          <w:szCs w:val="21"/>
          <w:highlight w:val="none"/>
        </w:rPr>
        <w:t>或履约保证保险</w:t>
      </w:r>
      <w:r>
        <w:rPr>
          <w:rFonts w:hint="eastAsia" w:ascii="宋体" w:hAnsi="宋体" w:eastAsia="宋体" w:cs="宋体"/>
          <w:color w:val="auto"/>
          <w:kern w:val="0"/>
          <w:szCs w:val="24"/>
          <w:highlight w:val="none"/>
        </w:rPr>
        <w:t>或担保公司履约担保书）原件</w:t>
      </w:r>
      <w:r>
        <w:rPr>
          <w:rFonts w:hint="eastAsia" w:ascii="宋体" w:hAnsi="宋体" w:eastAsia="宋体" w:cs="宋体"/>
          <w:color w:val="auto"/>
          <w:szCs w:val="21"/>
          <w:highlight w:val="none"/>
          <w:lang w:val="zh-CN"/>
        </w:rPr>
        <w:t>交给招标人，由招标人在</w:t>
      </w:r>
      <w:r>
        <w:rPr>
          <w:rFonts w:hint="eastAsia" w:ascii="宋体" w:hAnsi="宋体" w:eastAsia="宋体" w:cs="宋体"/>
          <w:color w:val="auto"/>
          <w:kern w:val="0"/>
          <w:szCs w:val="24"/>
          <w:highlight w:val="none"/>
        </w:rPr>
        <w:t>履约保函一式两份</w:t>
      </w:r>
      <w:r>
        <w:rPr>
          <w:rFonts w:hint="eastAsia" w:ascii="宋体" w:hAnsi="宋体" w:eastAsia="宋体" w:cs="宋体"/>
          <w:color w:val="auto"/>
          <w:kern w:val="0"/>
          <w:szCs w:val="24"/>
          <w:highlight w:val="none"/>
          <w:lang w:eastAsia="zh-CN"/>
        </w:rPr>
        <w:t>扫描件</w:t>
      </w:r>
      <w:r>
        <w:rPr>
          <w:rFonts w:hint="eastAsia" w:ascii="宋体" w:hAnsi="宋体" w:eastAsia="宋体" w:cs="宋体"/>
          <w:color w:val="auto"/>
          <w:kern w:val="0"/>
          <w:szCs w:val="24"/>
          <w:highlight w:val="none"/>
        </w:rPr>
        <w:t>上</w:t>
      </w:r>
      <w:r>
        <w:rPr>
          <w:rFonts w:hint="eastAsia" w:ascii="宋体" w:hAnsi="宋体" w:eastAsia="宋体" w:cs="宋体"/>
          <w:color w:val="auto"/>
          <w:szCs w:val="21"/>
          <w:highlight w:val="none"/>
          <w:lang w:val="zh-CN"/>
        </w:rPr>
        <w:t>注明“原件已收”及签收人、日期后，中标人在每份扫描件上</w:t>
      </w:r>
      <w:r>
        <w:rPr>
          <w:rFonts w:hint="eastAsia" w:ascii="宋体" w:hAnsi="宋体" w:eastAsia="宋体" w:cs="宋体"/>
          <w:color w:val="auto"/>
          <w:kern w:val="0"/>
          <w:szCs w:val="24"/>
          <w:highlight w:val="none"/>
        </w:rPr>
        <w:t>加盖</w:t>
      </w:r>
      <w:r>
        <w:rPr>
          <w:rFonts w:hint="eastAsia" w:ascii="宋体" w:hAnsi="宋体" w:eastAsia="宋体" w:cs="宋体"/>
          <w:color w:val="auto"/>
          <w:szCs w:val="21"/>
          <w:highlight w:val="none"/>
          <w:lang w:val="zh-CN"/>
        </w:rPr>
        <w:t>中标</w:t>
      </w:r>
      <w:r>
        <w:rPr>
          <w:rFonts w:hint="eastAsia" w:ascii="宋体" w:hAnsi="宋体" w:eastAsia="宋体" w:cs="宋体"/>
          <w:color w:val="auto"/>
          <w:kern w:val="0"/>
          <w:szCs w:val="24"/>
          <w:highlight w:val="none"/>
        </w:rPr>
        <w:t>人的公章，送招标代理机构]</w:t>
      </w:r>
      <w:r>
        <w:rPr>
          <w:rFonts w:hint="eastAsia" w:ascii="宋体" w:hAnsi="宋体" w:eastAsia="宋体" w:cs="宋体"/>
          <w:color w:val="auto"/>
          <w:kern w:val="0"/>
          <w:szCs w:val="21"/>
          <w:highlight w:val="none"/>
        </w:rPr>
        <w:t>。</w:t>
      </w:r>
    </w:p>
    <w:p w14:paraId="4EBF0A4F">
      <w:pPr>
        <w:tabs>
          <w:tab w:val="left" w:pos="360"/>
          <w:tab w:val="left" w:pos="4725"/>
        </w:tabs>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4"/>
          <w:highlight w:val="none"/>
        </w:rPr>
      </w:pPr>
      <w:r>
        <w:rPr>
          <w:rFonts w:hint="eastAsia" w:ascii="宋体" w:hAnsi="宋体" w:eastAsia="宋体" w:cs="宋体"/>
          <w:color w:val="auto"/>
          <w:kern w:val="0"/>
          <w:szCs w:val="24"/>
          <w:highlight w:val="none"/>
        </w:rPr>
        <w:t xml:space="preserve">37.7  </w:t>
      </w:r>
      <w:r>
        <w:rPr>
          <w:rFonts w:hint="eastAsia" w:ascii="宋体" w:hAnsi="宋体" w:eastAsia="宋体" w:cs="宋体"/>
          <w:color w:val="auto"/>
          <w:kern w:val="0"/>
          <w:szCs w:val="21"/>
          <w:highlight w:val="none"/>
        </w:rPr>
        <w:t>中标人以履约保证金（银行转账形式）提供履约担保的在依法完成本项目的所有合同义务，且</w:t>
      </w:r>
      <w:r>
        <w:rPr>
          <w:rFonts w:hint="eastAsia" w:ascii="宋体" w:hAnsi="宋体" w:eastAsia="宋体" w:cs="宋体"/>
          <w:color w:val="auto"/>
          <w:kern w:val="0"/>
          <w:szCs w:val="21"/>
          <w:highlight w:val="none"/>
          <w:lang w:val="en-US" w:eastAsia="zh-CN"/>
        </w:rPr>
        <w:t>结算完毕之</w:t>
      </w:r>
      <w:r>
        <w:rPr>
          <w:rFonts w:hint="eastAsia" w:ascii="宋体" w:hAnsi="宋体" w:eastAsia="宋体" w:cs="宋体"/>
          <w:color w:val="auto"/>
          <w:kern w:val="0"/>
          <w:szCs w:val="21"/>
          <w:highlight w:val="none"/>
        </w:rPr>
        <w:t>后，经招标人确认，中标人可向招标人提交退回履约担保的申请。招标人审核无异议后，办理履约担保退还手续，退回时一律以银行转账的形式无息退回到中标人的账户。</w:t>
      </w:r>
    </w:p>
    <w:p w14:paraId="2A90E5E7">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rPr>
      </w:pPr>
    </w:p>
    <w:p w14:paraId="60F437B0">
      <w:pPr>
        <w:tabs>
          <w:tab w:val="left" w:pos="360"/>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403" w:name="_Toc10548"/>
      <w:bookmarkStart w:id="404" w:name="_Toc27162"/>
      <w:bookmarkStart w:id="405" w:name="_Toc11309"/>
      <w:bookmarkStart w:id="406" w:name="_Toc195714259"/>
      <w:bookmarkStart w:id="407" w:name="_Toc142508353"/>
      <w:bookmarkStart w:id="408" w:name="_Toc486167702"/>
      <w:bookmarkStart w:id="409" w:name="_Toc3311"/>
      <w:r>
        <w:rPr>
          <w:rFonts w:hint="eastAsia" w:ascii="宋体" w:hAnsi="宋体" w:eastAsia="宋体" w:cs="宋体"/>
          <w:color w:val="auto"/>
          <w:szCs w:val="21"/>
          <w:highlight w:val="none"/>
        </w:rPr>
        <w:t>38</w:t>
      </w:r>
      <w:r>
        <w:rPr>
          <w:rFonts w:hint="eastAsia" w:ascii="宋体" w:hAnsi="宋体" w:eastAsia="宋体" w:cs="宋体"/>
          <w:color w:val="auto"/>
          <w:szCs w:val="21"/>
          <w:highlight w:val="none"/>
          <w:lang w:val="zh-CN"/>
        </w:rPr>
        <w:t xml:space="preserve"> 在合同履行中变更采购范围的权利</w:t>
      </w:r>
      <w:bookmarkEnd w:id="403"/>
      <w:bookmarkEnd w:id="404"/>
      <w:bookmarkEnd w:id="405"/>
      <w:bookmarkEnd w:id="406"/>
      <w:bookmarkEnd w:id="407"/>
      <w:bookmarkEnd w:id="408"/>
      <w:bookmarkEnd w:id="409"/>
    </w:p>
    <w:p w14:paraId="576F90B1">
      <w:pPr>
        <w:autoSpaceDE w:val="0"/>
        <w:autoSpaceDN w:val="0"/>
        <w:adjustRightInd w:val="0"/>
        <w:spacing w:line="360" w:lineRule="auto"/>
        <w:ind w:left="328" w:leftChars="-114"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38.1 合同履行中，招标人在合同约定的范围内，招标人有权根据项目实际情况及有关法律法规、政策的规定对采购范围进行变更调整，变更采购范围后，投标人应遵照执行。</w:t>
      </w:r>
    </w:p>
    <w:p w14:paraId="4DDF4794">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bookmarkStart w:id="410" w:name="_Toc450662888"/>
    </w:p>
    <w:p w14:paraId="5175449B">
      <w:pPr>
        <w:tabs>
          <w:tab w:val="left" w:pos="465"/>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411" w:name="_Toc195714260"/>
      <w:bookmarkStart w:id="412" w:name="_Toc23218"/>
      <w:bookmarkStart w:id="413" w:name="_Toc2401"/>
      <w:bookmarkStart w:id="414" w:name="_Toc142508354"/>
      <w:bookmarkStart w:id="415" w:name="_Toc28921_WPSOffice_Level3"/>
      <w:bookmarkStart w:id="416" w:name="_Toc14850"/>
      <w:bookmarkStart w:id="417" w:name="_Toc22944"/>
      <w:bookmarkStart w:id="418" w:name="_Toc486167703"/>
      <w:r>
        <w:rPr>
          <w:rFonts w:hint="eastAsia" w:ascii="宋体" w:hAnsi="宋体" w:eastAsia="宋体" w:cs="宋体"/>
          <w:color w:val="auto"/>
          <w:szCs w:val="21"/>
          <w:highlight w:val="none"/>
        </w:rPr>
        <w:t>39</w:t>
      </w:r>
      <w:r>
        <w:rPr>
          <w:rFonts w:hint="eastAsia" w:ascii="宋体" w:hAnsi="宋体" w:eastAsia="宋体" w:cs="宋体"/>
          <w:color w:val="auto"/>
          <w:szCs w:val="21"/>
          <w:highlight w:val="none"/>
          <w:lang w:val="zh-CN"/>
        </w:rPr>
        <w:t xml:space="preserve"> 中标服务费</w:t>
      </w:r>
      <w:bookmarkEnd w:id="410"/>
      <w:bookmarkEnd w:id="411"/>
      <w:bookmarkEnd w:id="412"/>
      <w:bookmarkEnd w:id="413"/>
      <w:bookmarkEnd w:id="414"/>
      <w:bookmarkEnd w:id="415"/>
      <w:bookmarkEnd w:id="416"/>
      <w:bookmarkEnd w:id="417"/>
      <w:bookmarkEnd w:id="418"/>
    </w:p>
    <w:p w14:paraId="53DF4CD6">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bookmarkStart w:id="419" w:name="_Toc450662889"/>
      <w:r>
        <w:rPr>
          <w:rFonts w:hint="eastAsia" w:ascii="宋体" w:hAnsi="宋体" w:eastAsia="宋体" w:cs="宋体"/>
          <w:color w:val="auto"/>
          <w:szCs w:val="21"/>
          <w:highlight w:val="none"/>
        </w:rPr>
        <w:t xml:space="preserve">39.1 </w:t>
      </w:r>
      <w:r>
        <w:rPr>
          <w:rFonts w:hint="eastAsia" w:ascii="宋体" w:hAnsi="宋体" w:eastAsia="宋体" w:cs="宋体"/>
          <w:color w:val="auto"/>
          <w:szCs w:val="21"/>
          <w:highlight w:val="none"/>
          <w:lang w:val="en-US" w:eastAsia="zh-CN"/>
        </w:rPr>
        <w:t>每家</w:t>
      </w:r>
      <w:r>
        <w:rPr>
          <w:rFonts w:hint="eastAsia" w:ascii="宋体" w:hAnsi="宋体" w:eastAsia="宋体" w:cs="宋体"/>
          <w:color w:val="auto"/>
          <w:szCs w:val="21"/>
          <w:highlight w:val="none"/>
          <w:lang w:val="zh-CN"/>
        </w:rPr>
        <w:t>中标人应向招标代理机构一次性交纳中标服务费</w:t>
      </w:r>
      <w:r>
        <w:rPr>
          <w:rFonts w:hint="eastAsia" w:ascii="宋体" w:hAnsi="宋体" w:eastAsia="宋体" w:cs="宋体"/>
          <w:color w:val="auto"/>
          <w:szCs w:val="21"/>
          <w:highlight w:val="none"/>
          <w:lang w:val="en-US" w:eastAsia="zh-CN"/>
        </w:rPr>
        <w:t>人民币壹万叁仟玖佰伍拾元零角零分（￥13,950.00）</w:t>
      </w:r>
      <w:r>
        <w:rPr>
          <w:rFonts w:hint="eastAsia" w:ascii="宋体" w:hAnsi="宋体" w:eastAsia="宋体" w:cs="宋体"/>
          <w:color w:val="auto"/>
          <w:szCs w:val="21"/>
          <w:highlight w:val="none"/>
        </w:rPr>
        <w:t>。</w:t>
      </w:r>
    </w:p>
    <w:p w14:paraId="37172FD0">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39.2 中标人收到中标通知后，须在15日内向招标代理机构交纳中标服务费用。</w:t>
      </w:r>
    </w:p>
    <w:p w14:paraId="77B2D340">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39.3 中标服务费只接受以银行转账、电汇方式交纳</w:t>
      </w:r>
    </w:p>
    <w:p w14:paraId="5258E9F5">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中标服务费汇入账号（特别提醒，本账户非投标保证金汇入账户)：</w:t>
      </w:r>
    </w:p>
    <w:p w14:paraId="6A3F7F13">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开户名称：广东有德招标采购有限公司东莞分公司</w:t>
      </w:r>
    </w:p>
    <w:p w14:paraId="3EC4F4C3">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银行</w:t>
      </w:r>
      <w:r>
        <w:rPr>
          <w:rFonts w:hint="eastAsia" w:ascii="宋体" w:hAnsi="宋体" w:eastAsia="宋体" w:cs="宋体"/>
          <w:color w:val="auto"/>
          <w:szCs w:val="21"/>
          <w:highlight w:val="none"/>
          <w:lang w:eastAsia="zh-CN"/>
        </w:rPr>
        <w:t>账号</w:t>
      </w:r>
      <w:r>
        <w:rPr>
          <w:rFonts w:hint="eastAsia" w:ascii="宋体" w:hAnsi="宋体" w:eastAsia="宋体" w:cs="宋体"/>
          <w:color w:val="auto"/>
          <w:szCs w:val="21"/>
          <w:highlight w:val="none"/>
        </w:rPr>
        <w:t>：44001776040053011261</w:t>
      </w:r>
    </w:p>
    <w:p w14:paraId="5DF47969">
      <w:pPr>
        <w:autoSpaceDE w:val="0"/>
        <w:autoSpaceDN w:val="0"/>
        <w:adjustRightInd w:val="0"/>
        <w:spacing w:line="360" w:lineRule="auto"/>
        <w:ind w:left="357" w:leftChars="-100" w:hanging="567" w:hangingChars="27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开户银行：建行东莞南城支行</w:t>
      </w:r>
    </w:p>
    <w:p w14:paraId="088ED10C">
      <w:pPr>
        <w:autoSpaceDE w:val="0"/>
        <w:autoSpaceDN w:val="0"/>
        <w:adjustRightInd w:val="0"/>
        <w:spacing w:line="360" w:lineRule="auto"/>
        <w:ind w:left="357" w:leftChars="-100" w:hanging="567" w:hangingChars="270"/>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39.4 中标人如未按第39.1款、第39.2款规定办理，将不予退还其投标保证金。</w:t>
      </w:r>
    </w:p>
    <w:p w14:paraId="79151062">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p>
    <w:p w14:paraId="1420F959">
      <w:pPr>
        <w:tabs>
          <w:tab w:val="left" w:pos="360"/>
        </w:tabs>
        <w:autoSpaceDE w:val="0"/>
        <w:autoSpaceDN w:val="0"/>
        <w:adjustRightInd w:val="0"/>
        <w:spacing w:line="360" w:lineRule="auto"/>
        <w:ind w:left="357" w:leftChars="-100" w:hanging="567"/>
        <w:jc w:val="left"/>
        <w:outlineLvl w:val="0"/>
        <w:rPr>
          <w:rFonts w:hint="eastAsia" w:ascii="宋体" w:hAnsi="宋体" w:eastAsia="宋体" w:cs="宋体"/>
          <w:color w:val="auto"/>
          <w:szCs w:val="21"/>
          <w:highlight w:val="none"/>
          <w:lang w:val="zh-CN"/>
        </w:rPr>
      </w:pPr>
      <w:bookmarkStart w:id="420" w:name="_Toc6796"/>
      <w:bookmarkStart w:id="421" w:name="_Toc31030"/>
      <w:bookmarkStart w:id="422" w:name="_Toc486167704"/>
      <w:bookmarkStart w:id="423" w:name="_Toc142508355"/>
      <w:bookmarkStart w:id="424" w:name="_Toc21985"/>
      <w:bookmarkStart w:id="425" w:name="_Toc23317"/>
      <w:bookmarkStart w:id="426" w:name="_Toc195714261"/>
      <w:bookmarkStart w:id="427" w:name="_Toc6764_WPSOffice_Level3"/>
      <w:r>
        <w:rPr>
          <w:rFonts w:hint="eastAsia" w:ascii="宋体" w:hAnsi="宋体" w:eastAsia="宋体" w:cs="宋体"/>
          <w:color w:val="auto"/>
          <w:szCs w:val="21"/>
          <w:highlight w:val="none"/>
        </w:rPr>
        <w:t>40</w:t>
      </w:r>
      <w:r>
        <w:rPr>
          <w:rFonts w:hint="eastAsia" w:ascii="宋体" w:hAnsi="宋体" w:eastAsia="宋体" w:cs="宋体"/>
          <w:color w:val="auto"/>
          <w:szCs w:val="21"/>
          <w:highlight w:val="none"/>
          <w:lang w:val="zh-CN"/>
        </w:rPr>
        <w:t xml:space="preserve"> 发票</w:t>
      </w:r>
      <w:bookmarkEnd w:id="419"/>
      <w:bookmarkEnd w:id="420"/>
      <w:bookmarkEnd w:id="421"/>
      <w:bookmarkEnd w:id="422"/>
      <w:bookmarkEnd w:id="423"/>
      <w:bookmarkEnd w:id="424"/>
      <w:bookmarkEnd w:id="425"/>
      <w:bookmarkEnd w:id="426"/>
      <w:bookmarkEnd w:id="427"/>
    </w:p>
    <w:p w14:paraId="10060D39">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40</w:t>
      </w:r>
      <w:r>
        <w:rPr>
          <w:rFonts w:hint="eastAsia" w:ascii="宋体" w:hAnsi="宋体" w:eastAsia="宋体" w:cs="宋体"/>
          <w:color w:val="auto"/>
          <w:szCs w:val="21"/>
          <w:highlight w:val="none"/>
          <w:lang w:val="zh-CN"/>
        </w:rPr>
        <w:t>.1</w:t>
      </w:r>
      <w:bookmarkStart w:id="428" w:name="_Toc486167705"/>
      <w:bookmarkStart w:id="429" w:name="_Toc31106_WPSOffice_Level3"/>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lang w:val="zh-CN"/>
        </w:rPr>
        <w:t>该项目获得中标的中标人在执行合同过程中，向招标人出具的发票必须是由中标人开具，不得以其他单位或个人名义出具，本项目中标人向招标人出具的发票类型为增值税</w:t>
      </w:r>
      <w:r>
        <w:rPr>
          <w:rFonts w:hint="eastAsia" w:ascii="宋体" w:hAnsi="宋体" w:eastAsia="宋体" w:cs="宋体"/>
          <w:color w:val="auto"/>
          <w:szCs w:val="21"/>
          <w:highlight w:val="none"/>
          <w:lang w:val="en-US" w:eastAsia="zh-CN"/>
        </w:rPr>
        <w:t>专用</w:t>
      </w:r>
      <w:r>
        <w:rPr>
          <w:rFonts w:hint="eastAsia" w:ascii="宋体" w:hAnsi="宋体" w:eastAsia="宋体" w:cs="宋体"/>
          <w:color w:val="auto"/>
          <w:szCs w:val="21"/>
          <w:highlight w:val="none"/>
          <w:lang w:val="zh-CN"/>
        </w:rPr>
        <w:t>发票。</w:t>
      </w:r>
    </w:p>
    <w:p w14:paraId="20C42ED1">
      <w:pPr>
        <w:autoSpaceDE w:val="0"/>
        <w:autoSpaceDN w:val="0"/>
        <w:adjustRightInd w:val="0"/>
        <w:snapToGrid w:val="0"/>
        <w:spacing w:line="360" w:lineRule="auto"/>
        <w:ind w:left="315" w:leftChars="-100" w:hanging="525" w:hangingChars="250"/>
        <w:jc w:val="left"/>
        <w:rPr>
          <w:rFonts w:hint="eastAsia" w:ascii="宋体" w:hAnsi="宋体" w:eastAsia="宋体" w:cs="宋体"/>
          <w:color w:val="auto"/>
          <w:szCs w:val="21"/>
          <w:highlight w:val="none"/>
        </w:rPr>
      </w:pPr>
    </w:p>
    <w:p w14:paraId="1315A5ED">
      <w:pPr>
        <w:tabs>
          <w:tab w:val="left" w:pos="360"/>
        </w:tabs>
        <w:autoSpaceDE w:val="0"/>
        <w:autoSpaceDN w:val="0"/>
        <w:adjustRightInd w:val="0"/>
        <w:spacing w:line="360" w:lineRule="auto"/>
        <w:ind w:left="357" w:leftChars="-100" w:hanging="567"/>
        <w:jc w:val="left"/>
        <w:outlineLvl w:val="0"/>
        <w:rPr>
          <w:rFonts w:hint="eastAsia" w:ascii="宋体" w:hAnsi="宋体" w:eastAsia="宋体" w:cs="宋体"/>
          <w:b/>
          <w:color w:val="auto"/>
          <w:szCs w:val="21"/>
          <w:highlight w:val="none"/>
        </w:rPr>
      </w:pPr>
      <w:bookmarkStart w:id="430" w:name="_Toc8619"/>
      <w:bookmarkStart w:id="431" w:name="_Toc24547"/>
      <w:bookmarkStart w:id="432" w:name="_Toc10243"/>
      <w:bookmarkStart w:id="433" w:name="_Toc142508356"/>
      <w:bookmarkStart w:id="434" w:name="_Toc195714262"/>
      <w:bookmarkStart w:id="435" w:name="_Toc5624"/>
      <w:r>
        <w:rPr>
          <w:rFonts w:hint="eastAsia" w:ascii="宋体" w:hAnsi="宋体" w:eastAsia="宋体" w:cs="宋体"/>
          <w:b/>
          <w:color w:val="auto"/>
          <w:szCs w:val="21"/>
          <w:highlight w:val="none"/>
        </w:rPr>
        <w:t>41 招标相关补充约定</w:t>
      </w:r>
      <w:bookmarkEnd w:id="430"/>
      <w:bookmarkEnd w:id="431"/>
      <w:bookmarkEnd w:id="432"/>
      <w:bookmarkEnd w:id="433"/>
      <w:bookmarkEnd w:id="434"/>
      <w:bookmarkEnd w:id="435"/>
    </w:p>
    <w:p w14:paraId="6E671E52">
      <w:pPr>
        <w:autoSpaceDE w:val="0"/>
        <w:autoSpaceDN w:val="0"/>
        <w:adjustRightInd w:val="0"/>
        <w:snapToGrid w:val="0"/>
        <w:spacing w:line="360" w:lineRule="auto"/>
        <w:ind w:left="317" w:leftChars="-100" w:hanging="527" w:hangingChars="25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41.1</w:t>
      </w:r>
      <w:r>
        <w:rPr>
          <w:rFonts w:hint="eastAsia" w:ascii="宋体" w:hAnsi="宋体" w:eastAsia="宋体" w:cs="宋体"/>
          <w:b/>
          <w:color w:val="auto"/>
          <w:szCs w:val="21"/>
          <w:highlight w:val="none"/>
        </w:rPr>
        <w:tab/>
      </w:r>
      <w:r>
        <w:rPr>
          <w:rFonts w:hint="eastAsia" w:ascii="宋体" w:hAnsi="宋体" w:eastAsia="宋体" w:cs="宋体"/>
          <w:b/>
          <w:color w:val="auto"/>
          <w:szCs w:val="21"/>
          <w:highlight w:val="none"/>
        </w:rPr>
        <w:t>本项目投标人须知第2条所述行政处罚信息，以开标当天在“信用中国”网站（www.creditchina.gov.cn）查询结果为准，或以司法、仲裁机构等出具的生效文件予以认定,时间以认定文件的落款时间为准。开标结束后，有关投标单位的行政处罚信息，以开标当天查询结果为准；结果公示期间，如投标人对有关投标单位的行政处罚信息存在异议，但不涉及第一中标候选人的，视为对中标结果没有造成实质影响。</w:t>
      </w:r>
    </w:p>
    <w:p w14:paraId="00D0D9EF">
      <w:pPr>
        <w:autoSpaceDE w:val="0"/>
        <w:autoSpaceDN w:val="0"/>
        <w:adjustRightInd w:val="0"/>
        <w:snapToGrid w:val="0"/>
        <w:spacing w:line="360" w:lineRule="auto"/>
        <w:jc w:val="left"/>
        <w:rPr>
          <w:rFonts w:hint="eastAsia" w:ascii="宋体" w:hAnsi="宋体" w:eastAsia="宋体" w:cs="宋体"/>
          <w:color w:val="auto"/>
          <w:szCs w:val="21"/>
          <w:highlight w:val="none"/>
        </w:rPr>
      </w:pPr>
    </w:p>
    <w:p w14:paraId="2757626F">
      <w:pPr>
        <w:tabs>
          <w:tab w:val="left" w:pos="360"/>
        </w:tabs>
        <w:autoSpaceDE w:val="0"/>
        <w:autoSpaceDN w:val="0"/>
        <w:adjustRightInd w:val="0"/>
        <w:spacing w:line="360" w:lineRule="auto"/>
        <w:ind w:left="357" w:leftChars="-100" w:hanging="567"/>
        <w:jc w:val="left"/>
        <w:outlineLvl w:val="2"/>
        <w:rPr>
          <w:rFonts w:hint="eastAsia" w:ascii="宋体" w:hAnsi="宋体" w:eastAsia="宋体" w:cs="宋体"/>
          <w:szCs w:val="21"/>
          <w:highlight w:val="none"/>
        </w:rPr>
      </w:pPr>
      <w:bookmarkStart w:id="436" w:name="_Toc26594"/>
      <w:bookmarkStart w:id="437" w:name="_Toc22346"/>
      <w:bookmarkStart w:id="438" w:name="_Toc142508357"/>
      <w:bookmarkStart w:id="439" w:name="_Toc29758"/>
      <w:bookmarkStart w:id="440" w:name="_Toc195714263"/>
      <w:bookmarkStart w:id="441" w:name="_Toc20859"/>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 xml:space="preserve"> 本次招标活动的最终解释权归招标代理机构及招标人所有。</w:t>
      </w:r>
      <w:bookmarkEnd w:id="428"/>
      <w:bookmarkEnd w:id="429"/>
      <w:bookmarkEnd w:id="436"/>
      <w:bookmarkEnd w:id="437"/>
      <w:bookmarkEnd w:id="438"/>
      <w:bookmarkEnd w:id="439"/>
      <w:bookmarkEnd w:id="440"/>
      <w:bookmarkEnd w:id="441"/>
    </w:p>
    <w:p w14:paraId="346F7E08">
      <w:pPr>
        <w:pageBreakBefore/>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kern w:val="44"/>
          <w:sz w:val="32"/>
          <w:szCs w:val="32"/>
          <w:highlight w:val="none"/>
          <w:lang w:val="zh-CN"/>
        </w:rPr>
      </w:pPr>
      <w:bookmarkStart w:id="442" w:name="_Toc450662891"/>
      <w:bookmarkStart w:id="443" w:name="_Toc27939_WPSOffice_Level1"/>
      <w:bookmarkStart w:id="444" w:name="_Toc7329"/>
      <w:bookmarkStart w:id="445" w:name="_Toc142508358"/>
      <w:bookmarkStart w:id="446" w:name="_Toc14879"/>
      <w:bookmarkStart w:id="447" w:name="_Toc21446"/>
      <w:bookmarkStart w:id="448" w:name="_Toc486167706"/>
      <w:r>
        <w:rPr>
          <w:rFonts w:hint="eastAsia" w:ascii="宋体" w:hAnsi="宋体" w:eastAsia="宋体" w:cs="宋体"/>
          <w:b/>
          <w:bCs/>
          <w:kern w:val="44"/>
          <w:sz w:val="32"/>
          <w:szCs w:val="32"/>
          <w:highlight w:val="none"/>
          <w:lang w:val="zh-CN"/>
        </w:rPr>
        <w:t>第三篇 用户需求书</w:t>
      </w:r>
      <w:bookmarkEnd w:id="442"/>
      <w:bookmarkEnd w:id="443"/>
      <w:bookmarkEnd w:id="444"/>
      <w:bookmarkEnd w:id="445"/>
      <w:bookmarkEnd w:id="446"/>
      <w:bookmarkEnd w:id="447"/>
      <w:bookmarkEnd w:id="448"/>
    </w:p>
    <w:p w14:paraId="77E133F2">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一、招标人基本情况描述</w:t>
      </w:r>
    </w:p>
    <w:p w14:paraId="66F929CF">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东莞市水务环境投资控股集团有限公司（下称“招标人”）是统筹城市供水排水、水环境治理、相关涉水产业项目投资及服务的全产业链综合性集团、市属重点国有企业。2018年3月，经东莞市人民政府批准，招标人在原东莞市东江水务有限公司、东莞市水务投资集团有限公司的基础上组建成立。</w:t>
      </w:r>
    </w:p>
    <w:p w14:paraId="0C584BD1">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根据招标人发展规划，拟申请注册额度不超过</w:t>
      </w:r>
      <w:r>
        <w:rPr>
          <w:rFonts w:hint="eastAsia" w:ascii="宋体" w:hAnsi="宋体" w:eastAsia="宋体" w:cs="宋体"/>
          <w:sz w:val="21"/>
          <w:szCs w:val="21"/>
          <w:lang w:val="en-US" w:eastAsia="zh-CN"/>
        </w:rPr>
        <w:t>60</w:t>
      </w:r>
      <w:r>
        <w:rPr>
          <w:rFonts w:hint="eastAsia" w:ascii="宋体" w:hAnsi="宋体" w:eastAsia="宋体" w:cs="宋体"/>
          <w:sz w:val="21"/>
          <w:szCs w:val="21"/>
        </w:rPr>
        <w:t>亿元、期限不超过3年的公司债（可续期公司债为3+N年，以最终注册的规模、期限为准），并根据本公司资金需求情况分期发行。现采购</w:t>
      </w:r>
      <w:r>
        <w:rPr>
          <w:rFonts w:hint="eastAsia" w:ascii="宋体" w:hAnsi="宋体" w:eastAsia="宋体" w:cs="宋体"/>
          <w:b/>
          <w:bCs/>
          <w:sz w:val="21"/>
          <w:szCs w:val="21"/>
          <w:lang w:val="en-US" w:eastAsia="zh-CN"/>
        </w:rPr>
        <w:t>2</w:t>
      </w:r>
      <w:r>
        <w:rPr>
          <w:rFonts w:hint="eastAsia" w:ascii="宋体" w:hAnsi="宋体" w:eastAsia="宋体" w:cs="宋体"/>
          <w:b/>
          <w:bCs/>
          <w:sz w:val="21"/>
          <w:szCs w:val="21"/>
        </w:rPr>
        <w:t>家（1家牵头主承销商和1家联席主承销商）</w:t>
      </w:r>
      <w:r>
        <w:rPr>
          <w:rFonts w:hint="eastAsia" w:ascii="宋体" w:hAnsi="宋体" w:eastAsia="宋体" w:cs="宋体"/>
          <w:sz w:val="21"/>
          <w:szCs w:val="21"/>
        </w:rPr>
        <w:t>具有合法资质和丰富发行经验的</w:t>
      </w:r>
      <w:r>
        <w:rPr>
          <w:rFonts w:hint="eastAsia" w:ascii="宋体" w:hAnsi="宋体" w:eastAsia="宋体" w:cs="宋体"/>
          <w:b/>
          <w:sz w:val="21"/>
          <w:szCs w:val="21"/>
        </w:rPr>
        <w:t>证券公司</w:t>
      </w:r>
      <w:r>
        <w:rPr>
          <w:rFonts w:hint="eastAsia" w:ascii="宋体" w:hAnsi="宋体" w:eastAsia="宋体" w:cs="宋体"/>
          <w:sz w:val="21"/>
          <w:szCs w:val="21"/>
        </w:rPr>
        <w:t>对本次公司债开展承销工作。</w:t>
      </w:r>
    </w:p>
    <w:p w14:paraId="160F5EAC">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Cs w:val="21"/>
        </w:rPr>
        <w:t>中标人须</w:t>
      </w:r>
      <w:r>
        <w:rPr>
          <w:rFonts w:hint="eastAsia" w:ascii="宋体" w:hAnsi="宋体" w:eastAsia="宋体" w:cs="宋体"/>
          <w:b/>
          <w:bCs/>
          <w:szCs w:val="21"/>
          <w:lang w:val="en-US" w:eastAsia="zh-CN"/>
        </w:rPr>
        <w:t>同意</w:t>
      </w:r>
      <w:r>
        <w:rPr>
          <w:rFonts w:hint="eastAsia" w:ascii="宋体" w:hAnsi="宋体" w:eastAsia="宋体" w:cs="宋体"/>
          <w:b/>
          <w:bCs/>
          <w:szCs w:val="21"/>
        </w:rPr>
        <w:t>，在本次招标结束后，招标人有权视实际情况增聘1家具备公司债主承销资质及发行经验的境内证券公司作为联席主承销商，协同完成本次债券注册发行工作。</w:t>
      </w:r>
    </w:p>
    <w:p w14:paraId="718096B3">
      <w:pPr>
        <w:autoSpaceDE/>
        <w:autoSpaceDN/>
        <w:adjustRightInd/>
        <w:spacing w:line="360" w:lineRule="auto"/>
        <w:ind w:firstLine="420" w:firstLineChars="200"/>
        <w:rPr>
          <w:rFonts w:hint="eastAsia" w:ascii="宋体" w:hAnsi="宋体" w:eastAsia="宋体" w:cs="宋体"/>
          <w:sz w:val="21"/>
          <w:szCs w:val="21"/>
        </w:rPr>
      </w:pPr>
    </w:p>
    <w:p w14:paraId="644F7463">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二、服务要求</w:t>
      </w:r>
    </w:p>
    <w:p w14:paraId="6F2ECEB5">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（一）结合本公司要求，做好前期准备工作并对本次公司债注册发行的可行性提供建议，包括但不限于方案设计、尽职调查、市场调查分析等，制定最优发行方案。</w:t>
      </w:r>
    </w:p>
    <w:p w14:paraId="615F15FB">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（二）协调项目运行过程中所需各专业机构，包括会计师事务所、律师事务所、评级机构等。</w:t>
      </w:r>
    </w:p>
    <w:p w14:paraId="1A3A5518">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（三）起草、完善本次注册发行公司债相关文件，对其他中介机构提供的申报材料进行总体把关，以完成全套申报材料的制作。</w:t>
      </w:r>
    </w:p>
    <w:p w14:paraId="705EDAF8">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（四）负责申报材料上报后，与监管部门沟通，推进审批进程，确保审批顺利。</w:t>
      </w:r>
    </w:p>
    <w:p w14:paraId="1BBA149F">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五）在簿记建档前的初次询价结束后、簿记建档截标前、簿记建档结束后三个时间点向招标人提供“投资者认购单”。并汇总投资者反馈的信息，与招标人讨论确定合理价格区间。“投资者认购单”应至少包括：（1）投资者名称；（2）申购金额；（3）申购利率三个要素。</w:t>
      </w:r>
    </w:p>
    <w:p w14:paraId="2401CE90">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（六）承销比例由</w:t>
      </w:r>
      <w:r>
        <w:rPr>
          <w:rFonts w:hint="eastAsia" w:ascii="宋体" w:hAnsi="宋体" w:eastAsia="宋体" w:cs="宋体"/>
          <w:b/>
          <w:bCs/>
          <w:sz w:val="21"/>
          <w:szCs w:val="21"/>
          <w:lang w:val="en-US" w:eastAsia="zh-CN"/>
        </w:rPr>
        <w:t>各</w:t>
      </w:r>
      <w:r>
        <w:rPr>
          <w:rFonts w:hint="eastAsia" w:ascii="宋体" w:hAnsi="宋体" w:eastAsia="宋体" w:cs="宋体"/>
          <w:b/>
          <w:bCs/>
          <w:sz w:val="21"/>
          <w:szCs w:val="21"/>
        </w:rPr>
        <w:t>家承销商自行商议确定，各承销商应依托自身客户资源，按承销比例履行余额包销义务。</w:t>
      </w:r>
    </w:p>
    <w:p w14:paraId="7F796352">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（七）按时足额将本次债券承销款项划入招标人指定账户。</w:t>
      </w:r>
    </w:p>
    <w:p w14:paraId="66D1EE2D">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（八）协助办理债券登记托管及上市流通。</w:t>
      </w:r>
    </w:p>
    <w:p w14:paraId="2D246E7D">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（九）协助付息及本金兑付工作，跟踪做好年度信息或重大信息披露工作。</w:t>
      </w:r>
    </w:p>
    <w:p w14:paraId="2318B769">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（十）提供后续咨询服务，根据招标人需要，向招标人提供关于有关债券市场业务的日常咨询。</w:t>
      </w:r>
    </w:p>
    <w:p w14:paraId="5326CA47">
      <w:pPr>
        <w:autoSpaceDE/>
        <w:autoSpaceDN/>
        <w:adjustRightInd/>
        <w:spacing w:line="360" w:lineRule="auto"/>
        <w:ind w:firstLine="420" w:firstLineChars="200"/>
        <w:rPr>
          <w:rFonts w:hint="eastAsia" w:ascii="宋体" w:hAnsi="宋体" w:eastAsia="宋体" w:cs="宋体"/>
        </w:rPr>
      </w:pPr>
      <w:r>
        <w:rPr>
          <w:rFonts w:hint="eastAsia" w:ascii="宋体" w:hAnsi="宋体" w:eastAsia="宋体" w:cs="宋体"/>
          <w:sz w:val="21"/>
          <w:szCs w:val="21"/>
        </w:rPr>
        <w:t>（十一）服务机构应组建人员充足、结构分工合理、综合素质高、有丰富的同类项目工作经验的专业项目团队，投标文件中所承诺的人员应确保到位，项目启动后，项目人员不得随意更换，以保障高效、优质地完成债券发行工作。</w:t>
      </w:r>
    </w:p>
    <w:p w14:paraId="40B41762">
      <w:pPr>
        <w:autoSpaceDE/>
        <w:autoSpaceDN/>
        <w:adjustRightInd/>
        <w:spacing w:line="360" w:lineRule="auto"/>
        <w:ind w:firstLine="422" w:firstLineChars="200"/>
        <w:jc w:val="both"/>
        <w:rPr>
          <w:rFonts w:hint="eastAsia" w:ascii="宋体" w:hAnsi="宋体" w:eastAsia="宋体" w:cs="宋体"/>
          <w:b/>
          <w:bCs/>
          <w:sz w:val="21"/>
          <w:szCs w:val="21"/>
        </w:rPr>
      </w:pPr>
    </w:p>
    <w:p w14:paraId="49D86FEA">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三、服务期</w:t>
      </w:r>
    </w:p>
    <w:p w14:paraId="51FE9DD2">
      <w:pPr>
        <w:autoSpaceDE/>
        <w:autoSpaceDN/>
        <w:adjustRightInd/>
        <w:spacing w:line="360" w:lineRule="auto"/>
        <w:ind w:firstLine="420" w:firstLineChars="200"/>
        <w:rPr>
          <w:rFonts w:hint="eastAsia" w:ascii="宋体" w:hAnsi="宋体" w:eastAsia="宋体" w:cs="宋体"/>
        </w:rPr>
      </w:pPr>
      <w:r>
        <w:rPr>
          <w:rFonts w:hint="eastAsia" w:ascii="宋体" w:hAnsi="宋体" w:eastAsia="宋体" w:cs="宋体"/>
          <w:sz w:val="21"/>
          <w:szCs w:val="21"/>
        </w:rPr>
        <w:t>本项目服务期自签订服务合同之日起至本项目工作全部完成止。</w:t>
      </w:r>
    </w:p>
    <w:p w14:paraId="356D7FB7">
      <w:pPr>
        <w:autoSpaceDE/>
        <w:autoSpaceDN/>
        <w:adjustRightInd/>
        <w:spacing w:line="360" w:lineRule="auto"/>
        <w:ind w:firstLine="422" w:firstLineChars="200"/>
        <w:jc w:val="both"/>
        <w:rPr>
          <w:rFonts w:hint="eastAsia" w:ascii="宋体" w:hAnsi="宋体" w:eastAsia="宋体" w:cs="宋体"/>
          <w:b/>
          <w:bCs/>
          <w:sz w:val="21"/>
          <w:szCs w:val="21"/>
        </w:rPr>
      </w:pPr>
    </w:p>
    <w:p w14:paraId="3F38B9D1">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四、费用组成及支付</w:t>
      </w:r>
    </w:p>
    <w:p w14:paraId="5F7B584C">
      <w:pPr>
        <w:autoSpaceDE/>
        <w:autoSpaceDN/>
        <w:adjustRightInd/>
        <w:spacing w:line="360" w:lineRule="auto"/>
        <w:ind w:firstLine="422" w:firstLineChars="200"/>
        <w:rPr>
          <w:rFonts w:hint="eastAsia" w:ascii="宋体" w:hAnsi="宋体" w:eastAsia="宋体" w:cs="宋体"/>
          <w:sz w:val="21"/>
          <w:szCs w:val="21"/>
        </w:rPr>
      </w:pPr>
      <w:r>
        <w:rPr>
          <w:rFonts w:hint="eastAsia" w:ascii="宋体" w:hAnsi="宋体" w:eastAsia="宋体" w:cs="宋体"/>
          <w:b/>
          <w:bCs/>
          <w:sz w:val="21"/>
          <w:szCs w:val="21"/>
        </w:rPr>
        <w:t>★1.承销费用。本项目采用承销费率的方式进行报价，即以承销费占募集款项的比例的形式报价。本次费用已含中标人履行本招标内容全部义务的一切费用，包括但不限于发行费、文本制作费、信息披露费、修改费、咨询费、审查费、报批费用、现场服务费、差旅费、通讯费、现场办公费、税金及利润、路演推介费等投标人全面妥善履行发行工作内容的全部费用，除律师费、评级费、会计师费、登记托管兑付费以及双方另有约定的应由招标人支付的项目外，招标人不再支付其他任何费用。</w:t>
      </w:r>
    </w:p>
    <w:p w14:paraId="18BCA244">
      <w:pPr>
        <w:autoSpaceDE/>
        <w:autoSpaceDN/>
        <w:adjustRightInd/>
        <w:spacing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在本项目服务过程中，招标人将向受托管理人（即牵头主承销商）支付受托管理费，受托管理费的含税最高限价为150,000.00元（大写：人民币壹拾伍万元整），投标人须单独填报受托管理费投标报价，且投标报价不得超过含税最高限价。该费用为固定总价包干（包含牵头主承销商在存续期内所有受托管理服务的成本、税费，不包含承销费、登记托管费等发行阶段费用），除发生合同约定的变更情形外，结算时不予调整</w:t>
      </w:r>
      <w:r>
        <w:rPr>
          <w:rFonts w:hint="eastAsia" w:ascii="宋体" w:hAnsi="宋体" w:eastAsia="宋体" w:cs="宋体"/>
          <w:b/>
          <w:bCs/>
          <w:color w:val="auto"/>
          <w:sz w:val="21"/>
          <w:szCs w:val="21"/>
          <w:highlight w:val="none"/>
        </w:rPr>
        <w:t>。</w:t>
      </w:r>
    </w:p>
    <w:p w14:paraId="5169A19F">
      <w:pPr>
        <w:autoSpaceDE/>
        <w:autoSpaceDN/>
        <w:adjustRightInd/>
        <w:spacing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★联席主承销商报价若高于主承销商报价，则联席主承销商承销费率</w:t>
      </w:r>
      <w:r>
        <w:rPr>
          <w:rFonts w:hint="eastAsia" w:ascii="宋体" w:hAnsi="宋体" w:eastAsia="宋体" w:cs="宋体"/>
          <w:b/>
          <w:bCs/>
          <w:color w:val="auto"/>
          <w:sz w:val="21"/>
          <w:szCs w:val="21"/>
          <w:highlight w:val="none"/>
          <w:lang w:val="en-US" w:eastAsia="zh-CN"/>
        </w:rPr>
        <w:t>必须</w:t>
      </w:r>
      <w:r>
        <w:rPr>
          <w:rFonts w:hint="eastAsia" w:ascii="宋体" w:hAnsi="宋体" w:eastAsia="宋体" w:cs="宋体"/>
          <w:b/>
          <w:bCs/>
          <w:color w:val="auto"/>
          <w:sz w:val="21"/>
          <w:szCs w:val="21"/>
          <w:highlight w:val="none"/>
        </w:rPr>
        <w:t>以主承销商报价作为最终承销费率收取标准。</w:t>
      </w:r>
    </w:p>
    <w:p w14:paraId="729AEEE7">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费用支付。招标人按年向承销商支付承销费用，首年承销费由簿记管理人在缴款日从募集资金中扣收，后续每年承销费由招标人在当期公司债缴款日在每年的对应日（到期还本付息日除外）且收到请款申请及等额、合法、抬头为招标人的增值税专用发票后十个工作日内支付。如招标人在本次公司债获得注册后的有效期内没有发行，招标人无需向承销商支付承销费用。</w:t>
      </w:r>
    </w:p>
    <w:p w14:paraId="2A68C7C5">
      <w:pPr>
        <w:widowControl/>
        <w:autoSpaceDE/>
        <w:autoSpaceDN/>
        <w:adjustRightInd/>
        <w:spacing w:line="360" w:lineRule="auto"/>
        <w:ind w:firstLine="422" w:firstLineChars="200"/>
        <w:rPr>
          <w:rFonts w:hint="eastAsia" w:ascii="宋体" w:hAnsi="宋体" w:eastAsia="宋体" w:cs="宋体"/>
          <w:b/>
          <w:bCs/>
          <w:sz w:val="21"/>
          <w:szCs w:val="21"/>
        </w:rPr>
      </w:pPr>
    </w:p>
    <w:p w14:paraId="5DE97CA5">
      <w:pPr>
        <w:widowControl/>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sz w:val="21"/>
          <w:szCs w:val="21"/>
        </w:rPr>
        <w:t>五、争端的解决</w:t>
      </w:r>
    </w:p>
    <w:p w14:paraId="74CEE7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b/>
          <w:szCs w:val="21"/>
          <w:highlight w:val="none"/>
        </w:rPr>
      </w:pPr>
      <w:r>
        <w:rPr>
          <w:rFonts w:hint="eastAsia" w:ascii="宋体" w:hAnsi="宋体" w:eastAsia="宋体" w:cs="宋体"/>
          <w:sz w:val="21"/>
          <w:szCs w:val="21"/>
        </w:rPr>
        <w:t>合同执行过程中发生的任何争议，如双方不能通过友好协商解决，任何一方可向招标人所在地有管辖权的人民法院提起诉讼。</w:t>
      </w:r>
    </w:p>
    <w:p w14:paraId="27B2EE19">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br w:type="page"/>
      </w:r>
    </w:p>
    <w:p w14:paraId="2875A2BF">
      <w:pPr>
        <w:pageBreakBefore/>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kern w:val="44"/>
          <w:sz w:val="32"/>
          <w:szCs w:val="32"/>
          <w:highlight w:val="none"/>
          <w:lang w:val="zh-CN"/>
        </w:rPr>
      </w:pPr>
      <w:bookmarkStart w:id="449" w:name="_Toc20401"/>
      <w:bookmarkStart w:id="450" w:name="_Toc450662892"/>
      <w:bookmarkStart w:id="451" w:name="_Toc11281_WPSOffice_Level1"/>
      <w:bookmarkStart w:id="452" w:name="_Toc142508359"/>
      <w:bookmarkStart w:id="453" w:name="_Toc25251"/>
      <w:bookmarkStart w:id="454" w:name="_Toc15247"/>
      <w:bookmarkStart w:id="455" w:name="_Toc486167707"/>
      <w:r>
        <w:rPr>
          <w:rFonts w:hint="eastAsia" w:ascii="宋体" w:hAnsi="宋体" w:eastAsia="宋体" w:cs="宋体"/>
          <w:b/>
          <w:bCs/>
          <w:kern w:val="44"/>
          <w:sz w:val="32"/>
          <w:szCs w:val="32"/>
          <w:highlight w:val="none"/>
          <w:lang w:val="zh-CN"/>
        </w:rPr>
        <w:t>第四篇 合同条款格式</w:t>
      </w:r>
      <w:bookmarkEnd w:id="449"/>
      <w:bookmarkEnd w:id="450"/>
      <w:bookmarkEnd w:id="451"/>
      <w:bookmarkEnd w:id="452"/>
      <w:bookmarkEnd w:id="453"/>
      <w:bookmarkEnd w:id="454"/>
      <w:bookmarkEnd w:id="455"/>
    </w:p>
    <w:p w14:paraId="5E952594">
      <w:pPr>
        <w:autoSpaceDE w:val="0"/>
        <w:autoSpaceDN w:val="0"/>
        <w:adjustRightInd w:val="0"/>
        <w:snapToGrid w:val="0"/>
        <w:spacing w:line="360" w:lineRule="auto"/>
        <w:jc w:val="center"/>
        <w:rPr>
          <w:rFonts w:hint="eastAsia" w:ascii="宋体" w:hAnsi="宋体" w:eastAsia="宋体" w:cs="宋体"/>
          <w:kern w:val="0"/>
          <w:sz w:val="24"/>
          <w:szCs w:val="24"/>
          <w:highlight w:val="none"/>
        </w:rPr>
      </w:pPr>
    </w:p>
    <w:p w14:paraId="47863E17">
      <w:pPr>
        <w:autoSpaceDE w:val="0"/>
        <w:autoSpaceDN w:val="0"/>
        <w:adjustRightInd w:val="0"/>
        <w:snapToGrid w:val="0"/>
        <w:spacing w:line="360" w:lineRule="auto"/>
        <w:jc w:val="center"/>
        <w:rPr>
          <w:rFonts w:hint="eastAsia" w:ascii="宋体" w:hAnsi="宋体" w:eastAsia="宋体" w:cs="宋体"/>
          <w:kern w:val="0"/>
          <w:sz w:val="24"/>
          <w:szCs w:val="24"/>
          <w:highlight w:val="none"/>
        </w:rPr>
      </w:pPr>
    </w:p>
    <w:p w14:paraId="459BFCB1">
      <w:pPr>
        <w:autoSpaceDE w:val="0"/>
        <w:autoSpaceDN w:val="0"/>
        <w:adjustRightInd w:val="0"/>
        <w:snapToGrid w:val="0"/>
        <w:spacing w:line="360" w:lineRule="auto"/>
        <w:jc w:val="center"/>
        <w:rPr>
          <w:rFonts w:hint="eastAsia" w:ascii="宋体" w:hAnsi="宋体" w:eastAsia="宋体" w:cs="宋体"/>
          <w:kern w:val="0"/>
          <w:sz w:val="24"/>
          <w:szCs w:val="24"/>
          <w:highlight w:val="none"/>
        </w:rPr>
      </w:pPr>
    </w:p>
    <w:p w14:paraId="347D6D97">
      <w:pPr>
        <w:autoSpaceDE w:val="0"/>
        <w:autoSpaceDN w:val="0"/>
        <w:adjustRightInd w:val="0"/>
        <w:spacing w:line="360" w:lineRule="auto"/>
        <w:jc w:val="center"/>
        <w:rPr>
          <w:rFonts w:hint="eastAsia" w:ascii="宋体" w:hAnsi="宋体" w:eastAsia="宋体" w:cs="Times New Roman"/>
          <w:b/>
          <w:kern w:val="0"/>
          <w:sz w:val="52"/>
          <w:szCs w:val="96"/>
          <w:highlight w:val="none"/>
          <w:lang w:eastAsia="zh-CN"/>
        </w:rPr>
      </w:pPr>
      <w:r>
        <w:rPr>
          <w:rFonts w:hint="eastAsia" w:ascii="宋体" w:hAnsi="宋体" w:eastAsia="宋体" w:cs="Times New Roman"/>
          <w:b/>
          <w:kern w:val="0"/>
          <w:sz w:val="52"/>
          <w:szCs w:val="96"/>
          <w:highlight w:val="none"/>
          <w:lang w:eastAsia="zh-CN"/>
        </w:rPr>
        <w:t>东莞市水务环境投资控股集团有限公司</w:t>
      </w:r>
    </w:p>
    <w:p w14:paraId="535767B1">
      <w:pPr>
        <w:autoSpaceDE w:val="0"/>
        <w:autoSpaceDN w:val="0"/>
        <w:adjustRightInd w:val="0"/>
        <w:spacing w:line="360" w:lineRule="auto"/>
        <w:jc w:val="center"/>
        <w:rPr>
          <w:rFonts w:ascii="宋体" w:hAnsi="宋体" w:eastAsia="宋体" w:cs="Times New Roman"/>
          <w:bCs/>
          <w:kern w:val="0"/>
          <w:sz w:val="52"/>
          <w:szCs w:val="52"/>
          <w:highlight w:val="none"/>
        </w:rPr>
      </w:pPr>
      <w:r>
        <w:rPr>
          <w:rFonts w:hint="eastAsia" w:ascii="宋体" w:hAnsi="宋体" w:eastAsia="宋体" w:cs="Times New Roman"/>
          <w:b/>
          <w:kern w:val="0"/>
          <w:sz w:val="52"/>
          <w:szCs w:val="96"/>
          <w:highlight w:val="none"/>
          <w:lang w:eastAsia="zh-CN"/>
        </w:rPr>
        <w:t>公司债承销协议</w:t>
      </w:r>
    </w:p>
    <w:p w14:paraId="6E6A81B5">
      <w:pPr>
        <w:autoSpaceDE w:val="0"/>
        <w:autoSpaceDN w:val="0"/>
        <w:adjustRightInd w:val="0"/>
        <w:spacing w:line="360" w:lineRule="auto"/>
        <w:jc w:val="center"/>
        <w:rPr>
          <w:rFonts w:hint="eastAsia" w:ascii="宋体" w:hAnsi="宋体" w:eastAsia="宋体" w:cs="宋体"/>
          <w:b/>
          <w:kern w:val="0"/>
          <w:sz w:val="52"/>
          <w:szCs w:val="96"/>
          <w:highlight w:val="none"/>
          <w:lang w:eastAsia="zh-CN"/>
        </w:rPr>
      </w:pPr>
    </w:p>
    <w:p w14:paraId="06126D0B">
      <w:pPr>
        <w:autoSpaceDE w:val="0"/>
        <w:autoSpaceDN w:val="0"/>
        <w:adjustRightInd w:val="0"/>
        <w:spacing w:line="360" w:lineRule="auto"/>
        <w:jc w:val="center"/>
        <w:rPr>
          <w:rFonts w:hint="eastAsia" w:ascii="宋体" w:hAnsi="宋体" w:eastAsia="宋体" w:cs="宋体"/>
          <w:bCs/>
          <w:kern w:val="0"/>
          <w:sz w:val="52"/>
          <w:szCs w:val="52"/>
          <w:highlight w:val="none"/>
        </w:rPr>
      </w:pPr>
    </w:p>
    <w:p w14:paraId="1BEE6985">
      <w:pPr>
        <w:autoSpaceDE w:val="0"/>
        <w:autoSpaceDN w:val="0"/>
        <w:adjustRightInd w:val="0"/>
        <w:spacing w:before="840" w:beforeLines="350" w:after="360" w:afterLines="150" w:line="360" w:lineRule="auto"/>
        <w:jc w:val="center"/>
        <w:rPr>
          <w:rFonts w:hint="eastAsia" w:ascii="宋体" w:hAnsi="宋体" w:eastAsia="宋体" w:cs="宋体"/>
          <w:b/>
          <w:bCs/>
          <w:spacing w:val="60"/>
          <w:kern w:val="0"/>
          <w:sz w:val="52"/>
          <w:szCs w:val="52"/>
          <w:highlight w:val="none"/>
        </w:rPr>
      </w:pPr>
      <w:r>
        <w:rPr>
          <w:rFonts w:hint="eastAsia" w:ascii="宋体" w:hAnsi="宋体" w:eastAsia="宋体" w:cs="宋体"/>
          <w:b/>
          <w:bCs/>
          <w:spacing w:val="60"/>
          <w:kern w:val="0"/>
          <w:sz w:val="52"/>
          <w:szCs w:val="52"/>
          <w:highlight w:val="none"/>
        </w:rPr>
        <w:t>采购合同</w:t>
      </w:r>
    </w:p>
    <w:p w14:paraId="1653FE4E">
      <w:pPr>
        <w:autoSpaceDE w:val="0"/>
        <w:autoSpaceDN w:val="0"/>
        <w:adjustRightInd w:val="0"/>
        <w:spacing w:line="360" w:lineRule="auto"/>
        <w:jc w:val="center"/>
        <w:rPr>
          <w:rFonts w:hint="eastAsia" w:ascii="宋体" w:hAnsi="宋体" w:eastAsia="宋体" w:cs="宋体"/>
          <w:b/>
          <w:bCs/>
          <w:kern w:val="0"/>
          <w:sz w:val="24"/>
          <w:szCs w:val="21"/>
          <w:highlight w:val="none"/>
        </w:rPr>
      </w:pPr>
      <w:r>
        <w:rPr>
          <w:rFonts w:hint="eastAsia" w:ascii="宋体" w:hAnsi="宋体" w:eastAsia="宋体" w:cs="宋体"/>
          <w:b/>
          <w:bCs/>
          <w:kern w:val="0"/>
          <w:sz w:val="24"/>
          <w:szCs w:val="21"/>
          <w:highlight w:val="none"/>
        </w:rPr>
        <w:t>（合同编号：       ）</w:t>
      </w:r>
    </w:p>
    <w:p w14:paraId="6DED8C87">
      <w:pPr>
        <w:autoSpaceDE w:val="0"/>
        <w:autoSpaceDN w:val="0"/>
        <w:adjustRightInd w:val="0"/>
        <w:spacing w:line="360" w:lineRule="auto"/>
        <w:jc w:val="left"/>
        <w:rPr>
          <w:rFonts w:hint="eastAsia" w:ascii="宋体" w:hAnsi="宋体" w:eastAsia="宋体" w:cs="宋体"/>
          <w:b/>
          <w:bCs/>
          <w:kern w:val="0"/>
          <w:sz w:val="24"/>
          <w:szCs w:val="21"/>
          <w:highlight w:val="none"/>
        </w:rPr>
      </w:pPr>
    </w:p>
    <w:p w14:paraId="3065ACE2">
      <w:pPr>
        <w:autoSpaceDE w:val="0"/>
        <w:autoSpaceDN w:val="0"/>
        <w:adjustRightInd w:val="0"/>
        <w:spacing w:line="360" w:lineRule="auto"/>
        <w:jc w:val="left"/>
        <w:rPr>
          <w:rFonts w:hint="eastAsia" w:ascii="宋体" w:hAnsi="宋体" w:eastAsia="宋体" w:cs="宋体"/>
          <w:b/>
          <w:bCs/>
          <w:kern w:val="0"/>
          <w:sz w:val="24"/>
          <w:szCs w:val="21"/>
          <w:highlight w:val="none"/>
        </w:rPr>
      </w:pPr>
    </w:p>
    <w:p w14:paraId="29BDE9D3">
      <w:pPr>
        <w:autoSpaceDE w:val="0"/>
        <w:autoSpaceDN w:val="0"/>
        <w:adjustRightInd w:val="0"/>
        <w:spacing w:line="360" w:lineRule="auto"/>
        <w:jc w:val="left"/>
        <w:rPr>
          <w:rFonts w:hint="eastAsia" w:ascii="宋体" w:hAnsi="宋体" w:eastAsia="宋体" w:cs="宋体"/>
          <w:b/>
          <w:bCs/>
          <w:kern w:val="0"/>
          <w:sz w:val="24"/>
          <w:szCs w:val="21"/>
          <w:highlight w:val="none"/>
        </w:rPr>
      </w:pPr>
    </w:p>
    <w:p w14:paraId="54574673">
      <w:pPr>
        <w:autoSpaceDE w:val="0"/>
        <w:autoSpaceDN w:val="0"/>
        <w:adjustRightInd w:val="0"/>
        <w:spacing w:line="360" w:lineRule="auto"/>
        <w:jc w:val="left"/>
        <w:rPr>
          <w:rFonts w:hint="eastAsia" w:ascii="宋体" w:hAnsi="宋体" w:eastAsia="宋体" w:cs="宋体"/>
          <w:b/>
          <w:bCs/>
          <w:kern w:val="0"/>
          <w:sz w:val="24"/>
          <w:szCs w:val="21"/>
          <w:highlight w:val="none"/>
        </w:rPr>
      </w:pPr>
    </w:p>
    <w:p w14:paraId="3AD67E58">
      <w:pPr>
        <w:autoSpaceDE w:val="0"/>
        <w:autoSpaceDN w:val="0"/>
        <w:adjustRightInd w:val="0"/>
        <w:spacing w:line="480" w:lineRule="auto"/>
        <w:ind w:firstLine="1102" w:firstLineChars="392"/>
        <w:jc w:val="left"/>
        <w:rPr>
          <w:rFonts w:ascii="宋体" w:hAnsi="宋体" w:eastAsia="宋体" w:cs="Times New Roman"/>
          <w:b/>
          <w:bCs/>
          <w:kern w:val="0"/>
          <w:sz w:val="28"/>
          <w:szCs w:val="28"/>
          <w:highlight w:val="none"/>
        </w:rPr>
      </w:pPr>
      <w:r>
        <w:rPr>
          <w:rFonts w:hint="eastAsia" w:ascii="宋体" w:hAnsi="宋体" w:eastAsia="宋体" w:cs="Times New Roman"/>
          <w:b/>
          <w:bCs/>
          <w:kern w:val="0"/>
          <w:sz w:val="28"/>
          <w:szCs w:val="28"/>
          <w:highlight w:val="none"/>
        </w:rPr>
        <w:t>合同编号：</w:t>
      </w:r>
      <w:r>
        <w:rPr>
          <w:rFonts w:hint="eastAsia" w:ascii="宋体" w:hAnsi="宋体" w:eastAsia="宋体" w:cs="Times New Roman"/>
          <w:b/>
          <w:bCs/>
          <w:kern w:val="0"/>
          <w:sz w:val="28"/>
          <w:szCs w:val="28"/>
          <w:highlight w:val="none"/>
          <w:u w:val="single"/>
        </w:rPr>
        <w:t xml:space="preserve">                          </w:t>
      </w:r>
    </w:p>
    <w:p w14:paraId="486A02C5">
      <w:pPr>
        <w:autoSpaceDE w:val="0"/>
        <w:autoSpaceDN w:val="0"/>
        <w:adjustRightInd w:val="0"/>
        <w:spacing w:line="360" w:lineRule="auto"/>
        <w:ind w:firstLine="1102" w:firstLineChars="392"/>
        <w:jc w:val="left"/>
        <w:rPr>
          <w:rFonts w:hint="default"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rPr>
        <w:t>签约地点：</w:t>
      </w:r>
      <w:r>
        <w:rPr>
          <w:rFonts w:hint="eastAsia" w:ascii="宋体" w:hAnsi="宋体" w:eastAsia="宋体" w:cs="宋体"/>
          <w:b/>
          <w:bCs/>
          <w:kern w:val="0"/>
          <w:sz w:val="28"/>
          <w:szCs w:val="28"/>
          <w:highlight w:val="none"/>
          <w:u w:val="single"/>
          <w:lang w:val="en-US" w:eastAsia="zh-CN"/>
        </w:rPr>
        <w:t xml:space="preserve">       </w:t>
      </w:r>
      <w:r>
        <w:rPr>
          <w:rFonts w:hint="eastAsia" w:ascii="宋体" w:hAnsi="宋体" w:eastAsia="宋体" w:cs="宋体"/>
          <w:b/>
          <w:bCs/>
          <w:kern w:val="0"/>
          <w:sz w:val="28"/>
          <w:szCs w:val="28"/>
          <w:highlight w:val="none"/>
          <w:u w:val="single"/>
        </w:rPr>
        <w:t>东莞</w:t>
      </w:r>
      <w:r>
        <w:rPr>
          <w:rFonts w:hint="eastAsia" w:ascii="宋体" w:hAnsi="宋体" w:eastAsia="宋体" w:cs="宋体"/>
          <w:b/>
          <w:bCs/>
          <w:kern w:val="0"/>
          <w:sz w:val="28"/>
          <w:szCs w:val="28"/>
          <w:highlight w:val="none"/>
          <w:u w:val="single"/>
          <w:lang w:val="en-US" w:eastAsia="zh-CN"/>
        </w:rPr>
        <w:t xml:space="preserve">               </w:t>
      </w:r>
    </w:p>
    <w:p w14:paraId="0F726B5F">
      <w:pPr>
        <w:autoSpaceDE w:val="0"/>
        <w:autoSpaceDN w:val="0"/>
        <w:adjustRightInd w:val="0"/>
        <w:spacing w:line="360" w:lineRule="auto"/>
        <w:ind w:firstLine="1102" w:firstLineChars="392"/>
        <w:jc w:val="left"/>
        <w:rPr>
          <w:rFonts w:hint="eastAsia" w:ascii="宋体" w:hAnsi="宋体" w:eastAsia="宋体" w:cs="宋体"/>
          <w:b/>
          <w:bCs/>
          <w:kern w:val="0"/>
          <w:sz w:val="28"/>
          <w:szCs w:val="28"/>
          <w:highlight w:val="none"/>
        </w:rPr>
      </w:pPr>
    </w:p>
    <w:p w14:paraId="62A9D05C">
      <w:pPr>
        <w:autoSpaceDE w:val="0"/>
        <w:autoSpaceDN w:val="0"/>
        <w:adjustRightInd w:val="0"/>
        <w:spacing w:line="360" w:lineRule="auto"/>
        <w:ind w:firstLine="1102" w:firstLineChars="392"/>
        <w:jc w:val="left"/>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签订日期：   年   月   日</w:t>
      </w:r>
    </w:p>
    <w:p w14:paraId="2B4B284C">
      <w:pPr>
        <w:autoSpaceDE w:val="0"/>
        <w:autoSpaceDN w:val="0"/>
        <w:adjustRightInd w:val="0"/>
        <w:jc w:val="left"/>
        <w:rPr>
          <w:rFonts w:hint="eastAsia" w:ascii="宋体" w:hAnsi="宋体" w:eastAsia="宋体" w:cs="宋体"/>
          <w:b/>
          <w:bCs/>
          <w:kern w:val="0"/>
          <w:sz w:val="28"/>
          <w:szCs w:val="28"/>
          <w:highlight w:val="none"/>
        </w:rPr>
      </w:pPr>
    </w:p>
    <w:p w14:paraId="7C098D22">
      <w:pPr>
        <w:rPr>
          <w:rFonts w:hint="eastAsia" w:ascii="宋体" w:hAnsi="宋体" w:eastAsia="宋体" w:cs="宋体"/>
          <w:kern w:val="0"/>
          <w:szCs w:val="21"/>
          <w:highlight w:val="none"/>
        </w:rPr>
      </w:pPr>
      <w:r>
        <w:rPr>
          <w:rFonts w:hint="eastAsia" w:ascii="宋体" w:hAnsi="宋体" w:eastAsia="宋体" w:cs="宋体"/>
          <w:kern w:val="0"/>
          <w:szCs w:val="21"/>
          <w:highlight w:val="none"/>
        </w:rPr>
        <w:br w:type="page"/>
      </w:r>
    </w:p>
    <w:p w14:paraId="098E72BA">
      <w:pPr>
        <w:keepNext w:val="0"/>
        <w:keepLines w:val="0"/>
        <w:pageBreakBefore/>
        <w:widowControl w:val="0"/>
        <w:tabs>
          <w:tab w:val="left" w:pos="720"/>
        </w:tabs>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1"/>
          <w:szCs w:val="21"/>
        </w:rPr>
      </w:pPr>
      <w:r>
        <w:rPr>
          <w:rFonts w:hint="eastAsia" w:ascii="宋体" w:hAnsi="宋体" w:eastAsia="宋体" w:cs="宋体"/>
          <w:sz w:val="21"/>
          <w:szCs w:val="21"/>
        </w:rPr>
        <w:t>本协议由下列协议方于年   月   日在广东省东莞市签订：</w:t>
      </w:r>
    </w:p>
    <w:p w14:paraId="36FBF7A1">
      <w:pPr>
        <w:tabs>
          <w:tab w:val="left" w:pos="720"/>
        </w:tabs>
        <w:spacing w:line="360" w:lineRule="auto"/>
        <w:outlineLvl w:val="9"/>
        <w:rPr>
          <w:rFonts w:hint="eastAsia" w:ascii="宋体" w:hAnsi="宋体" w:eastAsia="宋体" w:cs="宋体"/>
          <w:sz w:val="21"/>
          <w:szCs w:val="21"/>
        </w:rPr>
      </w:pPr>
    </w:p>
    <w:p w14:paraId="4C34620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1、甲方：东莞市水务环境投资控股集团有限公司(以下称“发行人”) </w:t>
      </w:r>
    </w:p>
    <w:p w14:paraId="562A60FA">
      <w:pPr>
        <w:tabs>
          <w:tab w:val="left" w:pos="720"/>
        </w:tabs>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注册地址：</w:t>
      </w:r>
    </w:p>
    <w:p w14:paraId="3A2E94F0">
      <w:pPr>
        <w:tabs>
          <w:tab w:val="left" w:pos="720"/>
        </w:tabs>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法定代表人：</w:t>
      </w:r>
    </w:p>
    <w:p w14:paraId="12EAF292">
      <w:pPr>
        <w:tabs>
          <w:tab w:val="left" w:pos="720"/>
        </w:tabs>
        <w:spacing w:line="360" w:lineRule="auto"/>
        <w:outlineLvl w:val="9"/>
        <w:rPr>
          <w:rFonts w:hint="eastAsia" w:ascii="宋体" w:hAnsi="宋体" w:eastAsia="宋体" w:cs="宋体"/>
          <w:sz w:val="21"/>
          <w:szCs w:val="21"/>
        </w:rPr>
      </w:pPr>
    </w:p>
    <w:p w14:paraId="05C6D46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2、乙方：            公司 (以下</w:t>
      </w:r>
      <w:r>
        <w:rPr>
          <w:rFonts w:hint="eastAsia" w:ascii="宋体" w:hAnsi="宋体" w:eastAsia="宋体" w:cs="宋体"/>
          <w:sz w:val="21"/>
          <w:szCs w:val="21"/>
          <w:lang w:val="en-US" w:eastAsia="zh-CN"/>
        </w:rPr>
        <w:t>简</w:t>
      </w:r>
      <w:r>
        <w:rPr>
          <w:rFonts w:hint="eastAsia" w:ascii="宋体" w:hAnsi="宋体" w:eastAsia="宋体" w:cs="宋体"/>
          <w:sz w:val="21"/>
          <w:szCs w:val="21"/>
        </w:rPr>
        <w:t>称“</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”)作为牵头主承销商</w:t>
      </w:r>
    </w:p>
    <w:p w14:paraId="302FA014">
      <w:pPr>
        <w:tabs>
          <w:tab w:val="left" w:pos="720"/>
        </w:tabs>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注册地址：</w:t>
      </w:r>
    </w:p>
    <w:p w14:paraId="531862D2">
      <w:pPr>
        <w:tabs>
          <w:tab w:val="left" w:pos="720"/>
        </w:tabs>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法定代表人：</w:t>
      </w:r>
    </w:p>
    <w:p w14:paraId="1AB31B95">
      <w:pPr>
        <w:outlineLvl w:val="9"/>
        <w:rPr>
          <w:rFonts w:hint="eastAsia" w:ascii="宋体" w:hAnsi="宋体" w:eastAsia="宋体" w:cs="宋体"/>
          <w:sz w:val="21"/>
          <w:szCs w:val="21"/>
        </w:rPr>
      </w:pPr>
    </w:p>
    <w:p w14:paraId="3963E60A">
      <w:pPr>
        <w:spacing w:line="360" w:lineRule="auto"/>
        <w:ind w:firstLine="945" w:firstLineChars="450"/>
        <w:outlineLvl w:val="9"/>
        <w:rPr>
          <w:rFonts w:hint="eastAsia" w:ascii="宋体" w:hAnsi="宋体" w:eastAsia="宋体" w:cs="宋体"/>
          <w:sz w:val="21"/>
          <w:szCs w:val="21"/>
        </w:rPr>
      </w:pPr>
      <w:r>
        <w:rPr>
          <w:rFonts w:hint="eastAsia" w:ascii="宋体" w:hAnsi="宋体" w:eastAsia="宋体" w:cs="宋体"/>
          <w:sz w:val="21"/>
          <w:szCs w:val="21"/>
        </w:rPr>
        <w:t xml:space="preserve">            公司（以下</w:t>
      </w:r>
      <w:r>
        <w:rPr>
          <w:rFonts w:hint="eastAsia" w:ascii="宋体" w:hAnsi="宋体" w:eastAsia="宋体" w:cs="宋体"/>
          <w:sz w:val="21"/>
          <w:szCs w:val="21"/>
          <w:lang w:val="en-US" w:eastAsia="zh-CN"/>
        </w:rPr>
        <w:t>简</w:t>
      </w:r>
      <w:r>
        <w:rPr>
          <w:rFonts w:hint="eastAsia" w:ascii="宋体" w:hAnsi="宋体" w:eastAsia="宋体" w:cs="宋体"/>
          <w:sz w:val="21"/>
          <w:szCs w:val="21"/>
        </w:rPr>
        <w:t>称“</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”）作为联席主承销商</w:t>
      </w:r>
    </w:p>
    <w:p w14:paraId="5A645ACF">
      <w:pPr>
        <w:tabs>
          <w:tab w:val="left" w:pos="720"/>
        </w:tabs>
        <w:spacing w:line="360" w:lineRule="auto"/>
        <w:ind w:firstLine="630" w:firstLineChars="300"/>
        <w:outlineLvl w:val="9"/>
        <w:rPr>
          <w:rFonts w:hint="eastAsia" w:ascii="宋体" w:hAnsi="宋体" w:eastAsia="宋体" w:cs="宋体"/>
          <w:sz w:val="21"/>
          <w:szCs w:val="21"/>
          <w:lang w:eastAsia="zh-CN"/>
        </w:rPr>
      </w:pPr>
      <w:r>
        <w:rPr>
          <w:rFonts w:hint="eastAsia" w:ascii="宋体" w:hAnsi="宋体" w:eastAsia="宋体" w:cs="宋体"/>
          <w:sz w:val="21"/>
          <w:szCs w:val="21"/>
        </w:rPr>
        <w:t>注册地址</w:t>
      </w:r>
      <w:r>
        <w:rPr>
          <w:rFonts w:hint="eastAsia" w:ascii="宋体" w:hAnsi="宋体" w:eastAsia="宋体" w:cs="宋体"/>
          <w:sz w:val="21"/>
          <w:szCs w:val="21"/>
          <w:lang w:eastAsia="zh-CN"/>
        </w:rPr>
        <w:t>：</w:t>
      </w:r>
    </w:p>
    <w:p w14:paraId="24E70D3A">
      <w:pPr>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法定代表人：</w:t>
      </w:r>
    </w:p>
    <w:p w14:paraId="174B5358">
      <w:pPr>
        <w:spacing w:line="360" w:lineRule="auto"/>
        <w:ind w:firstLine="945" w:firstLineChars="450"/>
        <w:outlineLvl w:val="9"/>
        <w:rPr>
          <w:rFonts w:hint="eastAsia" w:ascii="宋体" w:hAnsi="宋体" w:eastAsia="宋体" w:cs="宋体"/>
          <w:sz w:val="21"/>
          <w:szCs w:val="21"/>
        </w:rPr>
      </w:pPr>
    </w:p>
    <w:p w14:paraId="008D908A">
      <w:pPr>
        <w:spacing w:line="360" w:lineRule="auto"/>
        <w:ind w:firstLine="945" w:firstLineChars="450"/>
        <w:outlineLvl w:val="9"/>
        <w:rPr>
          <w:rFonts w:hint="eastAsia" w:ascii="宋体" w:hAnsi="宋体" w:eastAsia="宋体" w:cs="宋体"/>
          <w:sz w:val="21"/>
          <w:szCs w:val="21"/>
        </w:rPr>
      </w:pPr>
      <w:r>
        <w:rPr>
          <w:rFonts w:hint="eastAsia" w:ascii="宋体" w:hAnsi="宋体" w:eastAsia="宋体" w:cs="宋体"/>
          <w:sz w:val="21"/>
          <w:szCs w:val="21"/>
        </w:rPr>
        <w:t xml:space="preserve">            公司（以下</w:t>
      </w:r>
      <w:r>
        <w:rPr>
          <w:rFonts w:hint="eastAsia" w:ascii="宋体" w:hAnsi="宋体" w:eastAsia="宋体" w:cs="宋体"/>
          <w:sz w:val="21"/>
          <w:szCs w:val="21"/>
          <w:lang w:val="en-US" w:eastAsia="zh-CN"/>
        </w:rPr>
        <w:t>简</w:t>
      </w:r>
      <w:r>
        <w:rPr>
          <w:rFonts w:hint="eastAsia" w:ascii="宋体" w:hAnsi="宋体" w:eastAsia="宋体" w:cs="宋体"/>
          <w:sz w:val="21"/>
          <w:szCs w:val="21"/>
        </w:rPr>
        <w:t>称“</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”）作为联席主承销商</w:t>
      </w:r>
    </w:p>
    <w:p w14:paraId="3B6BE630">
      <w:pPr>
        <w:tabs>
          <w:tab w:val="left" w:pos="720"/>
        </w:tabs>
        <w:spacing w:line="360" w:lineRule="auto"/>
        <w:ind w:firstLine="630" w:firstLineChars="300"/>
        <w:outlineLvl w:val="9"/>
        <w:rPr>
          <w:rFonts w:hint="eastAsia" w:ascii="宋体" w:hAnsi="宋体" w:eastAsia="宋体" w:cs="宋体"/>
          <w:sz w:val="21"/>
          <w:szCs w:val="21"/>
          <w:lang w:eastAsia="zh-CN"/>
        </w:rPr>
      </w:pPr>
      <w:r>
        <w:rPr>
          <w:rFonts w:hint="eastAsia" w:ascii="宋体" w:hAnsi="宋体" w:eastAsia="宋体" w:cs="宋体"/>
          <w:sz w:val="21"/>
          <w:szCs w:val="21"/>
        </w:rPr>
        <w:t>注册地址</w:t>
      </w:r>
      <w:r>
        <w:rPr>
          <w:rFonts w:hint="eastAsia" w:ascii="宋体" w:hAnsi="宋体" w:eastAsia="宋体" w:cs="宋体"/>
          <w:sz w:val="21"/>
          <w:szCs w:val="21"/>
          <w:lang w:eastAsia="zh-CN"/>
        </w:rPr>
        <w:t>：</w:t>
      </w:r>
    </w:p>
    <w:p w14:paraId="2A06A4FD">
      <w:pPr>
        <w:spacing w:line="360" w:lineRule="auto"/>
        <w:ind w:firstLine="630" w:firstLineChars="300"/>
        <w:outlineLvl w:val="9"/>
        <w:rPr>
          <w:rFonts w:hint="eastAsia" w:ascii="宋体" w:hAnsi="宋体" w:eastAsia="宋体" w:cs="宋体"/>
          <w:sz w:val="21"/>
          <w:szCs w:val="21"/>
        </w:rPr>
      </w:pPr>
      <w:r>
        <w:rPr>
          <w:rFonts w:hint="eastAsia" w:ascii="宋体" w:hAnsi="宋体" w:eastAsia="宋体" w:cs="宋体"/>
          <w:sz w:val="21"/>
          <w:szCs w:val="21"/>
        </w:rPr>
        <w:t>法定代表人：</w:t>
      </w:r>
    </w:p>
    <w:p w14:paraId="6DEA1138">
      <w:pPr>
        <w:tabs>
          <w:tab w:val="left" w:pos="720"/>
        </w:tabs>
        <w:spacing w:line="360" w:lineRule="auto"/>
        <w:outlineLvl w:val="9"/>
        <w:rPr>
          <w:rFonts w:hint="eastAsia" w:ascii="宋体" w:hAnsi="宋体" w:eastAsia="宋体" w:cs="宋体"/>
          <w:sz w:val="21"/>
          <w:szCs w:val="21"/>
        </w:rPr>
      </w:pPr>
    </w:p>
    <w:p w14:paraId="1E82B41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鉴于：</w:t>
      </w:r>
    </w:p>
    <w:p w14:paraId="4201118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1.甲方将在国内发行总额为不超过人民币</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6</w:t>
      </w:r>
      <w:r>
        <w:rPr>
          <w:rFonts w:hint="eastAsia" w:ascii="宋体" w:hAnsi="宋体" w:eastAsia="宋体" w:cs="宋体"/>
          <w:sz w:val="21"/>
          <w:szCs w:val="21"/>
          <w:u w:val="single"/>
        </w:rPr>
        <w:t xml:space="preserve">0 </w:t>
      </w:r>
      <w:r>
        <w:rPr>
          <w:rFonts w:hint="eastAsia" w:ascii="宋体" w:hAnsi="宋体" w:eastAsia="宋体" w:cs="宋体"/>
          <w:sz w:val="21"/>
          <w:szCs w:val="21"/>
        </w:rPr>
        <w:t>亿元（以最终注册额度为准）的公司债；</w:t>
      </w:r>
    </w:p>
    <w:p w14:paraId="5623FA8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2.乙方为依法成立的金融机构法人，具有公司债券承销等资格；</w:t>
      </w:r>
    </w:p>
    <w:p w14:paraId="29CA21B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3.甲方同意聘请乙方为本次债券发行的主承销商，以余额包销的方式承销本期债券，乙方同意接受此项聘请；</w:t>
      </w:r>
    </w:p>
    <w:p w14:paraId="09F1C901">
      <w:pPr>
        <w:tabs>
          <w:tab w:val="left" w:pos="720"/>
        </w:tabs>
        <w:spacing w:line="360" w:lineRule="auto"/>
        <w:outlineLvl w:val="9"/>
        <w:rPr>
          <w:rFonts w:hint="eastAsia" w:ascii="宋体" w:hAnsi="宋体" w:eastAsia="宋体" w:cs="宋体"/>
          <w:sz w:val="21"/>
          <w:szCs w:val="21"/>
        </w:rPr>
      </w:pPr>
    </w:p>
    <w:p w14:paraId="35BCF42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甲方、乙方经过友好协商，在相互信任、平等互利、意思表示真实的基础上达成如下协议。</w:t>
      </w:r>
    </w:p>
    <w:p w14:paraId="6ED4D2B6">
      <w:pPr>
        <w:tabs>
          <w:tab w:val="left" w:pos="720"/>
        </w:tabs>
        <w:spacing w:line="360" w:lineRule="auto"/>
        <w:outlineLvl w:val="9"/>
        <w:rPr>
          <w:rFonts w:hint="eastAsia" w:ascii="宋体" w:hAnsi="宋体" w:eastAsia="宋体" w:cs="宋体"/>
          <w:sz w:val="21"/>
          <w:szCs w:val="21"/>
        </w:rPr>
      </w:pPr>
    </w:p>
    <w:p w14:paraId="740BFF43">
      <w:pPr>
        <w:tabs>
          <w:tab w:val="left" w:pos="720"/>
        </w:tabs>
        <w:spacing w:line="360" w:lineRule="auto"/>
        <w:outlineLvl w:val="9"/>
        <w:rPr>
          <w:rFonts w:hint="eastAsia" w:ascii="宋体" w:hAnsi="宋体" w:eastAsia="宋体" w:cs="宋体"/>
          <w:sz w:val="21"/>
          <w:szCs w:val="21"/>
        </w:rPr>
      </w:pPr>
    </w:p>
    <w:p w14:paraId="7A991E0D">
      <w:pPr>
        <w:tabs>
          <w:tab w:val="left" w:pos="720"/>
        </w:tabs>
        <w:spacing w:line="360" w:lineRule="auto"/>
        <w:outlineLvl w:val="9"/>
        <w:rPr>
          <w:rFonts w:hint="eastAsia" w:ascii="宋体" w:hAnsi="宋体" w:eastAsia="宋体" w:cs="宋体"/>
          <w:b/>
          <w:sz w:val="21"/>
          <w:szCs w:val="21"/>
        </w:rPr>
      </w:pPr>
      <w:r>
        <w:rPr>
          <w:rFonts w:hint="eastAsia" w:ascii="宋体" w:hAnsi="宋体" w:eastAsia="宋体" w:cs="宋体"/>
          <w:b/>
          <w:sz w:val="21"/>
          <w:szCs w:val="21"/>
        </w:rPr>
        <w:t>1.</w:t>
      </w:r>
      <w:r>
        <w:rPr>
          <w:rFonts w:hint="eastAsia" w:ascii="宋体" w:hAnsi="宋体" w:eastAsia="宋体" w:cs="宋体"/>
          <w:b/>
          <w:sz w:val="21"/>
          <w:szCs w:val="21"/>
        </w:rPr>
        <w:tab/>
      </w:r>
      <w:r>
        <w:rPr>
          <w:rFonts w:hint="eastAsia" w:ascii="宋体" w:hAnsi="宋体" w:eastAsia="宋体" w:cs="宋体"/>
          <w:b/>
          <w:sz w:val="21"/>
          <w:szCs w:val="21"/>
        </w:rPr>
        <w:t>定义</w:t>
      </w:r>
    </w:p>
    <w:p w14:paraId="6EA6C4D3">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eastAsia="宋体" w:cs="宋体"/>
          <w:sz w:val="21"/>
          <w:szCs w:val="21"/>
        </w:rPr>
        <w:tab/>
      </w:r>
      <w:r>
        <w:rPr>
          <w:rFonts w:hint="eastAsia" w:ascii="宋体" w:hAnsi="宋体" w:eastAsia="宋体" w:cs="宋体"/>
          <w:sz w:val="21"/>
          <w:szCs w:val="21"/>
        </w:rPr>
        <w:t>在本协议中，除非文中另有规定，下列词语具有如下含义：</w:t>
      </w:r>
    </w:p>
    <w:p w14:paraId="028E67A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发行人</w:t>
      </w:r>
      <w:r>
        <w:rPr>
          <w:rFonts w:hint="eastAsia" w:ascii="宋体" w:hAnsi="宋体" w:eastAsia="宋体" w:cs="宋体"/>
          <w:sz w:val="21"/>
          <w:szCs w:val="21"/>
        </w:rPr>
        <w:t>”指东莞市水务环境投资控股集团有限公司，即甲方。</w:t>
      </w:r>
    </w:p>
    <w:p w14:paraId="715B9B9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本期债券</w:t>
      </w:r>
      <w:r>
        <w:rPr>
          <w:rFonts w:hint="eastAsia" w:ascii="宋体" w:hAnsi="宋体" w:eastAsia="宋体" w:cs="宋体"/>
          <w:sz w:val="21"/>
          <w:szCs w:val="21"/>
        </w:rPr>
        <w:t>”指本协议项下总额为不超过人民币</w:t>
      </w:r>
      <w:r>
        <w:rPr>
          <w:rFonts w:hint="eastAsia" w:ascii="宋体" w:hAnsi="宋体" w:eastAsia="宋体" w:cs="宋体"/>
          <w:sz w:val="21"/>
          <w:szCs w:val="21"/>
          <w:lang w:val="en-US" w:eastAsia="zh-CN"/>
        </w:rPr>
        <w:t>60</w:t>
      </w:r>
      <w:r>
        <w:rPr>
          <w:rFonts w:hint="eastAsia" w:ascii="宋体" w:hAnsi="宋体" w:eastAsia="宋体" w:cs="宋体"/>
          <w:sz w:val="21"/>
          <w:szCs w:val="21"/>
        </w:rPr>
        <w:t>亿元（以最终注册额度为准）的</w:t>
      </w:r>
      <w:r>
        <w:rPr>
          <w:rFonts w:hint="eastAsia" w:hAnsi="宋体" w:cs="宋体"/>
          <w:sz w:val="21"/>
          <w:szCs w:val="21"/>
        </w:rPr>
        <w:t>可续期</w:t>
      </w:r>
      <w:r>
        <w:rPr>
          <w:rFonts w:hint="eastAsia" w:ascii="宋体" w:hAnsi="宋体" w:eastAsia="宋体" w:cs="宋体"/>
          <w:sz w:val="21"/>
          <w:szCs w:val="21"/>
        </w:rPr>
        <w:t>“公司债”。</w:t>
      </w:r>
    </w:p>
    <w:p w14:paraId="1763B36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本次发行及交易流通</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本期债券的发行及上市在经批准的证券交易场所交易流通。</w:t>
      </w:r>
    </w:p>
    <w:p w14:paraId="73C01AEB">
      <w:pPr>
        <w:tabs>
          <w:tab w:val="left" w:pos="720"/>
        </w:tabs>
        <w:spacing w:line="360" w:lineRule="auto"/>
        <w:outlineLvl w:val="9"/>
        <w:rPr>
          <w:rFonts w:hint="eastAsia" w:ascii="宋体" w:hAnsi="宋体" w:eastAsia="宋体" w:cs="宋体"/>
          <w:szCs w:val="21"/>
        </w:rPr>
      </w:pPr>
      <w:r>
        <w:rPr>
          <w:rFonts w:hint="eastAsia" w:ascii="宋体" w:hAnsi="宋体" w:eastAsia="宋体" w:cs="宋体"/>
          <w:sz w:val="21"/>
          <w:szCs w:val="21"/>
        </w:rPr>
        <w:t>“</w:t>
      </w:r>
      <w:r>
        <w:rPr>
          <w:rFonts w:hint="eastAsia" w:ascii="宋体" w:hAnsi="宋体" w:eastAsia="宋体" w:cs="宋体"/>
          <w:b/>
          <w:sz w:val="21"/>
          <w:szCs w:val="21"/>
        </w:rPr>
        <w:t>本协议</w:t>
      </w:r>
      <w:r>
        <w:rPr>
          <w:rFonts w:hint="eastAsia" w:ascii="宋体" w:hAnsi="宋体" w:eastAsia="宋体" w:cs="宋体"/>
          <w:sz w:val="21"/>
          <w:szCs w:val="21"/>
        </w:rPr>
        <w:t>”或“</w:t>
      </w:r>
      <w:r>
        <w:rPr>
          <w:rFonts w:hint="eastAsia" w:ascii="宋体" w:hAnsi="宋体" w:eastAsia="宋体" w:cs="宋体"/>
          <w:b/>
          <w:sz w:val="21"/>
          <w:szCs w:val="21"/>
        </w:rPr>
        <w:t>承销协议</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发行人与主承销商为本次发行签订的《</w:t>
      </w:r>
      <w:r>
        <w:rPr>
          <w:rFonts w:hint="eastAsia" w:ascii="宋体" w:hAnsi="宋体" w:eastAsia="宋体" w:cs="宋体"/>
          <w:szCs w:val="21"/>
        </w:rPr>
        <w:t>东莞市水务环境投资控股集团有限公司</w:t>
      </w:r>
    </w:p>
    <w:p w14:paraId="14EC5CF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Cs w:val="21"/>
        </w:rPr>
        <w:t>公司债承销协议</w:t>
      </w:r>
      <w:r>
        <w:rPr>
          <w:rFonts w:hint="eastAsia" w:ascii="宋体" w:hAnsi="宋体" w:eastAsia="宋体" w:cs="宋体"/>
          <w:sz w:val="21"/>
          <w:szCs w:val="21"/>
        </w:rPr>
        <w:t>》。</w:t>
      </w:r>
    </w:p>
    <w:p w14:paraId="297510C1">
      <w:pPr>
        <w:outlineLvl w:val="9"/>
        <w:rPr>
          <w:rFonts w:hint="eastAsia" w:ascii="宋体" w:hAnsi="宋体" w:eastAsia="宋体" w:cs="宋体"/>
          <w:b/>
          <w:sz w:val="21"/>
          <w:szCs w:val="21"/>
        </w:rPr>
      </w:pPr>
      <w:r>
        <w:rPr>
          <w:rFonts w:hint="eastAsia" w:ascii="宋体" w:hAnsi="宋体" w:eastAsia="宋体" w:cs="宋体"/>
          <w:b/>
          <w:sz w:val="21"/>
          <w:szCs w:val="21"/>
        </w:rPr>
        <w:t>“主承销商” 指牵头主承销商和联席主承销商。</w:t>
      </w:r>
    </w:p>
    <w:p w14:paraId="7206FC05">
      <w:pPr>
        <w:spacing w:line="500" w:lineRule="exact"/>
        <w:outlineLvl w:val="9"/>
        <w:rPr>
          <w:rFonts w:hint="eastAsia" w:ascii="宋体" w:hAnsi="宋体" w:eastAsia="宋体" w:cs="宋体"/>
          <w:sz w:val="21"/>
          <w:szCs w:val="21"/>
        </w:rPr>
      </w:pPr>
      <w:r>
        <w:rPr>
          <w:rFonts w:hint="eastAsia" w:ascii="宋体" w:hAnsi="宋体" w:eastAsia="宋体" w:cs="宋体"/>
          <w:b/>
          <w:sz w:val="21"/>
          <w:szCs w:val="21"/>
        </w:rPr>
        <w:t>“牵头主承销商”</w:t>
      </w:r>
      <w:r>
        <w:rPr>
          <w:rFonts w:hint="eastAsia" w:ascii="宋体" w:hAnsi="宋体" w:eastAsia="宋体" w:cs="宋体"/>
          <w:sz w:val="21"/>
          <w:szCs w:val="21"/>
        </w:rPr>
        <w:t>指</w:t>
      </w:r>
      <w:r>
        <w:rPr>
          <w:rFonts w:hint="eastAsia" w:ascii="宋体" w:hAnsi="宋体" w:eastAsia="宋体" w:cs="宋体"/>
          <w:sz w:val="21"/>
          <w:szCs w:val="21"/>
          <w:u w:val="single"/>
        </w:rPr>
        <w:t xml:space="preserve">       </w:t>
      </w:r>
      <w:r>
        <w:rPr>
          <w:rFonts w:hint="eastAsia" w:ascii="宋体" w:hAnsi="宋体" w:eastAsia="宋体" w:cs="宋体"/>
          <w:sz w:val="21"/>
          <w:szCs w:val="21"/>
        </w:rPr>
        <w:t>公司。</w:t>
      </w:r>
    </w:p>
    <w:p w14:paraId="4C5EA6ED">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b/>
          <w:sz w:val="21"/>
          <w:szCs w:val="21"/>
        </w:rPr>
        <w:t>“联席主承销商”</w:t>
      </w:r>
      <w:r>
        <w:rPr>
          <w:rFonts w:hint="eastAsia" w:ascii="宋体" w:hAnsi="宋体" w:eastAsia="宋体" w:cs="宋体"/>
          <w:sz w:val="21"/>
          <w:szCs w:val="21"/>
        </w:rPr>
        <w:t>指</w:t>
      </w:r>
      <w:r>
        <w:rPr>
          <w:rFonts w:hint="eastAsia" w:ascii="宋体" w:hAnsi="宋体" w:eastAsia="宋体" w:cs="宋体"/>
          <w:sz w:val="21"/>
          <w:szCs w:val="21"/>
          <w:u w:val="single"/>
        </w:rPr>
        <w:t xml:space="preserve">         </w:t>
      </w:r>
      <w:r>
        <w:rPr>
          <w:rFonts w:hint="eastAsia" w:ascii="宋体" w:hAnsi="宋体" w:eastAsia="宋体" w:cs="宋体"/>
          <w:sz w:val="21"/>
          <w:szCs w:val="21"/>
        </w:rPr>
        <w:t>公司</w:t>
      </w:r>
      <w:r>
        <w:rPr>
          <w:rFonts w:hint="eastAsia" w:ascii="宋体" w:hAnsi="宋体" w:eastAsia="宋体" w:cs="宋体"/>
          <w:sz w:val="21"/>
          <w:szCs w:val="21"/>
          <w:lang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公司。</w:t>
      </w:r>
    </w:p>
    <w:p w14:paraId="07B9BFD0">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簿记管理人</w:t>
      </w:r>
      <w:r>
        <w:rPr>
          <w:rFonts w:hint="eastAsia" w:ascii="宋体" w:hAnsi="宋体" w:eastAsia="宋体" w:cs="宋体"/>
          <w:sz w:val="21"/>
          <w:szCs w:val="21"/>
        </w:rPr>
        <w:t>”指牵头主承销商。</w:t>
      </w:r>
    </w:p>
    <w:p w14:paraId="6400D6B7">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承销费用</w:t>
      </w:r>
      <w:r>
        <w:rPr>
          <w:rFonts w:hint="eastAsia" w:ascii="宋体" w:hAnsi="宋体" w:eastAsia="宋体" w:cs="宋体"/>
          <w:sz w:val="21"/>
          <w:szCs w:val="21"/>
        </w:rPr>
        <w:t>”或“</w:t>
      </w:r>
      <w:r>
        <w:rPr>
          <w:rFonts w:hint="eastAsia" w:ascii="宋体" w:hAnsi="宋体" w:eastAsia="宋体" w:cs="宋体"/>
          <w:b/>
          <w:sz w:val="21"/>
          <w:szCs w:val="21"/>
        </w:rPr>
        <w:t>承销佣金</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作为主承销商向发行人提供承销本期债券服务的对价，发行人同意向主承销商支付列于本协议第7.1款的费用。</w:t>
      </w:r>
    </w:p>
    <w:p w14:paraId="73E070F4">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债券募集说明书</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发行人根据有关法律、法规为发行本期债券而制作的《公司债募集说明书》。</w:t>
      </w:r>
    </w:p>
    <w:p w14:paraId="0A5A8F4F">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发行文件</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在本次发行过程中必需的文件、材料或其他资料及其所有修改和补充文件。</w:t>
      </w:r>
    </w:p>
    <w:p w14:paraId="2A2EAC63">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发行人收款账户</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发行人用于接收本期债券募集款项的银行账户。</w:t>
      </w:r>
    </w:p>
    <w:p w14:paraId="6551B766">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中国证监会</w:t>
      </w:r>
      <w:r>
        <w:rPr>
          <w:rFonts w:hint="eastAsia" w:ascii="宋体" w:hAnsi="宋体" w:eastAsia="宋体" w:cs="宋体"/>
          <w:sz w:val="21"/>
          <w:szCs w:val="21"/>
        </w:rPr>
        <w:t>”指 中国证券监督管理委员会。</w:t>
      </w:r>
    </w:p>
    <w:p w14:paraId="0D3B8797">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募集款项</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本期债券发行所募集的任何一部分或全部款项(根据上下文确定)。</w:t>
      </w:r>
    </w:p>
    <w:p w14:paraId="04101118">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余额包销</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由主承销商按照本协议第4条的约定对发行人承担余额包销的责任。</w:t>
      </w:r>
    </w:p>
    <w:p w14:paraId="08A457CC">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中央国债登记公司</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中央国债登记结算有限责任公司。</w:t>
      </w:r>
    </w:p>
    <w:p w14:paraId="3E301BB9">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中国证券登记公司</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中国证券登记结算有限责任公司。</w:t>
      </w:r>
    </w:p>
    <w:p w14:paraId="4FE0758E">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总托管人</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中央国债登记结算有限责任公司和中国证券登记结算有限责任公司。</w:t>
      </w:r>
    </w:p>
    <w:p w14:paraId="55EE4DDF">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债券托管机构</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总托管人、二级托管人和上市债券托管人。</w:t>
      </w:r>
    </w:p>
    <w:p w14:paraId="2D4BBE5E">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登记托管费</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就本期债券的发行、上市的托管事宜应支付给有关托管方的手续费。</w:t>
      </w:r>
    </w:p>
    <w:p w14:paraId="129C547F">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兑付手续费</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就本期债券项下的利息及本金的偿付应支付给代为办理兑付手续机构的手续费。</w:t>
      </w:r>
    </w:p>
    <w:p w14:paraId="1E6CE085">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年度付息款项</w:t>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用于本期债券每年利息支付的相应款项（最后一个计息年度的利息支付除外）。</w:t>
      </w:r>
    </w:p>
    <w:p w14:paraId="63A53CA2">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法定节假日或休息日</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中华人民共和国的法定节假日或休息日(不包括香港特别行政区、澳门特别行政区和台湾省的法定节假日和/或休息日)。</w:t>
      </w:r>
    </w:p>
    <w:p w14:paraId="0F1A6F91">
      <w:pPr>
        <w:tabs>
          <w:tab w:val="left" w:pos="720"/>
        </w:tabs>
        <w:spacing w:line="500" w:lineRule="exact"/>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sz w:val="21"/>
          <w:szCs w:val="21"/>
        </w:rPr>
        <w:t>工作日</w:t>
      </w:r>
      <w:r>
        <w:rPr>
          <w:rFonts w:hint="eastAsia" w:ascii="宋体" w:hAnsi="宋体" w:eastAsia="宋体" w:cs="宋体"/>
          <w:sz w:val="21"/>
          <w:szCs w:val="21"/>
        </w:rPr>
        <w:t>”</w:t>
      </w:r>
      <w:r>
        <w:rPr>
          <w:rFonts w:hint="eastAsia" w:ascii="宋体" w:hAnsi="宋体" w:eastAsia="宋体" w:cs="宋体"/>
          <w:sz w:val="21"/>
          <w:szCs w:val="21"/>
        </w:rPr>
        <w:tab/>
      </w:r>
      <w:r>
        <w:rPr>
          <w:rFonts w:hint="eastAsia" w:ascii="宋体" w:hAnsi="宋体" w:eastAsia="宋体" w:cs="宋体"/>
          <w:sz w:val="21"/>
          <w:szCs w:val="21"/>
        </w:rPr>
        <w:t>指</w:t>
      </w:r>
      <w:r>
        <w:rPr>
          <w:rFonts w:hint="eastAsia" w:ascii="宋体" w:hAnsi="宋体" w:eastAsia="宋体" w:cs="宋体"/>
          <w:sz w:val="21"/>
          <w:szCs w:val="21"/>
        </w:rPr>
        <w:tab/>
      </w:r>
      <w:r>
        <w:rPr>
          <w:rFonts w:hint="eastAsia" w:ascii="宋体" w:hAnsi="宋体" w:eastAsia="宋体" w:cs="宋体"/>
          <w:sz w:val="21"/>
          <w:szCs w:val="21"/>
        </w:rPr>
        <w:t>上海证券交易所、深圳证券交易所和银行间市场的正常交易日(不包括法定节假日和/或休息日)。</w:t>
      </w:r>
    </w:p>
    <w:p w14:paraId="2D5C18E3">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1.2</w:t>
      </w:r>
      <w:r>
        <w:rPr>
          <w:rFonts w:hint="eastAsia" w:ascii="宋体" w:hAnsi="宋体" w:eastAsia="宋体" w:cs="宋体"/>
          <w:sz w:val="21"/>
          <w:szCs w:val="21"/>
        </w:rPr>
        <w:tab/>
      </w:r>
      <w:r>
        <w:rPr>
          <w:rFonts w:hint="eastAsia" w:ascii="宋体" w:hAnsi="宋体" w:eastAsia="宋体" w:cs="宋体"/>
          <w:sz w:val="21"/>
          <w:szCs w:val="21"/>
        </w:rPr>
        <w:t>在本协议中，除非上下文另有规定，(1) 凡提及本协议应包括对本协议的修订或补充的文件；(2) 凡提及条、款是指本协议的条、款；(3) 本协议的目录和条款的标题仅为查阅方便而设置，不应构成对本协议的任何解释，不对标题之下的内容及其范围有任何限定；(4) 本协议中提及的任何若干“日”或若干“天”应为工作日；（5）本协议中提及的任何“元”指人民币元。</w:t>
      </w:r>
    </w:p>
    <w:p w14:paraId="194F3746">
      <w:pPr>
        <w:tabs>
          <w:tab w:val="left" w:pos="720"/>
        </w:tabs>
        <w:spacing w:line="360" w:lineRule="auto"/>
        <w:outlineLvl w:val="9"/>
        <w:rPr>
          <w:rFonts w:hint="eastAsia" w:ascii="宋体" w:hAnsi="宋体" w:eastAsia="宋体" w:cs="宋体"/>
          <w:sz w:val="21"/>
          <w:szCs w:val="21"/>
        </w:rPr>
      </w:pPr>
    </w:p>
    <w:p w14:paraId="17B75F1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rPr>
        <w:tab/>
      </w:r>
      <w:r>
        <w:rPr>
          <w:rFonts w:hint="eastAsia" w:ascii="宋体" w:hAnsi="宋体" w:eastAsia="宋体" w:cs="宋体"/>
          <w:sz w:val="21"/>
          <w:szCs w:val="21"/>
        </w:rPr>
        <w:t>本次债券与本期债券</w:t>
      </w:r>
    </w:p>
    <w:p w14:paraId="35BF3DC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2.1</w:t>
      </w:r>
      <w:r>
        <w:rPr>
          <w:rFonts w:hint="eastAsia" w:ascii="宋体" w:hAnsi="宋体" w:eastAsia="宋体" w:cs="宋体"/>
          <w:sz w:val="21"/>
          <w:szCs w:val="21"/>
        </w:rPr>
        <w:tab/>
      </w:r>
      <w:r>
        <w:rPr>
          <w:rFonts w:hint="eastAsia" w:ascii="宋体" w:hAnsi="宋体" w:eastAsia="宋体" w:cs="宋体"/>
          <w:sz w:val="21"/>
          <w:szCs w:val="21"/>
        </w:rPr>
        <w:t>本次债券指本协议项下发行人拟发行不超过</w:t>
      </w:r>
      <w:r>
        <w:rPr>
          <w:rFonts w:hint="eastAsia" w:ascii="宋体" w:hAnsi="宋体" w:eastAsia="宋体" w:cs="宋体"/>
          <w:sz w:val="21"/>
          <w:szCs w:val="21"/>
          <w:lang w:val="en-US" w:eastAsia="zh-CN"/>
        </w:rPr>
        <w:t>60</w:t>
      </w:r>
      <w:r>
        <w:rPr>
          <w:rFonts w:hint="eastAsia" w:ascii="宋体" w:hAnsi="宋体" w:eastAsia="宋体" w:cs="宋体"/>
          <w:sz w:val="21"/>
          <w:szCs w:val="21"/>
        </w:rPr>
        <w:t>亿元的公司债券。</w:t>
      </w:r>
    </w:p>
    <w:p w14:paraId="52CE43D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2.2   本期债券指按照募集说明书约定的采用分期发行（如有）的本次债券中的每一期；若本次债券不涉及分期发行，“本期债券”指本次债券。</w:t>
      </w:r>
    </w:p>
    <w:p w14:paraId="2A2D445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2.3</w:t>
      </w:r>
      <w:r>
        <w:rPr>
          <w:rFonts w:hint="eastAsia" w:ascii="宋体" w:hAnsi="宋体" w:eastAsia="宋体" w:cs="宋体"/>
          <w:sz w:val="21"/>
          <w:szCs w:val="21"/>
        </w:rPr>
        <w:tab/>
      </w:r>
      <w:r>
        <w:rPr>
          <w:rFonts w:hint="eastAsia" w:ascii="宋体" w:hAnsi="宋体" w:eastAsia="宋体" w:cs="宋体"/>
          <w:sz w:val="21"/>
          <w:szCs w:val="21"/>
        </w:rPr>
        <w:t>上述发行方案为拟申报方案，最终发行额度及其他债券要素（如期限结构、利率、信用级别、担保方式和发行方式等）以最终公告的本期债券募集说明书及其摘要为准。发行人有权在注册额度内决定实际发行的金额和进度。</w:t>
      </w:r>
    </w:p>
    <w:p w14:paraId="1743A888">
      <w:pPr>
        <w:tabs>
          <w:tab w:val="left" w:pos="720"/>
        </w:tabs>
        <w:spacing w:line="360" w:lineRule="auto"/>
        <w:outlineLvl w:val="9"/>
        <w:rPr>
          <w:rFonts w:hint="eastAsia" w:ascii="宋体" w:hAnsi="宋体" w:eastAsia="宋体" w:cs="宋体"/>
          <w:sz w:val="21"/>
          <w:szCs w:val="21"/>
        </w:rPr>
      </w:pPr>
    </w:p>
    <w:p w14:paraId="07FA22B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rPr>
        <w:tab/>
      </w:r>
      <w:r>
        <w:rPr>
          <w:rFonts w:hint="eastAsia" w:ascii="宋体" w:hAnsi="宋体" w:eastAsia="宋体" w:cs="宋体"/>
          <w:sz w:val="21"/>
          <w:szCs w:val="21"/>
        </w:rPr>
        <w:t>发行和托管</w:t>
      </w:r>
    </w:p>
    <w:p w14:paraId="7DEB7E5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3.1</w:t>
      </w:r>
      <w:r>
        <w:rPr>
          <w:rFonts w:hint="eastAsia" w:ascii="宋体" w:hAnsi="宋体" w:eastAsia="宋体" w:cs="宋体"/>
          <w:sz w:val="21"/>
          <w:szCs w:val="21"/>
        </w:rPr>
        <w:tab/>
      </w:r>
      <w:r>
        <w:rPr>
          <w:rFonts w:hint="eastAsia" w:ascii="宋体" w:hAnsi="宋体" w:eastAsia="宋体" w:cs="宋体"/>
          <w:sz w:val="21"/>
          <w:szCs w:val="21"/>
        </w:rPr>
        <w:t>本期债券采取簿记建档、集中配售的方式发行</w:t>
      </w:r>
    </w:p>
    <w:p w14:paraId="4626D83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3.2</w:t>
      </w:r>
      <w:r>
        <w:rPr>
          <w:rFonts w:hint="eastAsia" w:ascii="宋体" w:hAnsi="宋体" w:eastAsia="宋体" w:cs="宋体"/>
          <w:sz w:val="21"/>
          <w:szCs w:val="21"/>
        </w:rPr>
        <w:tab/>
      </w:r>
      <w:r>
        <w:rPr>
          <w:rFonts w:hint="eastAsia" w:ascii="宋体" w:hAnsi="宋体" w:eastAsia="宋体" w:cs="宋体"/>
          <w:sz w:val="21"/>
          <w:szCs w:val="21"/>
        </w:rPr>
        <w:t>主承销商有义务按本协议规定的债券发行总额和发行期限发售本期债券。</w:t>
      </w:r>
    </w:p>
    <w:p w14:paraId="45E8A6D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3.3</w:t>
      </w:r>
      <w:r>
        <w:rPr>
          <w:rFonts w:hint="eastAsia" w:ascii="宋体" w:hAnsi="宋体" w:eastAsia="宋体" w:cs="宋体"/>
          <w:sz w:val="21"/>
          <w:szCs w:val="21"/>
        </w:rPr>
        <w:tab/>
      </w:r>
      <w:r>
        <w:rPr>
          <w:rFonts w:hint="eastAsia" w:ascii="宋体" w:hAnsi="宋体" w:eastAsia="宋体" w:cs="宋体"/>
          <w:sz w:val="21"/>
          <w:szCs w:val="21"/>
        </w:rPr>
        <w:t>本期债券的发行登记、托管与兑付须按照中央国债登记公司和/或中国证券登记公司的有关规定执行。发行人应与中央国债登记公司和/或中国证券登记公司就委托其办理本期债券发行登记、托管和转托管、债权管理、代理本息兑付等事宜签署协议。</w:t>
      </w:r>
    </w:p>
    <w:p w14:paraId="01C8D37B">
      <w:pPr>
        <w:tabs>
          <w:tab w:val="left" w:pos="720"/>
        </w:tabs>
        <w:spacing w:line="360" w:lineRule="auto"/>
        <w:outlineLvl w:val="9"/>
        <w:rPr>
          <w:rFonts w:hint="eastAsia" w:ascii="宋体" w:hAnsi="宋体" w:eastAsia="宋体" w:cs="宋体"/>
          <w:sz w:val="21"/>
          <w:szCs w:val="21"/>
        </w:rPr>
      </w:pPr>
    </w:p>
    <w:p w14:paraId="448B890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rPr>
        <w:tab/>
      </w:r>
      <w:r>
        <w:rPr>
          <w:rFonts w:hint="eastAsia" w:ascii="宋体" w:hAnsi="宋体" w:eastAsia="宋体" w:cs="宋体"/>
          <w:sz w:val="21"/>
          <w:szCs w:val="21"/>
        </w:rPr>
        <w:t>承销责任</w:t>
      </w:r>
    </w:p>
    <w:p w14:paraId="1A7BE0A4">
      <w:pPr>
        <w:tabs>
          <w:tab w:val="left" w:pos="720"/>
        </w:tabs>
        <w:spacing w:line="360" w:lineRule="auto"/>
        <w:ind w:left="0" w:firstLine="0" w:firstLineChars="0"/>
        <w:outlineLvl w:val="9"/>
        <w:rPr>
          <w:rFonts w:hint="eastAsia" w:ascii="宋体" w:hAnsi="宋体" w:eastAsia="宋体" w:cs="宋体"/>
          <w:sz w:val="21"/>
          <w:szCs w:val="21"/>
        </w:rPr>
      </w:pPr>
      <w:r>
        <w:rPr>
          <w:rFonts w:hint="eastAsia" w:ascii="宋体" w:hAnsi="宋体" w:eastAsia="宋体" w:cs="宋体"/>
          <w:sz w:val="21"/>
          <w:szCs w:val="21"/>
        </w:rPr>
        <w:t>4.1   承销商应当组织承销团成员按本协议及承销团协议的约定就本期债券的发行向发行人承担余额包销责</w:t>
      </w:r>
    </w:p>
    <w:p w14:paraId="73CF41F0">
      <w:pPr>
        <w:tabs>
          <w:tab w:val="left" w:pos="720"/>
        </w:tabs>
        <w:spacing w:line="360" w:lineRule="auto"/>
        <w:ind w:left="0" w:firstLine="0" w:firstLineChars="0"/>
        <w:outlineLvl w:val="9"/>
        <w:rPr>
          <w:rFonts w:hint="default" w:ascii="宋体" w:hAnsi="宋体" w:eastAsia="宋体" w:cs="宋体"/>
          <w:sz w:val="21"/>
          <w:szCs w:val="21"/>
          <w:lang w:val="en-US" w:eastAsia="zh-CN"/>
        </w:rPr>
      </w:pPr>
      <w:r>
        <w:rPr>
          <w:rFonts w:hint="eastAsia" w:ascii="宋体" w:hAnsi="宋体" w:eastAsia="宋体" w:cs="宋体"/>
          <w:sz w:val="21"/>
          <w:szCs w:val="21"/>
        </w:rPr>
        <w:t>任，</w:t>
      </w:r>
      <w:r>
        <w:rPr>
          <w:rFonts w:hint="eastAsia" w:ascii="宋体" w:hAnsi="宋体" w:eastAsia="宋体" w:cs="宋体"/>
          <w:sz w:val="21"/>
          <w:szCs w:val="21"/>
          <w:u w:val="single"/>
          <w:lang w:val="en-US" w:eastAsia="zh-CN"/>
        </w:rPr>
        <w:t xml:space="preserve">        、       、        </w:t>
      </w:r>
      <w:r>
        <w:rPr>
          <w:rFonts w:hint="eastAsia" w:ascii="宋体" w:hAnsi="宋体" w:eastAsia="宋体" w:cs="宋体"/>
          <w:sz w:val="21"/>
          <w:szCs w:val="21"/>
        </w:rPr>
        <w:t>作为主承销商，就本期债券任一品种均按照</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的比例（“余额包销比例”）分别向发行人承担本期债券的余额包销责任。在发行期限结束后的规定时间内，主承销商应当组织承销团成员按照各自的余额包销比例，以发行价格无条件买下未售出的全部剩余债券，并按时、足额地将扣除承销费用后的募集款项净额划付至发行人收款账户，承销风险由承销团自担。</w:t>
      </w:r>
    </w:p>
    <w:p w14:paraId="4FEDD8E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4.2</w:t>
      </w:r>
      <w:r>
        <w:rPr>
          <w:rFonts w:hint="eastAsia" w:ascii="宋体" w:hAnsi="宋体" w:eastAsia="宋体" w:cs="宋体"/>
          <w:sz w:val="21"/>
          <w:szCs w:val="21"/>
        </w:rPr>
        <w:tab/>
      </w:r>
      <w:r>
        <w:rPr>
          <w:rFonts w:hint="eastAsia" w:ascii="宋体" w:hAnsi="宋体" w:eastAsia="宋体" w:cs="宋体"/>
          <w:sz w:val="21"/>
          <w:szCs w:val="21"/>
        </w:rPr>
        <w:t>发行人特此确认，在牵头主承销商按照本协议第6条的规定将有关募集款项划付至发行人收款账户，且按本协议7.2条的规定提供足额发票后，主承销商在本协议第4.1项下作为主承销商的承销义务和责任即告终止，但主承销商在本协议项下的其他义务和责任并不因此而终止。</w:t>
      </w:r>
    </w:p>
    <w:p w14:paraId="19F898A2">
      <w:pPr>
        <w:tabs>
          <w:tab w:val="left" w:pos="720"/>
        </w:tabs>
        <w:spacing w:line="360" w:lineRule="auto"/>
        <w:outlineLvl w:val="9"/>
        <w:rPr>
          <w:rFonts w:hint="eastAsia" w:ascii="宋体" w:hAnsi="宋体" w:eastAsia="宋体" w:cs="宋体"/>
          <w:sz w:val="21"/>
          <w:szCs w:val="21"/>
        </w:rPr>
      </w:pPr>
    </w:p>
    <w:p w14:paraId="1A6EA8F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w:t>
      </w:r>
      <w:r>
        <w:rPr>
          <w:rFonts w:hint="eastAsia" w:ascii="宋体" w:hAnsi="宋体" w:eastAsia="宋体" w:cs="宋体"/>
          <w:sz w:val="21"/>
          <w:szCs w:val="21"/>
        </w:rPr>
        <w:tab/>
      </w:r>
      <w:r>
        <w:rPr>
          <w:rFonts w:hint="eastAsia" w:ascii="宋体" w:hAnsi="宋体" w:eastAsia="宋体" w:cs="宋体"/>
          <w:sz w:val="21"/>
          <w:szCs w:val="21"/>
        </w:rPr>
        <w:t>先决条件</w:t>
      </w:r>
    </w:p>
    <w:p w14:paraId="346967C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5.1</w:t>
      </w:r>
      <w:r>
        <w:rPr>
          <w:rFonts w:hint="eastAsia" w:ascii="宋体" w:hAnsi="宋体" w:eastAsia="宋体" w:cs="宋体"/>
          <w:sz w:val="21"/>
          <w:szCs w:val="21"/>
        </w:rPr>
        <w:tab/>
      </w:r>
      <w:r>
        <w:rPr>
          <w:rFonts w:hint="eastAsia" w:ascii="宋体" w:hAnsi="宋体" w:eastAsia="宋体" w:cs="宋体"/>
          <w:sz w:val="21"/>
          <w:szCs w:val="21"/>
        </w:rPr>
        <w:t>主承销商履行其在本协议项下的承销义务均应以本协议第5条所列先决条件(以下称“先决条件”)的全部满足为前提。在该等先决条件未获满足之前，主承销商有权决定是否开始履行本协议项下的承销义务。主承销商做出的任何决定不应被认为其在本协议项下的承销义务在先决条件全部满足之前即对主承销商具有法律上的约束力和强制力，主承销商亦将不因其在先决条件全部满足之前决定暂停或终止履行该等义务而承担任何法律责任。</w:t>
      </w:r>
    </w:p>
    <w:p w14:paraId="747C794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w:t>
      </w:r>
      <w:r>
        <w:rPr>
          <w:rFonts w:hint="eastAsia" w:ascii="宋体" w:hAnsi="宋体" w:eastAsia="宋体" w:cs="宋体"/>
          <w:sz w:val="21"/>
          <w:szCs w:val="21"/>
        </w:rPr>
        <w:tab/>
      </w:r>
      <w:r>
        <w:rPr>
          <w:rFonts w:hint="eastAsia" w:ascii="宋体" w:hAnsi="宋体" w:eastAsia="宋体" w:cs="宋体"/>
          <w:sz w:val="21"/>
          <w:szCs w:val="21"/>
        </w:rPr>
        <w:t>本协议所称先决条件包括：</w:t>
      </w:r>
    </w:p>
    <w:p w14:paraId="1AF39E2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rPr>
        <w:tab/>
      </w:r>
      <w:r>
        <w:rPr>
          <w:rFonts w:hint="eastAsia" w:ascii="宋体" w:hAnsi="宋体" w:eastAsia="宋体" w:cs="宋体"/>
          <w:sz w:val="21"/>
          <w:szCs w:val="21"/>
        </w:rPr>
        <w:t>发行人本期债券发行已获得法律法规规定的必要核准和授权；</w:t>
      </w:r>
    </w:p>
    <w:p w14:paraId="1A2F680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5.2.2</w:t>
      </w:r>
      <w:r>
        <w:rPr>
          <w:rFonts w:hint="eastAsia" w:ascii="宋体" w:hAnsi="宋体" w:eastAsia="宋体" w:cs="宋体"/>
          <w:sz w:val="21"/>
          <w:szCs w:val="21"/>
        </w:rPr>
        <w:tab/>
      </w:r>
      <w:r>
        <w:rPr>
          <w:rFonts w:hint="eastAsia" w:ascii="宋体" w:hAnsi="宋体" w:eastAsia="宋体" w:cs="宋体"/>
          <w:sz w:val="21"/>
          <w:szCs w:val="21"/>
        </w:rPr>
        <w:t>本期债券的发行申请及发行文件已获得中国有权主管部门和机关的批准、核准和备案；</w:t>
      </w:r>
    </w:p>
    <w:p w14:paraId="59579A6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5.2.3</w:t>
      </w:r>
      <w:r>
        <w:rPr>
          <w:rFonts w:hint="eastAsia" w:ascii="宋体" w:hAnsi="宋体" w:eastAsia="宋体" w:cs="宋体"/>
          <w:sz w:val="21"/>
          <w:szCs w:val="21"/>
        </w:rPr>
        <w:tab/>
      </w:r>
      <w:r>
        <w:rPr>
          <w:rFonts w:hint="eastAsia" w:ascii="宋体" w:hAnsi="宋体" w:eastAsia="宋体" w:cs="宋体"/>
          <w:sz w:val="21"/>
          <w:szCs w:val="21"/>
        </w:rPr>
        <w:t>发行人已与债权代理人/债券受托管理人签订本期债券债权代理协议/受托管理协议，并制定持有人会议规则；</w:t>
      </w:r>
    </w:p>
    <w:p w14:paraId="455303A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5.2.4</w:t>
      </w:r>
      <w:r>
        <w:rPr>
          <w:rFonts w:hint="eastAsia" w:ascii="宋体" w:hAnsi="宋体" w:eastAsia="宋体" w:cs="宋体"/>
          <w:sz w:val="21"/>
          <w:szCs w:val="21"/>
        </w:rPr>
        <w:tab/>
      </w:r>
      <w:r>
        <w:rPr>
          <w:rFonts w:hint="eastAsia" w:ascii="宋体" w:hAnsi="宋体" w:eastAsia="宋体" w:cs="宋体"/>
          <w:sz w:val="21"/>
          <w:szCs w:val="21"/>
        </w:rPr>
        <w:t>发行人为本次发行聘请的会计服务机构已就本次发行出具了符合有权主管部门和机关要求的无保留意见的审计报告及其他必要的财务报告。</w:t>
      </w:r>
    </w:p>
    <w:p w14:paraId="5BCBD5D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5.2.5</w:t>
      </w:r>
      <w:r>
        <w:rPr>
          <w:rFonts w:hint="eastAsia" w:ascii="宋体" w:hAnsi="宋体" w:eastAsia="宋体" w:cs="宋体"/>
          <w:sz w:val="21"/>
          <w:szCs w:val="21"/>
        </w:rPr>
        <w:tab/>
      </w:r>
      <w:r>
        <w:rPr>
          <w:rFonts w:hint="eastAsia" w:ascii="宋体" w:hAnsi="宋体" w:eastAsia="宋体" w:cs="宋体"/>
          <w:sz w:val="21"/>
          <w:szCs w:val="21"/>
        </w:rPr>
        <w:t>发行人为本次发行聘请的中国法律顾问已就本次发行出具了符合有权主管部门和机关要求的法律意见书。</w:t>
      </w:r>
    </w:p>
    <w:p w14:paraId="41F8403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5.2.6 主承销商内核部门已就本次发行的相关事宜和文件进行审核，且审核结果为同意本次发行。</w:t>
      </w:r>
    </w:p>
    <w:p w14:paraId="382DB49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5.2.7 本次债券的发行规模、期限、利率区间、增信措施（如有）等相关方案与条款经发行人与主承销商达成一致意见并载明于本次债券募集说明书，且发行人已完成增信措施等偿债保障措施实施所必须的法律程序（如有）。其中增信措施包括但不限于股东担保、第三方担保、资产抵押与资产质押等。</w:t>
      </w:r>
    </w:p>
    <w:p w14:paraId="296004A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w:t>
      </w:r>
      <w:r>
        <w:rPr>
          <w:rFonts w:hint="eastAsia" w:ascii="宋体" w:hAnsi="宋体" w:eastAsia="宋体" w:cs="宋体"/>
          <w:sz w:val="21"/>
          <w:szCs w:val="21"/>
          <w:lang w:val="en-US" w:eastAsia="zh-CN"/>
        </w:rPr>
        <w:t>8</w:t>
      </w:r>
      <w:r>
        <w:rPr>
          <w:rFonts w:hint="eastAsia" w:ascii="宋体" w:hAnsi="宋体" w:eastAsia="宋体" w:cs="宋体"/>
          <w:sz w:val="21"/>
          <w:szCs w:val="21"/>
        </w:rPr>
        <w:t xml:space="preserve"> 发行人已经遵循有关法律及相关债券上市场所相关业务规则对与本次发行相关的信息进行了充分的披露，本次发行的《发行公告》《募集说明书摘要》《票面利率公告》以及《发行结果公告》等公告已在有权主管机关指定的报刊和网站上刊登，并且于票面利率公告日和划款日仍然合法有效。发行人公布和上报的该等信息真实、准确、完整及不含虚假陈述、误导性陈述及重大遗漏的内容；且募集说明书已由每名董事、监事、高级管理人员及法律要求的其他中介人士正式签署。</w:t>
      </w:r>
    </w:p>
    <w:p w14:paraId="6337CEE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w:t>
      </w:r>
      <w:r>
        <w:rPr>
          <w:rFonts w:hint="eastAsia" w:ascii="宋体" w:hAnsi="宋体" w:eastAsia="宋体" w:cs="宋体"/>
          <w:sz w:val="21"/>
          <w:szCs w:val="21"/>
          <w:lang w:val="en-US" w:eastAsia="zh-CN"/>
        </w:rPr>
        <w:t xml:space="preserve">9 </w:t>
      </w:r>
      <w:r>
        <w:rPr>
          <w:rFonts w:hint="eastAsia" w:ascii="宋体" w:hAnsi="宋体" w:eastAsia="宋体" w:cs="宋体"/>
          <w:sz w:val="21"/>
          <w:szCs w:val="21"/>
        </w:rPr>
        <w:t>发行人已向承销商和投资者披露了全部已经发生以及可能发生的对本次发行产生实质性影响的事项。</w:t>
      </w:r>
    </w:p>
    <w:p w14:paraId="721E9C6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0</w:t>
      </w:r>
      <w:r>
        <w:rPr>
          <w:rFonts w:hint="eastAsia" w:ascii="宋体" w:hAnsi="宋体" w:eastAsia="宋体" w:cs="宋体"/>
          <w:sz w:val="21"/>
          <w:szCs w:val="21"/>
        </w:rPr>
        <w:t>在划款日，发行人书面确认其在本协议中所作出的声明、保证和承诺均仍然真实、准确、完整、有效及不含误导性内容。</w:t>
      </w:r>
    </w:p>
    <w:p w14:paraId="1CCE738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1</w:t>
      </w:r>
      <w:r>
        <w:rPr>
          <w:rFonts w:hint="eastAsia" w:ascii="宋体" w:hAnsi="宋体" w:eastAsia="宋体" w:cs="宋体"/>
          <w:sz w:val="21"/>
          <w:szCs w:val="21"/>
        </w:rPr>
        <w:t>在划款日，发行人书面承诺没有发生任何可能使本次债券不符合发行条件、发行无法进行或偿还本次债券构成重大不利影响的情况，发行人在财务、业务、经营、盈利等方面没有发生重大不利变化。</w:t>
      </w:r>
    </w:p>
    <w:p w14:paraId="04632AB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2</w:t>
      </w:r>
      <w:r>
        <w:rPr>
          <w:rFonts w:hint="eastAsia" w:ascii="宋体" w:hAnsi="宋体" w:eastAsia="宋体" w:cs="宋体"/>
          <w:sz w:val="21"/>
          <w:szCs w:val="21"/>
        </w:rPr>
        <w:t>发行人已经与债券发行、上市及托管机构就委托其办理本次债券发行登记、上市、托管和转托管、代理本息兑付等事宜签署协议。</w:t>
      </w:r>
    </w:p>
    <w:p w14:paraId="2786C90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3发</w:t>
      </w:r>
      <w:r>
        <w:rPr>
          <w:rFonts w:hint="eastAsia" w:ascii="宋体" w:hAnsi="宋体" w:eastAsia="宋体" w:cs="宋体"/>
          <w:sz w:val="21"/>
          <w:szCs w:val="21"/>
        </w:rPr>
        <w:t>行人已按主承销商书面要求向主承销商提供了与本次发行有关的所有公司资料，并确保这些资料的真实性、完整性和准确性。</w:t>
      </w:r>
    </w:p>
    <w:p w14:paraId="2AEA59C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4</w:t>
      </w:r>
      <w:r>
        <w:rPr>
          <w:rFonts w:hint="eastAsia" w:ascii="宋体" w:hAnsi="宋体" w:eastAsia="宋体" w:cs="宋体"/>
          <w:sz w:val="21"/>
          <w:szCs w:val="21"/>
        </w:rPr>
        <w:t>发行人已向主承销商提供了必要的资料，证明发行人在遵守法律法规的基础上获得了必要的批准和同意并完成了必须的手续。</w:t>
      </w:r>
    </w:p>
    <w:p w14:paraId="4E0B9BB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5</w:t>
      </w:r>
      <w:r>
        <w:rPr>
          <w:rFonts w:hint="eastAsia" w:ascii="宋体" w:hAnsi="宋体" w:eastAsia="宋体" w:cs="宋体"/>
          <w:sz w:val="21"/>
          <w:szCs w:val="21"/>
        </w:rPr>
        <w:t>发行人没有违反其在本协议和/或所有发行文件中的任何实质性义务、陈述和保证。</w:t>
      </w:r>
    </w:p>
    <w:p w14:paraId="597E9CB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6发</w:t>
      </w:r>
      <w:r>
        <w:rPr>
          <w:rFonts w:hint="eastAsia" w:ascii="宋体" w:hAnsi="宋体" w:eastAsia="宋体" w:cs="宋体"/>
          <w:sz w:val="21"/>
          <w:szCs w:val="21"/>
        </w:rPr>
        <w:t>行人和主承销商在充分调查市场情况的基础上，就本次债券簿记区间及票面利率协商一致后，由发行人以书面形式签署簿记区间及票面利率确认函。</w:t>
      </w:r>
    </w:p>
    <w:p w14:paraId="40E0601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7</w:t>
      </w:r>
      <w:r>
        <w:rPr>
          <w:rFonts w:hint="eastAsia" w:ascii="宋体" w:hAnsi="宋体" w:eastAsia="宋体" w:cs="宋体"/>
          <w:sz w:val="21"/>
          <w:szCs w:val="21"/>
        </w:rPr>
        <w:t>在承销商或其代表对发行人进行的适当的核查中，或在其他情形下，主承销商并未得知任何依其自主判断认为可能使本次发行无法进行的情形。</w:t>
      </w:r>
    </w:p>
    <w:p w14:paraId="2FB305F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5.2.1</w:t>
      </w:r>
      <w:r>
        <w:rPr>
          <w:rFonts w:hint="eastAsia" w:ascii="宋体" w:hAnsi="宋体" w:eastAsia="宋体" w:cs="宋体"/>
          <w:sz w:val="21"/>
          <w:szCs w:val="21"/>
          <w:lang w:val="en-US" w:eastAsia="zh-CN"/>
        </w:rPr>
        <w:t>8</w:t>
      </w:r>
      <w:r>
        <w:rPr>
          <w:rFonts w:hint="eastAsia" w:ascii="宋体" w:hAnsi="宋体" w:eastAsia="宋体" w:cs="宋体"/>
          <w:sz w:val="21"/>
          <w:szCs w:val="21"/>
        </w:rPr>
        <w:t>法律、法规及债券发行主管机关规定的公司债券公开发行（面向合格投资者）的其他必备条件已经具备。</w:t>
      </w:r>
    </w:p>
    <w:p w14:paraId="69F2A41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5.3</w:t>
      </w:r>
      <w:r>
        <w:rPr>
          <w:rFonts w:hint="eastAsia" w:ascii="宋体" w:hAnsi="宋体" w:eastAsia="宋体" w:cs="宋体"/>
          <w:sz w:val="21"/>
          <w:szCs w:val="21"/>
        </w:rPr>
        <w:tab/>
      </w:r>
      <w:r>
        <w:rPr>
          <w:rFonts w:hint="eastAsia" w:ascii="宋体" w:hAnsi="宋体" w:eastAsia="宋体" w:cs="宋体"/>
          <w:sz w:val="21"/>
          <w:szCs w:val="21"/>
        </w:rPr>
        <w:t>主承销商可以自主酌情决定，以其认为适当的条件，豁免第5.2款中的一项或多项先决条件。如主承销商已开始履行承销义务的，视为所有先决条件已满足。</w:t>
      </w:r>
    </w:p>
    <w:p w14:paraId="5789ADB6">
      <w:pPr>
        <w:tabs>
          <w:tab w:val="left" w:pos="720"/>
        </w:tabs>
        <w:spacing w:line="360" w:lineRule="auto"/>
        <w:outlineLvl w:val="9"/>
        <w:rPr>
          <w:rFonts w:hint="eastAsia" w:ascii="宋体" w:hAnsi="宋体" w:eastAsia="宋体" w:cs="宋体"/>
          <w:sz w:val="21"/>
          <w:szCs w:val="21"/>
        </w:rPr>
      </w:pPr>
    </w:p>
    <w:p w14:paraId="5921498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sz w:val="21"/>
          <w:szCs w:val="21"/>
        </w:rPr>
        <w:tab/>
      </w:r>
      <w:r>
        <w:rPr>
          <w:rFonts w:hint="eastAsia" w:ascii="宋体" w:hAnsi="宋体" w:eastAsia="宋体" w:cs="宋体"/>
          <w:sz w:val="21"/>
          <w:szCs w:val="21"/>
        </w:rPr>
        <w:t>募集款项的划付</w:t>
      </w:r>
    </w:p>
    <w:p w14:paraId="340C283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6.1   若每期发行的债券（1）已被投资者足额认购，或（2）虽未被投资者足额认购，但各</w:t>
      </w:r>
      <w:r>
        <w:rPr>
          <w:rFonts w:hint="eastAsia" w:ascii="宋体" w:hAnsi="宋体" w:eastAsia="宋体" w:cs="宋体"/>
          <w:sz w:val="21"/>
          <w:szCs w:val="21"/>
          <w:lang w:val="en-US" w:eastAsia="zh-CN"/>
        </w:rPr>
        <w:t>主</w:t>
      </w:r>
      <w:r>
        <w:rPr>
          <w:rFonts w:hint="eastAsia" w:ascii="宋体" w:hAnsi="宋体" w:eastAsia="宋体" w:cs="宋体"/>
          <w:sz w:val="21"/>
          <w:szCs w:val="21"/>
        </w:rPr>
        <w:t>承销商已按余额包销</w:t>
      </w:r>
      <w:r>
        <w:rPr>
          <w:rFonts w:hint="eastAsia" w:ascii="宋体" w:hAnsi="宋体" w:eastAsia="宋体" w:cs="宋体"/>
          <w:sz w:val="21"/>
          <w:szCs w:val="21"/>
          <w:lang w:val="en-US" w:eastAsia="zh-CN"/>
        </w:rPr>
        <w:t>比例</w:t>
      </w:r>
      <w:r>
        <w:rPr>
          <w:rFonts w:hint="eastAsia" w:ascii="宋体" w:hAnsi="宋体" w:eastAsia="宋体" w:cs="宋体"/>
          <w:sz w:val="21"/>
          <w:szCs w:val="21"/>
        </w:rPr>
        <w:t>在承销截止日之前以发行价格认足余额且将对应的认购款项划入簿记管理人专用账户，则簿记管理人应在发行结束后的5个工作日内，将扣除首年承销费用（含承销团成员的包销部分）后的募集款项净额全部划至发行人收款账户。</w:t>
      </w:r>
    </w:p>
    <w:p w14:paraId="28CF371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6.2</w:t>
      </w:r>
      <w:r>
        <w:rPr>
          <w:rFonts w:hint="eastAsia" w:ascii="宋体" w:hAnsi="宋体" w:eastAsia="宋体" w:cs="宋体"/>
          <w:sz w:val="21"/>
          <w:szCs w:val="21"/>
        </w:rPr>
        <w:tab/>
      </w:r>
      <w:r>
        <w:rPr>
          <w:rFonts w:hint="eastAsia" w:ascii="宋体" w:hAnsi="宋体" w:eastAsia="宋体" w:cs="宋体"/>
          <w:sz w:val="21"/>
          <w:szCs w:val="21"/>
        </w:rPr>
        <w:t>若发生承销团其他成员缴款违约或认购不足而导致主承销商承担余额包销责任，不影响主承销商将募集款项划至发行人收款账户的时间。</w:t>
      </w:r>
    </w:p>
    <w:p w14:paraId="3ACBBFD6">
      <w:pPr>
        <w:tabs>
          <w:tab w:val="left" w:pos="720"/>
        </w:tabs>
        <w:spacing w:line="360" w:lineRule="auto"/>
        <w:outlineLvl w:val="9"/>
        <w:rPr>
          <w:rFonts w:hint="eastAsia" w:ascii="宋体" w:hAnsi="宋体" w:eastAsia="宋体" w:cs="宋体"/>
          <w:sz w:val="21"/>
          <w:szCs w:val="21"/>
        </w:rPr>
      </w:pPr>
    </w:p>
    <w:p w14:paraId="3D991A03">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7.</w:t>
      </w:r>
      <w:r>
        <w:rPr>
          <w:rFonts w:hint="eastAsia" w:ascii="宋体" w:hAnsi="宋体" w:eastAsia="宋体" w:cs="宋体"/>
          <w:sz w:val="21"/>
          <w:szCs w:val="21"/>
        </w:rPr>
        <w:tab/>
      </w:r>
      <w:r>
        <w:rPr>
          <w:rFonts w:hint="eastAsia" w:ascii="宋体" w:hAnsi="宋体" w:eastAsia="宋体" w:cs="宋体"/>
          <w:sz w:val="21"/>
          <w:szCs w:val="21"/>
        </w:rPr>
        <w:t>与本期债券有关的费用</w:t>
      </w:r>
    </w:p>
    <w:p w14:paraId="072E9C9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7.1</w:t>
      </w:r>
      <w:r>
        <w:rPr>
          <w:rFonts w:hint="eastAsia" w:ascii="宋体" w:hAnsi="宋体" w:eastAsia="宋体" w:cs="宋体"/>
          <w:sz w:val="21"/>
          <w:szCs w:val="21"/>
        </w:rPr>
        <w:tab/>
      </w:r>
      <w:r>
        <w:rPr>
          <w:rFonts w:hint="eastAsia" w:ascii="宋体" w:hAnsi="宋体" w:eastAsia="宋体" w:cs="宋体"/>
          <w:sz w:val="21"/>
          <w:szCs w:val="21"/>
        </w:rPr>
        <w:t>承销费用</w:t>
      </w:r>
    </w:p>
    <w:p w14:paraId="7D443E0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7.1.1</w:t>
      </w:r>
      <w:r>
        <w:rPr>
          <w:rFonts w:hint="eastAsia" w:ascii="宋体" w:hAnsi="宋体" w:eastAsia="宋体" w:cs="宋体"/>
          <w:sz w:val="21"/>
          <w:szCs w:val="21"/>
        </w:rPr>
        <w:tab/>
      </w:r>
      <w:r>
        <w:rPr>
          <w:rFonts w:hint="eastAsia" w:ascii="宋体" w:hAnsi="宋体" w:eastAsia="宋体" w:cs="宋体"/>
          <w:sz w:val="21"/>
          <w:szCs w:val="21"/>
        </w:rPr>
        <w:t>基于主承销商就本协议项下公司债发行为发行人提供的承销服务，发行成功后，发行人按本协议规定的金额和支付方式支付承销费用。本协议项下公司债年承销费率</w:t>
      </w:r>
      <w:r>
        <w:rPr>
          <w:rFonts w:hint="eastAsia" w:ascii="宋体" w:hAnsi="宋体" w:eastAsia="宋体" w:cs="宋体"/>
          <w:sz w:val="21"/>
          <w:szCs w:val="21"/>
          <w:u w:val="single"/>
        </w:rPr>
        <w:t xml:space="preserve">      </w:t>
      </w:r>
      <w:r>
        <w:rPr>
          <w:rFonts w:hint="eastAsia" w:ascii="宋体" w:hAnsi="宋体" w:eastAsia="宋体" w:cs="宋体"/>
          <w:sz w:val="21"/>
          <w:szCs w:val="21"/>
        </w:rPr>
        <w:t>%（年承销费占募集款项的比例）。</w:t>
      </w:r>
    </w:p>
    <w:p w14:paraId="4A94876C">
      <w:pPr>
        <w:spacing w:line="360" w:lineRule="auto"/>
        <w:outlineLvl w:val="9"/>
        <w:rPr>
          <w:rFonts w:hint="eastAsia" w:ascii="宋体" w:hAnsi="宋体" w:eastAsia="宋体" w:cs="宋体"/>
          <w:sz w:val="21"/>
          <w:szCs w:val="21"/>
        </w:rPr>
      </w:pPr>
      <w:r>
        <w:rPr>
          <w:rFonts w:hint="eastAsia" w:ascii="宋体" w:hAnsi="宋体" w:eastAsia="宋体" w:cs="宋体"/>
          <w:sz w:val="21"/>
          <w:szCs w:val="21"/>
        </w:rPr>
        <w:t>7.1.2</w:t>
      </w:r>
      <w:r>
        <w:rPr>
          <w:rFonts w:hint="eastAsia" w:ascii="宋体" w:hAnsi="宋体" w:eastAsia="宋体" w:cs="宋体"/>
          <w:sz w:val="21"/>
          <w:szCs w:val="21"/>
        </w:rPr>
        <w:tab/>
      </w:r>
      <w:r>
        <w:rPr>
          <w:rFonts w:hint="eastAsia" w:ascii="宋体" w:hAnsi="宋体" w:eastAsia="宋体" w:cs="宋体"/>
          <w:sz w:val="21"/>
          <w:szCs w:val="21"/>
        </w:rPr>
        <w:t>前款承销费用包括履行本协议内容全部义务的一切费用，包括但不限于发行费、文本制作费、信息披露费、修改费、咨询费、审查费、报批费用、现场服务费、差旅费、通讯费、现场办公费、税金及利润、路演推介费等主承销商全面妥善履行发行工作内容的全部费用，除律师费、评级费、会计师费、登记托管兑付费以及双方另有约定的应由发行人支付的项目外，发行人不再支付其他任何费用。</w:t>
      </w:r>
    </w:p>
    <w:p w14:paraId="5D5CB78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7.2</w:t>
      </w:r>
      <w:r>
        <w:rPr>
          <w:rFonts w:hint="eastAsia" w:ascii="宋体" w:hAnsi="宋体" w:eastAsia="宋体" w:cs="宋体"/>
          <w:sz w:val="21"/>
          <w:szCs w:val="21"/>
        </w:rPr>
        <w:tab/>
      </w:r>
      <w:r>
        <w:rPr>
          <w:rFonts w:hint="eastAsia" w:ascii="宋体" w:hAnsi="宋体" w:eastAsia="宋体" w:cs="宋体"/>
          <w:sz w:val="21"/>
          <w:szCs w:val="21"/>
        </w:rPr>
        <w:t>承销费用支付</w:t>
      </w:r>
    </w:p>
    <w:p w14:paraId="44A5F0EB">
      <w:pPr>
        <w:tabs>
          <w:tab w:val="left" w:pos="720"/>
        </w:tabs>
        <w:spacing w:line="360" w:lineRule="auto"/>
        <w:ind w:firstLine="420" w:firstLineChars="200"/>
        <w:outlineLvl w:val="9"/>
        <w:rPr>
          <w:rFonts w:hint="eastAsia" w:ascii="宋体" w:hAnsi="宋体" w:eastAsia="宋体" w:cs="宋体"/>
          <w:sz w:val="21"/>
          <w:szCs w:val="21"/>
        </w:rPr>
      </w:pPr>
      <w:r>
        <w:rPr>
          <w:rFonts w:hint="eastAsia" w:ascii="宋体" w:hAnsi="宋体" w:eastAsia="宋体" w:cs="宋体"/>
          <w:sz w:val="21"/>
          <w:szCs w:val="21"/>
        </w:rPr>
        <w:t>发行人按年向承销商支付承销费用，首年承销费由簿记管理人在缴款日从募集资金中扣收，后续每年承销费由发行人在当期公司债缴款日在每年的对应日（到期还本付息日除外）且收到请款申请及等额、合法、抬头为发行人的增值税专用发票后</w:t>
      </w:r>
      <w:r>
        <w:rPr>
          <w:rFonts w:hint="eastAsia" w:ascii="宋体" w:hAnsi="宋体" w:eastAsia="宋体" w:cs="宋体"/>
          <w:sz w:val="21"/>
          <w:szCs w:val="21"/>
          <w:lang w:val="en-US" w:eastAsia="zh-CN"/>
        </w:rPr>
        <w:t xml:space="preserve"> 五</w:t>
      </w:r>
      <w:r>
        <w:rPr>
          <w:rFonts w:hint="eastAsia" w:ascii="宋体" w:hAnsi="宋体" w:eastAsia="宋体" w:cs="宋体"/>
          <w:sz w:val="21"/>
          <w:szCs w:val="21"/>
        </w:rPr>
        <w:t>个工作日向簿记管理人支付。如发行人在本次公司债获得注册后的有效期内没有发行，发行人无需向承销商支付承销费用。</w:t>
      </w:r>
    </w:p>
    <w:p w14:paraId="6BD40881">
      <w:pPr>
        <w:spacing w:line="360" w:lineRule="auto"/>
        <w:ind w:firstLine="420" w:firstLineChars="200"/>
        <w:outlineLvl w:val="9"/>
        <w:rPr>
          <w:rFonts w:hint="eastAsia" w:ascii="宋体" w:hAnsi="宋体" w:eastAsia="宋体" w:cs="宋体"/>
          <w:sz w:val="21"/>
          <w:szCs w:val="21"/>
        </w:rPr>
      </w:pP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应获得的当期债券承销费用分别为承销费用总额乘以各自竞争性销售份额占当期债券发行规模的比例。如出现投资人未明确其申购金额在各家主承销商之间的分配比例的情况，则按各主承销商的余额包销比例对该部分申购金额进行分配</w:t>
      </w:r>
      <w:r>
        <w:rPr>
          <w:rFonts w:hint="eastAsia" w:ascii="宋体" w:hAnsi="宋体" w:eastAsia="宋体" w:cs="宋体"/>
          <w:sz w:val="21"/>
          <w:szCs w:val="21"/>
          <w:lang w:eastAsia="zh-CN"/>
        </w:rPr>
        <w:t>。</w:t>
      </w:r>
      <w:r>
        <w:rPr>
          <w:rFonts w:hint="eastAsia" w:ascii="宋体" w:hAnsi="宋体" w:eastAsia="宋体" w:cs="宋体"/>
          <w:sz w:val="21"/>
          <w:szCs w:val="21"/>
        </w:rPr>
        <w:t>由簿记管理人向发行人足额收取应收承销费。簿记管理人在收到应收承销费后向未担任簿记管理人的主承销商足额支付当期应收承销费。</w:t>
      </w:r>
    </w:p>
    <w:p w14:paraId="793A5FA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7.3  本协议项下约定的合同价款、价外费用均为含增值税的含税价款</w:t>
      </w:r>
      <w:r>
        <w:rPr>
          <w:rFonts w:hint="eastAsia" w:ascii="宋体" w:hAnsi="宋体" w:eastAsia="宋体" w:cs="宋体"/>
          <w:sz w:val="21"/>
          <w:szCs w:val="21"/>
          <w:lang w:eastAsia="zh-CN"/>
        </w:rPr>
        <w:t>，</w:t>
      </w:r>
      <w:r>
        <w:rPr>
          <w:rFonts w:hint="eastAsia" w:ascii="宋体" w:hAnsi="宋体" w:eastAsia="宋体" w:cs="宋体"/>
          <w:sz w:val="21"/>
          <w:szCs w:val="21"/>
        </w:rPr>
        <w:t>不含税总金额为：含税金额/（1+6%），增值税税款为：不含税价格×6%，增值税税率6%。如出现尾差，则以发票金额为准。甲方在支付相关费用时，无需向乙方另行支付基于该等费用适用增值税税率计算的增值税。</w:t>
      </w:r>
    </w:p>
    <w:p w14:paraId="75E796BC">
      <w:pPr>
        <w:tabs>
          <w:tab w:val="left" w:pos="720"/>
        </w:tabs>
        <w:spacing w:line="360" w:lineRule="auto"/>
        <w:outlineLvl w:val="9"/>
        <w:rPr>
          <w:rFonts w:hint="eastAsia" w:ascii="宋体" w:hAnsi="宋体" w:eastAsia="宋体" w:cs="宋体"/>
          <w:sz w:val="21"/>
          <w:szCs w:val="21"/>
        </w:rPr>
      </w:pPr>
    </w:p>
    <w:p w14:paraId="49AF541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8.</w:t>
      </w:r>
      <w:r>
        <w:rPr>
          <w:rFonts w:hint="eastAsia" w:ascii="宋体" w:hAnsi="宋体" w:eastAsia="宋体" w:cs="宋体"/>
          <w:sz w:val="21"/>
          <w:szCs w:val="21"/>
        </w:rPr>
        <w:tab/>
      </w:r>
      <w:r>
        <w:rPr>
          <w:rFonts w:hint="eastAsia" w:ascii="宋体" w:hAnsi="宋体" w:eastAsia="宋体" w:cs="宋体"/>
          <w:sz w:val="21"/>
          <w:szCs w:val="21"/>
        </w:rPr>
        <w:t>付息和本金兑付</w:t>
      </w:r>
    </w:p>
    <w:p w14:paraId="3065874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8.1</w:t>
      </w:r>
      <w:r>
        <w:rPr>
          <w:rFonts w:hint="eastAsia" w:ascii="宋体" w:hAnsi="宋体" w:eastAsia="宋体" w:cs="宋体"/>
          <w:sz w:val="21"/>
          <w:szCs w:val="21"/>
        </w:rPr>
        <w:tab/>
      </w:r>
      <w:r>
        <w:rPr>
          <w:rFonts w:hint="eastAsia" w:ascii="宋体" w:hAnsi="宋体" w:eastAsia="宋体" w:cs="宋体"/>
          <w:sz w:val="21"/>
          <w:szCs w:val="21"/>
        </w:rPr>
        <w:t>在全部或部分本期债券经批准在有关证券交易场所交易流通之后，该交易流通部分的债券的付息和本金兑付将通过相关证券登记托管机构进行；本期债券未交易流通部分债券的本金和利息的支付将通过中央国债登记公司及有关机构办理。</w:t>
      </w:r>
    </w:p>
    <w:p w14:paraId="3BE86F5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8.2</w:t>
      </w:r>
      <w:r>
        <w:rPr>
          <w:rFonts w:hint="eastAsia" w:ascii="宋体" w:hAnsi="宋体" w:eastAsia="宋体" w:cs="宋体"/>
          <w:sz w:val="21"/>
          <w:szCs w:val="21"/>
        </w:rPr>
        <w:tab/>
      </w:r>
      <w:r>
        <w:rPr>
          <w:rFonts w:hint="eastAsia" w:ascii="宋体" w:hAnsi="宋体" w:eastAsia="宋体" w:cs="宋体"/>
          <w:sz w:val="21"/>
          <w:szCs w:val="21"/>
        </w:rPr>
        <w:t>发行人应根据其与中央国债登记公司或相关证券登记托管机构签订的有关协议以及相关证券交易场所的有关规定将有关的本金或利息款项足额划至中央国债登记公司和/或相关证券登记托管机构指定的账户。</w:t>
      </w:r>
    </w:p>
    <w:p w14:paraId="3EF7F0F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8.3</w:t>
      </w:r>
      <w:r>
        <w:rPr>
          <w:rFonts w:hint="eastAsia" w:ascii="宋体" w:hAnsi="宋体" w:eastAsia="宋体" w:cs="宋体"/>
          <w:sz w:val="21"/>
          <w:szCs w:val="21"/>
        </w:rPr>
        <w:tab/>
      </w:r>
      <w:r>
        <w:rPr>
          <w:rFonts w:hint="eastAsia" w:ascii="宋体" w:hAnsi="宋体" w:eastAsia="宋体" w:cs="宋体"/>
          <w:sz w:val="21"/>
          <w:szCs w:val="21"/>
        </w:rPr>
        <w:t>发行人应根据相关规定及与中央结算公司的有关协议实施本期债券的付息、本金兑付，主承销商将按照本协议第11条的规定向发行人提供协助。</w:t>
      </w:r>
    </w:p>
    <w:p w14:paraId="3AF93A7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8.4</w:t>
      </w:r>
      <w:r>
        <w:rPr>
          <w:rFonts w:hint="eastAsia" w:ascii="宋体" w:hAnsi="宋体" w:eastAsia="宋体" w:cs="宋体"/>
          <w:sz w:val="21"/>
          <w:szCs w:val="21"/>
        </w:rPr>
        <w:tab/>
      </w:r>
      <w:r>
        <w:rPr>
          <w:rFonts w:hint="eastAsia" w:ascii="宋体" w:hAnsi="宋体" w:eastAsia="宋体" w:cs="宋体"/>
          <w:sz w:val="21"/>
          <w:szCs w:val="21"/>
        </w:rPr>
        <w:t>主承销商向发行人提供付息、本金兑付协助将不再向发行人收取服务费。</w:t>
      </w:r>
    </w:p>
    <w:p w14:paraId="7DBA7BDA">
      <w:pPr>
        <w:tabs>
          <w:tab w:val="left" w:pos="720"/>
        </w:tabs>
        <w:spacing w:line="360" w:lineRule="auto"/>
        <w:outlineLvl w:val="9"/>
        <w:rPr>
          <w:rFonts w:hint="eastAsia" w:ascii="宋体" w:hAnsi="宋体" w:eastAsia="宋体" w:cs="宋体"/>
          <w:sz w:val="21"/>
          <w:szCs w:val="21"/>
        </w:rPr>
      </w:pPr>
    </w:p>
    <w:p w14:paraId="6B03E6D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w:t>
      </w:r>
      <w:r>
        <w:rPr>
          <w:rFonts w:hint="eastAsia" w:ascii="宋体" w:hAnsi="宋体" w:eastAsia="宋体" w:cs="宋体"/>
          <w:sz w:val="21"/>
          <w:szCs w:val="21"/>
        </w:rPr>
        <w:tab/>
      </w:r>
      <w:r>
        <w:rPr>
          <w:rFonts w:hint="eastAsia" w:ascii="宋体" w:hAnsi="宋体" w:eastAsia="宋体" w:cs="宋体"/>
          <w:sz w:val="21"/>
          <w:szCs w:val="21"/>
        </w:rPr>
        <w:t>陈述和保证</w:t>
      </w:r>
    </w:p>
    <w:p w14:paraId="3082E3A3">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w:t>
      </w:r>
      <w:r>
        <w:rPr>
          <w:rFonts w:hint="eastAsia" w:ascii="宋体" w:hAnsi="宋体" w:eastAsia="宋体" w:cs="宋体"/>
          <w:sz w:val="21"/>
          <w:szCs w:val="21"/>
        </w:rPr>
        <w:tab/>
      </w:r>
      <w:r>
        <w:rPr>
          <w:rFonts w:hint="eastAsia" w:ascii="宋体" w:hAnsi="宋体" w:eastAsia="宋体" w:cs="宋体"/>
          <w:sz w:val="21"/>
          <w:szCs w:val="21"/>
        </w:rPr>
        <w:t>发行人向主承销商陈述并保证，自本协议签署之日起至本期债券发行结束之日：</w:t>
      </w:r>
    </w:p>
    <w:p w14:paraId="588223B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w:t>
      </w:r>
      <w:r>
        <w:rPr>
          <w:rFonts w:hint="eastAsia" w:ascii="宋体" w:hAnsi="宋体" w:eastAsia="宋体" w:cs="宋体"/>
          <w:sz w:val="21"/>
          <w:szCs w:val="21"/>
        </w:rPr>
        <w:tab/>
      </w:r>
      <w:r>
        <w:rPr>
          <w:rFonts w:hint="eastAsia" w:ascii="宋体" w:hAnsi="宋体" w:eastAsia="宋体" w:cs="宋体"/>
          <w:sz w:val="21"/>
          <w:szCs w:val="21"/>
        </w:rPr>
        <w:t>发行人是根据《中华人民共和国公司法》于中华人民共和国注册成立的有限责任公司、股份有限公司或企业法人，具有在中华人民共和国经营其营业执照中规定的业务的资格，并且拥有充分的授权和法定权利拥有其资产和经营其业务；</w:t>
      </w:r>
    </w:p>
    <w:p w14:paraId="361A904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9.1.2</w:t>
      </w:r>
      <w:r>
        <w:rPr>
          <w:rFonts w:hint="eastAsia" w:ascii="宋体" w:hAnsi="宋体" w:eastAsia="宋体" w:cs="宋体"/>
          <w:sz w:val="21"/>
          <w:szCs w:val="21"/>
        </w:rPr>
        <w:tab/>
      </w:r>
      <w:r>
        <w:rPr>
          <w:rFonts w:hint="eastAsia" w:ascii="宋体" w:hAnsi="宋体" w:eastAsia="宋体" w:cs="宋体"/>
          <w:sz w:val="21"/>
          <w:szCs w:val="21"/>
        </w:rPr>
        <w:t>发行人具备发行本期债券的资格，并已履行了必要的内部批准程序，有权签订并履行本协议，代表发行人的本协议签字人已获授权；</w:t>
      </w:r>
    </w:p>
    <w:p w14:paraId="3C69094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9.1.3</w:t>
      </w:r>
      <w:r>
        <w:rPr>
          <w:rFonts w:hint="eastAsia" w:ascii="宋体" w:hAnsi="宋体" w:eastAsia="宋体" w:cs="宋体"/>
          <w:sz w:val="21"/>
          <w:szCs w:val="21"/>
        </w:rPr>
        <w:tab/>
      </w:r>
      <w:r>
        <w:rPr>
          <w:rFonts w:hint="eastAsia" w:ascii="宋体" w:hAnsi="宋体" w:eastAsia="宋体" w:cs="宋体"/>
          <w:sz w:val="21"/>
          <w:szCs w:val="21"/>
        </w:rPr>
        <w:t>自双方签署本协议并加盖公司印章之日起，本协议即对发行人具有法律上的约束力；</w:t>
      </w:r>
    </w:p>
    <w:p w14:paraId="67D32E9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9.1.4</w:t>
      </w:r>
      <w:r>
        <w:rPr>
          <w:rFonts w:hint="eastAsia" w:ascii="宋体" w:hAnsi="宋体" w:eastAsia="宋体" w:cs="宋体"/>
          <w:sz w:val="21"/>
          <w:szCs w:val="21"/>
        </w:rPr>
        <w:tab/>
      </w:r>
      <w:r>
        <w:rPr>
          <w:rFonts w:hint="eastAsia" w:ascii="宋体" w:hAnsi="宋体" w:eastAsia="宋体" w:cs="宋体"/>
          <w:sz w:val="21"/>
          <w:szCs w:val="21"/>
        </w:rPr>
        <w:t>发行人签署本协议或履行其于本协议项下的任何义务或行使其于本协议项下的任何权利将不会与发行人适用的任何法律、法规、条例、判决、命令、裁定、裁决、授权、协议或义务相抵触；如果存在相抵触的情况，发行人已经取得相应的有效豁免或批准，并且这些豁免或批准在中国法律上具有法律约束力，可以通过司法途径得到强制执行；</w:t>
      </w:r>
    </w:p>
    <w:p w14:paraId="5370A5B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9.1.5</w:t>
      </w:r>
      <w:r>
        <w:rPr>
          <w:rFonts w:hint="eastAsia" w:ascii="宋体" w:hAnsi="宋体" w:eastAsia="宋体" w:cs="宋体"/>
          <w:sz w:val="21"/>
          <w:szCs w:val="21"/>
        </w:rPr>
        <w:tab/>
      </w:r>
      <w:r>
        <w:rPr>
          <w:rFonts w:hint="eastAsia" w:ascii="宋体" w:hAnsi="宋体" w:eastAsia="宋体" w:cs="宋体"/>
          <w:sz w:val="21"/>
          <w:szCs w:val="21"/>
        </w:rPr>
        <w:t>发行人已经按照有关机构的要求，按时将所有的报告、决议、申报单或其他要求递交的文件以适当的形式向其递交、登记或备案；</w:t>
      </w:r>
    </w:p>
    <w:p w14:paraId="078747E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9.1.6</w:t>
      </w:r>
      <w:r>
        <w:rPr>
          <w:rFonts w:hint="eastAsia" w:ascii="宋体" w:hAnsi="宋体" w:eastAsia="宋体" w:cs="宋体"/>
          <w:sz w:val="21"/>
          <w:szCs w:val="21"/>
        </w:rPr>
        <w:tab/>
      </w:r>
      <w:r>
        <w:rPr>
          <w:rFonts w:hint="eastAsia" w:ascii="宋体" w:hAnsi="宋体" w:eastAsia="宋体" w:cs="宋体"/>
          <w:sz w:val="21"/>
          <w:szCs w:val="21"/>
        </w:rPr>
        <w:t>发行人遵守对其适用的税收法律、法规的规定，并且已经根据该法律、法规规定保存了所有相应的税收记录和文件；发行人每年的税收申报单已经依照中国有关税收法律、法规的要求及时地进行了提交；并且税收申报单在所有重要的方面都是适当的和准确的，并且已获得有关税务机关的同意；</w:t>
      </w:r>
    </w:p>
    <w:p w14:paraId="1B9274C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9.1.7</w:t>
      </w:r>
      <w:r>
        <w:rPr>
          <w:rFonts w:hint="eastAsia" w:ascii="宋体" w:hAnsi="宋体" w:eastAsia="宋体" w:cs="宋体"/>
          <w:sz w:val="21"/>
          <w:szCs w:val="21"/>
        </w:rPr>
        <w:tab/>
      </w:r>
      <w:r>
        <w:rPr>
          <w:rFonts w:hint="eastAsia" w:ascii="宋体" w:hAnsi="宋体" w:eastAsia="宋体" w:cs="宋体"/>
          <w:sz w:val="21"/>
          <w:szCs w:val="21"/>
        </w:rPr>
        <w:t>发行人签署本协议和履行其在本协议项下的义务，都不会与发行人公司章程或内部规章或以发行人为一方或发行人受其约束的任何合同或协议的任何规定有抵触，或导致对上述规定的违反，或构成对上述规定的不履行或不能履行；</w:t>
      </w:r>
    </w:p>
    <w:p w14:paraId="3C1ACC0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9.1.8</w:t>
      </w:r>
      <w:r>
        <w:rPr>
          <w:rFonts w:hint="eastAsia" w:ascii="宋体" w:hAnsi="宋体" w:eastAsia="宋体" w:cs="宋体"/>
          <w:sz w:val="21"/>
          <w:szCs w:val="21"/>
        </w:rPr>
        <w:tab/>
      </w:r>
      <w:r>
        <w:rPr>
          <w:rFonts w:hint="eastAsia" w:ascii="宋体" w:hAnsi="宋体" w:eastAsia="宋体" w:cs="宋体"/>
          <w:sz w:val="21"/>
          <w:szCs w:val="21"/>
        </w:rPr>
        <w:t>发行人持有的与发行人有关的所有资料，如有对发行人全部履行其在本协议项下义务的能力具有实质性不利影响的，或者透露给主承销商即对主承销商签订本协议的意愿具有实质性不利影响的，发行人均已向主承销商透露；</w:t>
      </w:r>
    </w:p>
    <w:p w14:paraId="6037906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9.1.9</w:t>
      </w:r>
      <w:r>
        <w:rPr>
          <w:rFonts w:hint="eastAsia" w:ascii="宋体" w:hAnsi="宋体" w:eastAsia="宋体" w:cs="宋体"/>
          <w:sz w:val="21"/>
          <w:szCs w:val="21"/>
        </w:rPr>
        <w:tab/>
      </w:r>
      <w:r>
        <w:rPr>
          <w:rFonts w:hint="eastAsia" w:ascii="宋体" w:hAnsi="宋体" w:eastAsia="宋体" w:cs="宋体"/>
          <w:sz w:val="21"/>
          <w:szCs w:val="21"/>
        </w:rPr>
        <w:t>发行人不存在任何未向主承销商披露的人民币万元以上的单笔债务；</w:t>
      </w:r>
    </w:p>
    <w:p w14:paraId="29CC5D3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9.1.10</w:t>
      </w:r>
      <w:r>
        <w:rPr>
          <w:rFonts w:hint="eastAsia" w:ascii="宋体" w:hAnsi="宋体" w:eastAsia="宋体" w:cs="宋体"/>
          <w:sz w:val="21"/>
          <w:szCs w:val="21"/>
        </w:rPr>
        <w:tab/>
      </w:r>
      <w:r>
        <w:rPr>
          <w:rFonts w:hint="eastAsia" w:ascii="宋体" w:hAnsi="宋体" w:eastAsia="宋体" w:cs="宋体"/>
          <w:sz w:val="21"/>
          <w:szCs w:val="21"/>
        </w:rPr>
        <w:t>发行人的任何资产或收入并无设置可能对本期债券发行、付息和兑付构成重大实质性不利影响的任何形式的担保权益；</w:t>
      </w:r>
    </w:p>
    <w:p w14:paraId="3FC585C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9.1.11</w:t>
      </w:r>
      <w:r>
        <w:rPr>
          <w:rFonts w:hint="eastAsia" w:ascii="宋体" w:hAnsi="宋体" w:eastAsia="宋体" w:cs="宋体"/>
          <w:sz w:val="21"/>
          <w:szCs w:val="21"/>
        </w:rPr>
        <w:tab/>
      </w:r>
      <w:r>
        <w:rPr>
          <w:rFonts w:hint="eastAsia" w:ascii="宋体" w:hAnsi="宋体" w:eastAsia="宋体" w:cs="宋体"/>
          <w:sz w:val="21"/>
          <w:szCs w:val="21"/>
        </w:rPr>
        <w:t>不存在针对发行人提出的或悬而未决的、可能会对本期债券发行、付息和兑付构成任何形式的实质性不利影响的法院诉讼、仲裁庭仲裁、或其他潜在的重大纠纷；</w:t>
      </w:r>
    </w:p>
    <w:p w14:paraId="3C96DBC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9.1.12</w:t>
      </w:r>
      <w:r>
        <w:rPr>
          <w:rFonts w:hint="eastAsia" w:ascii="宋体" w:hAnsi="宋体" w:eastAsia="宋体" w:cs="宋体"/>
          <w:sz w:val="21"/>
          <w:szCs w:val="21"/>
        </w:rPr>
        <w:tab/>
      </w:r>
      <w:r>
        <w:rPr>
          <w:rFonts w:hint="eastAsia" w:ascii="宋体" w:hAnsi="宋体" w:eastAsia="宋体" w:cs="宋体"/>
          <w:sz w:val="21"/>
          <w:szCs w:val="21"/>
        </w:rPr>
        <w:t>发行人遵守国家有关环境保护的法律、法规；</w:t>
      </w:r>
    </w:p>
    <w:p w14:paraId="2544ED2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9.1.13</w:t>
      </w:r>
      <w:r>
        <w:rPr>
          <w:rFonts w:hint="eastAsia" w:ascii="宋体" w:hAnsi="宋体" w:eastAsia="宋体" w:cs="宋体"/>
          <w:sz w:val="21"/>
          <w:szCs w:val="21"/>
        </w:rPr>
        <w:tab/>
      </w:r>
      <w:r>
        <w:rPr>
          <w:rFonts w:hint="eastAsia" w:ascii="宋体" w:hAnsi="宋体" w:eastAsia="宋体" w:cs="宋体"/>
          <w:sz w:val="21"/>
          <w:szCs w:val="21"/>
        </w:rPr>
        <w:t>目前发行人就本次发行所披露的财务报表是按中国现行法律、法规和条例以及会计准则编制的。该财务报表完整、真实、公正地反映了发行人在有关财务时期结束时的财务状况以及在该财务时期的业绩；</w:t>
      </w:r>
    </w:p>
    <w:p w14:paraId="01EABA4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9.1.14</w:t>
      </w:r>
      <w:r>
        <w:rPr>
          <w:rFonts w:hint="eastAsia" w:ascii="宋体" w:hAnsi="宋体" w:eastAsia="宋体" w:cs="宋体"/>
          <w:sz w:val="21"/>
          <w:szCs w:val="21"/>
        </w:rPr>
        <w:tab/>
      </w:r>
      <w:r>
        <w:rPr>
          <w:rFonts w:hint="eastAsia" w:ascii="宋体" w:hAnsi="宋体" w:eastAsia="宋体" w:cs="宋体"/>
          <w:sz w:val="21"/>
          <w:szCs w:val="21"/>
        </w:rPr>
        <w:t xml:space="preserve">从该财务报表出具之日起至本期债券交易流通当日，发行人的业务或财务状况并无实质性不利变化。 </w:t>
      </w:r>
    </w:p>
    <w:p w14:paraId="2A76102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9.1.15</w:t>
      </w:r>
      <w:r>
        <w:rPr>
          <w:rFonts w:hint="eastAsia" w:ascii="宋体" w:hAnsi="宋体" w:eastAsia="宋体" w:cs="宋体"/>
          <w:sz w:val="21"/>
          <w:szCs w:val="21"/>
        </w:rPr>
        <w:tab/>
      </w:r>
      <w:r>
        <w:rPr>
          <w:rFonts w:hint="eastAsia" w:ascii="宋体" w:hAnsi="宋体" w:eastAsia="宋体" w:cs="宋体"/>
          <w:sz w:val="21"/>
          <w:szCs w:val="21"/>
        </w:rPr>
        <w:t>发行人向主承销商提供的全部资料(包括但不限于在主承销商或其顾问为本次发行及交易流通进行尽职调查中发行人所提供的所有资料) 真实、完整和准确的，不存在有实质意义的不实或误导性陈述；</w:t>
      </w:r>
    </w:p>
    <w:p w14:paraId="4CDF13B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9.1.16</w:t>
      </w:r>
      <w:r>
        <w:rPr>
          <w:rFonts w:hint="eastAsia" w:ascii="宋体" w:hAnsi="宋体" w:eastAsia="宋体" w:cs="宋体"/>
          <w:sz w:val="21"/>
          <w:szCs w:val="21"/>
        </w:rPr>
        <w:tab/>
      </w:r>
      <w:r>
        <w:rPr>
          <w:rFonts w:hint="eastAsia" w:ascii="宋体" w:hAnsi="宋体" w:eastAsia="宋体" w:cs="宋体"/>
          <w:sz w:val="21"/>
          <w:szCs w:val="21"/>
        </w:rPr>
        <w:t>对于目前由发行人使用的并与发行人目前的业务经营有关的所有重大的专利、专利权、发明、版权、专有技术(包括行业秘密和其他非专利的或不能申请专利的专有权或保密信息、系统或程序)、商标、服务标志和商业名称(以下称“知识产权”)，发行人完全合法有效地拥有或有权使用，或可以依法以合理的条件获得；就上述知识产权，发行人没有接到任何侵权通知或与其他人已声明的权利发生冲突的通知；在经营活动中，发行人亦没有对在国内注册的任何专利、版权、所有权、商标、服务标记、商业标记、或其他知识产权有任何侵权行为；</w:t>
      </w:r>
    </w:p>
    <w:p w14:paraId="788D22F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9.1.17</w:t>
      </w:r>
      <w:r>
        <w:rPr>
          <w:rFonts w:hint="eastAsia" w:ascii="宋体" w:hAnsi="宋体" w:eastAsia="宋体" w:cs="宋体"/>
          <w:sz w:val="21"/>
          <w:szCs w:val="21"/>
        </w:rPr>
        <w:tab/>
      </w:r>
      <w:r>
        <w:rPr>
          <w:rFonts w:hint="eastAsia" w:ascii="宋体" w:hAnsi="宋体" w:eastAsia="宋体" w:cs="宋体"/>
          <w:sz w:val="21"/>
          <w:szCs w:val="21"/>
        </w:rPr>
        <w:t>就发行人所知，发行人与其员工之间不存在重大劳动争议、罢工或其他冲突。前述重大劳动争议是指十名以上员工追索劳动报酬、工伤医疗费、经济补偿或者赔偿金人均金额超过人民币五十万元的；</w:t>
      </w:r>
    </w:p>
    <w:p w14:paraId="6EE083C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9.1.18</w:t>
      </w:r>
      <w:r>
        <w:rPr>
          <w:rFonts w:hint="eastAsia" w:ascii="宋体" w:hAnsi="宋体" w:eastAsia="宋体" w:cs="宋体"/>
          <w:sz w:val="21"/>
          <w:szCs w:val="21"/>
        </w:rPr>
        <w:tab/>
      </w:r>
      <w:r>
        <w:rPr>
          <w:rFonts w:hint="eastAsia" w:ascii="宋体" w:hAnsi="宋体" w:eastAsia="宋体" w:cs="宋体"/>
          <w:sz w:val="21"/>
          <w:szCs w:val="21"/>
        </w:rPr>
        <w:t>债券募集说明书已包括有关发行人及其本次发行的全部实质性信息。债券募集说明书所包括的所有事实陈述均真实、准确、完整，且无重大误导成分。债券募集说明书中有关意见、意向、期望的表述均是真实的，是认真、适当地考虑了所有有关情况并基于合理的假设做出的，反映了合理的预期，不存在具有重大误导性的疏忽。</w:t>
      </w:r>
    </w:p>
    <w:p w14:paraId="0F7D2AD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w:t>
      </w:r>
      <w:r>
        <w:rPr>
          <w:rFonts w:hint="eastAsia" w:ascii="宋体" w:hAnsi="宋体" w:eastAsia="宋体" w:cs="宋体"/>
          <w:sz w:val="21"/>
          <w:szCs w:val="21"/>
        </w:rPr>
        <w:tab/>
      </w:r>
      <w:r>
        <w:rPr>
          <w:rFonts w:hint="eastAsia" w:ascii="宋体" w:hAnsi="宋体" w:eastAsia="宋体" w:cs="宋体"/>
          <w:sz w:val="21"/>
          <w:szCs w:val="21"/>
        </w:rPr>
        <w:t>主承销商向发行人陈述并保证，自本协议签署之日起至本期债券发行结束：</w:t>
      </w:r>
    </w:p>
    <w:p w14:paraId="2D5ABF8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9.2.1</w:t>
      </w:r>
      <w:r>
        <w:rPr>
          <w:rFonts w:hint="eastAsia" w:ascii="宋体" w:hAnsi="宋体" w:eastAsia="宋体" w:cs="宋体"/>
          <w:sz w:val="21"/>
          <w:szCs w:val="21"/>
        </w:rPr>
        <w:tab/>
      </w:r>
      <w:r>
        <w:rPr>
          <w:rFonts w:hint="eastAsia" w:ascii="宋体" w:hAnsi="宋体" w:eastAsia="宋体" w:cs="宋体"/>
          <w:sz w:val="21"/>
          <w:szCs w:val="21"/>
        </w:rPr>
        <w:t>主承销商是根据中国法律正式成立，有效存续并正常经营的股份有限公司，具有从事企业（公司）债券承销业务资格及担任本期债券的债券主承销商资格；</w:t>
      </w:r>
    </w:p>
    <w:p w14:paraId="0FCFAE2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9.2.2</w:t>
      </w:r>
      <w:r>
        <w:rPr>
          <w:rFonts w:hint="eastAsia" w:ascii="宋体" w:hAnsi="宋体" w:eastAsia="宋体" w:cs="宋体"/>
          <w:sz w:val="21"/>
          <w:szCs w:val="21"/>
        </w:rPr>
        <w:tab/>
      </w:r>
      <w:r>
        <w:rPr>
          <w:rFonts w:hint="eastAsia" w:ascii="宋体" w:hAnsi="宋体" w:eastAsia="宋体" w:cs="宋体"/>
          <w:sz w:val="21"/>
          <w:szCs w:val="21"/>
        </w:rPr>
        <w:t>主承销商已按其应适用的法律、法规办理必要的手续，并取得必要的登记及批准，且在该等法律、法规项下拥有必要的权力和权利，以便签署本协议和履行其在本协议项下的各项义务；</w:t>
      </w:r>
    </w:p>
    <w:p w14:paraId="5EC4618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9.2.3</w:t>
      </w:r>
      <w:r>
        <w:rPr>
          <w:rFonts w:hint="eastAsia" w:ascii="宋体" w:hAnsi="宋体" w:eastAsia="宋体" w:cs="宋体"/>
          <w:sz w:val="21"/>
          <w:szCs w:val="21"/>
        </w:rPr>
        <w:tab/>
      </w:r>
      <w:r>
        <w:rPr>
          <w:rFonts w:hint="eastAsia" w:ascii="宋体" w:hAnsi="宋体" w:eastAsia="宋体" w:cs="宋体"/>
          <w:sz w:val="21"/>
          <w:szCs w:val="21"/>
        </w:rPr>
        <w:t>主承销商已采取必要的内部批准程序，有权签订并履行本协议，且代表主承销商的本协议签字人已获授权；</w:t>
      </w:r>
    </w:p>
    <w:p w14:paraId="1499619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9.2.4</w:t>
      </w:r>
      <w:r>
        <w:rPr>
          <w:rFonts w:hint="eastAsia" w:ascii="宋体" w:hAnsi="宋体" w:eastAsia="宋体" w:cs="宋体"/>
          <w:sz w:val="21"/>
          <w:szCs w:val="21"/>
        </w:rPr>
        <w:tab/>
      </w:r>
      <w:r>
        <w:rPr>
          <w:rFonts w:hint="eastAsia" w:ascii="宋体" w:hAnsi="宋体" w:eastAsia="宋体" w:cs="宋体"/>
          <w:sz w:val="21"/>
          <w:szCs w:val="21"/>
        </w:rPr>
        <w:t>主承销商已取得承销团所有成员的书面授权，在本期债券发行过程中有权代表承销团其他所有成员处理债券承销事宜；</w:t>
      </w:r>
    </w:p>
    <w:p w14:paraId="517381A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9.2.5自双方签署本协议并加盖公司印章之日起，本协议即对主承销商具有法律上的约束力；</w:t>
      </w:r>
    </w:p>
    <w:p w14:paraId="5B9E2F6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9.2.6</w:t>
      </w:r>
      <w:r>
        <w:rPr>
          <w:rFonts w:hint="eastAsia" w:ascii="宋体" w:hAnsi="宋体" w:eastAsia="宋体" w:cs="宋体"/>
          <w:sz w:val="21"/>
          <w:szCs w:val="21"/>
        </w:rPr>
        <w:tab/>
      </w:r>
      <w:r>
        <w:rPr>
          <w:rFonts w:hint="eastAsia" w:ascii="宋体" w:hAnsi="宋体" w:eastAsia="宋体" w:cs="宋体"/>
          <w:sz w:val="21"/>
          <w:szCs w:val="21"/>
        </w:rPr>
        <w:t>主承销商签署本协议和履行其在本协议项下的义务，不会与主承销商的公司章程或内部规章、任何法律、法规、规定、任何政府机构或部门的授权或批准、或以主承销商为一方或受之约束的任何合同或协议的任何规定有抵触，或导致对上述规定的违反，或构成对上述规定的不履行；</w:t>
      </w:r>
    </w:p>
    <w:p w14:paraId="525402F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9.2.7</w:t>
      </w:r>
      <w:r>
        <w:rPr>
          <w:rFonts w:hint="eastAsia" w:ascii="宋体" w:hAnsi="宋体" w:eastAsia="宋体" w:cs="宋体"/>
          <w:sz w:val="21"/>
          <w:szCs w:val="21"/>
        </w:rPr>
        <w:tab/>
      </w:r>
      <w:r>
        <w:rPr>
          <w:rFonts w:hint="eastAsia" w:ascii="宋体" w:hAnsi="宋体" w:eastAsia="宋体" w:cs="宋体"/>
          <w:sz w:val="21"/>
          <w:szCs w:val="21"/>
        </w:rPr>
        <w:t>主承销商持有的与主承销商有关的所有资料，如有对主承销商全部履行其在本协议项下义务的能力具有实质性不利影响的，或者透露给发行人即对发行人签订本协议的意愿具有实质性不利影响的，均已向发行人透露，而且主承销商提供给发行人的资料均不存在任何具有实质意义的不实陈述或误导性陈述；</w:t>
      </w:r>
    </w:p>
    <w:p w14:paraId="064327D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9.2.8</w:t>
      </w:r>
      <w:r>
        <w:rPr>
          <w:rFonts w:hint="eastAsia" w:ascii="宋体" w:hAnsi="宋体" w:eastAsia="宋体" w:cs="宋体"/>
          <w:sz w:val="21"/>
          <w:szCs w:val="21"/>
        </w:rPr>
        <w:tab/>
      </w:r>
      <w:r>
        <w:rPr>
          <w:rFonts w:hint="eastAsia" w:ascii="宋体" w:hAnsi="宋体" w:eastAsia="宋体" w:cs="宋体"/>
          <w:sz w:val="21"/>
          <w:szCs w:val="21"/>
        </w:rPr>
        <w:t>除非本协议有不同规定，承销团成员之间因履行承销团协议而发生的任何争议，不应影响每个承销商承担本协议项下的义务和责任；</w:t>
      </w:r>
    </w:p>
    <w:p w14:paraId="35ED4E9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9.2.9</w:t>
      </w:r>
      <w:r>
        <w:rPr>
          <w:rFonts w:hint="eastAsia" w:ascii="宋体" w:hAnsi="宋体" w:eastAsia="宋体" w:cs="宋体"/>
          <w:sz w:val="21"/>
          <w:szCs w:val="21"/>
        </w:rPr>
        <w:tab/>
      </w:r>
      <w:r>
        <w:rPr>
          <w:rFonts w:hint="eastAsia" w:ascii="宋体" w:hAnsi="宋体" w:eastAsia="宋体" w:cs="宋体"/>
          <w:sz w:val="21"/>
          <w:szCs w:val="21"/>
        </w:rPr>
        <w:t>在事先未获得发行人书面认可情况下，不得以新闻发布或散发文件等形式，向公众披露除募集说明书之外的，可能影响本次发行成功的信息。</w:t>
      </w:r>
    </w:p>
    <w:p w14:paraId="40C544D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9.2.10</w:t>
      </w:r>
      <w:r>
        <w:rPr>
          <w:rFonts w:hint="eastAsia" w:ascii="宋体" w:hAnsi="宋体" w:eastAsia="宋体" w:cs="宋体"/>
          <w:sz w:val="21"/>
          <w:szCs w:val="21"/>
        </w:rPr>
        <w:tab/>
      </w:r>
      <w:r>
        <w:rPr>
          <w:rFonts w:hint="eastAsia" w:ascii="宋体" w:hAnsi="宋体" w:eastAsia="宋体" w:cs="宋体"/>
          <w:sz w:val="21"/>
          <w:szCs w:val="21"/>
        </w:rPr>
        <w:t>如主承销商违反本第9.2款的陈述和保证，发行人有权终止履行本协议，并有权要求主承销商就此承担违反陈述和保证的责任或违约责任。</w:t>
      </w:r>
    </w:p>
    <w:p w14:paraId="165A94BE">
      <w:pPr>
        <w:tabs>
          <w:tab w:val="left" w:pos="720"/>
        </w:tabs>
        <w:spacing w:line="360" w:lineRule="auto"/>
        <w:outlineLvl w:val="9"/>
        <w:rPr>
          <w:rFonts w:hint="eastAsia" w:ascii="宋体" w:hAnsi="宋体" w:eastAsia="宋体" w:cs="宋体"/>
          <w:sz w:val="21"/>
          <w:szCs w:val="21"/>
        </w:rPr>
      </w:pPr>
    </w:p>
    <w:p w14:paraId="69C18854">
      <w:pPr>
        <w:spacing w:line="360" w:lineRule="auto"/>
        <w:outlineLvl w:val="9"/>
        <w:rPr>
          <w:rFonts w:hint="eastAsia" w:ascii="宋体" w:hAnsi="宋体" w:eastAsia="宋体" w:cs="宋体"/>
          <w:sz w:val="21"/>
          <w:szCs w:val="21"/>
        </w:rPr>
      </w:pPr>
      <w:r>
        <w:rPr>
          <w:rFonts w:hint="eastAsia" w:ascii="宋体" w:hAnsi="宋体" w:eastAsia="宋体" w:cs="宋体"/>
          <w:sz w:val="21"/>
          <w:szCs w:val="21"/>
        </w:rPr>
        <w:t>10.  发行人义务</w:t>
      </w:r>
    </w:p>
    <w:p w14:paraId="62B9AD3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 作为一项独立义务，发行人承诺按照本协议的规定向主承销商支付承销费。发行人不可撤销地授权簿记管理人可在将净募集款项划给发行人之前，根据第7.1、7.2款规定，自募集款项中扣除首年承销费用。</w:t>
      </w:r>
    </w:p>
    <w:p w14:paraId="0F2CD49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10.2 发行人应接受并配合主承销商的尽职调查。</w:t>
      </w:r>
    </w:p>
    <w:p w14:paraId="77518DD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10.3 发行人发行本次债券后，将严格按照经批准的募集资金用途使用本次募集款项。</w:t>
      </w:r>
    </w:p>
    <w:p w14:paraId="2DD4D8F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10.4 发行人将及时向有关主管机关和有关证券交易场所报送法律、法规和有关证券交易场所的交易规则规定的发行及交易流通文件。</w:t>
      </w:r>
    </w:p>
    <w:p w14:paraId="1245405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10.5 发行人应在接到与本次发行及交易流通有关的主管机关发出的关于发行文件或对发行文件进行的修改或补充文件已经被批准或生效的通知时，应当立即告知主承销商并提供该等通知相应的</w:t>
      </w:r>
      <w:r>
        <w:rPr>
          <w:rFonts w:hint="eastAsia" w:ascii="宋体" w:hAnsi="宋体" w:eastAsia="宋体" w:cs="宋体"/>
          <w:sz w:val="21"/>
          <w:szCs w:val="21"/>
          <w:lang w:eastAsia="zh-CN"/>
        </w:rPr>
        <w:t>扫描件</w:t>
      </w:r>
      <w:r>
        <w:rPr>
          <w:rFonts w:hint="eastAsia" w:ascii="宋体" w:hAnsi="宋体" w:eastAsia="宋体" w:cs="宋体"/>
          <w:sz w:val="21"/>
          <w:szCs w:val="21"/>
        </w:rPr>
        <w:t>；发行人应在接到上述部门关于暂停使用发行文件、暂停发售本次债券或要求对发行文件进行修改或补充的通知后，立即通知主承销商。</w:t>
      </w:r>
    </w:p>
    <w:p w14:paraId="65A01CF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10.6 本次债券交易流通首日前(包括交易流通首日)的任何时候，如果发行人了解到任何将使其在本协议中做出的声明、保证或承诺存在错误或者变得不真实或不正确的事项，应立即通知主承销商，并按主承销商的合理要求采取必要措施予以补救或予以公布，由此而支出的费用由发行人承担。</w:t>
      </w:r>
    </w:p>
    <w:p w14:paraId="67E22AF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10.7 发行人将遵守有关法律、法规的规定，履行持续的信息披露的义务，以维护本次债券的良好市场形象和信用等级。</w:t>
      </w:r>
    </w:p>
    <w:p w14:paraId="247EA82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10.8 发行人在本次债券存续期间，应按照有关债券法规的规定及时向有关主管机构和有关证券交易场所办理有关手续。</w:t>
      </w:r>
    </w:p>
    <w:p w14:paraId="3AFE078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10.9 发行人应在收到募集款项净额（全部募集款项扣除承销费用后的数额）后向主承销商提供募集款项到位的收款证明文件。</w:t>
      </w:r>
    </w:p>
    <w:p w14:paraId="10C6C22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10.10 自本协议签署日起至各承销商有关本次发行的义务终止之日止，发行人承诺，未经与主承销商事先达成一致，发行人不会公开募集说明书的内容或者与本次发行有关并可能影响本次发行的任何信息。</w:t>
      </w:r>
    </w:p>
    <w:p w14:paraId="13BD18C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10.11 发行人在各个方面均应遵守本次发行的条款和条件。</w:t>
      </w:r>
    </w:p>
    <w:p w14:paraId="637B499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10.12 发行人应根据中国法律、相关债券上市场所上市规则和相关法规，申请并取得关于每期债券上市的批准文件。</w:t>
      </w:r>
    </w:p>
    <w:p w14:paraId="0E47961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10.13 每期债券在相关债券上市场所上市、转让之日前的任何时候，如发生对投资者作出投资决策有重大影响的信息，发行人应及时予以披露。</w:t>
      </w:r>
    </w:p>
    <w:p w14:paraId="0D11019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10.14 严格遵守廉洁从业相关规定。</w:t>
      </w:r>
    </w:p>
    <w:p w14:paraId="1742DB88">
      <w:pPr>
        <w:tabs>
          <w:tab w:val="left" w:pos="720"/>
        </w:tabs>
        <w:spacing w:line="360" w:lineRule="auto"/>
        <w:outlineLvl w:val="9"/>
        <w:rPr>
          <w:rFonts w:hint="eastAsia" w:ascii="宋体" w:hAnsi="宋体" w:eastAsia="宋体" w:cs="宋体"/>
          <w:sz w:val="21"/>
          <w:szCs w:val="21"/>
        </w:rPr>
      </w:pPr>
    </w:p>
    <w:p w14:paraId="6DF2E19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eastAsia="宋体" w:cs="宋体"/>
          <w:sz w:val="21"/>
          <w:szCs w:val="21"/>
        </w:rPr>
        <w:tab/>
      </w:r>
      <w:r>
        <w:rPr>
          <w:rFonts w:hint="eastAsia" w:ascii="宋体" w:hAnsi="宋体" w:eastAsia="宋体" w:cs="宋体"/>
          <w:sz w:val="21"/>
          <w:szCs w:val="21"/>
        </w:rPr>
        <w:t>主承销商的义务</w:t>
      </w:r>
    </w:p>
    <w:p w14:paraId="0DA392C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11.1</w:t>
      </w:r>
      <w:r>
        <w:rPr>
          <w:rFonts w:hint="eastAsia" w:ascii="宋体" w:hAnsi="宋体" w:eastAsia="宋体" w:cs="宋体"/>
          <w:sz w:val="21"/>
          <w:szCs w:val="21"/>
        </w:rPr>
        <w:tab/>
      </w:r>
      <w:r>
        <w:rPr>
          <w:rFonts w:hint="eastAsia" w:ascii="宋体" w:hAnsi="宋体" w:eastAsia="宋体" w:cs="宋体"/>
          <w:sz w:val="21"/>
          <w:szCs w:val="21"/>
        </w:rPr>
        <w:t>主承销商按本协议规定按时、足额发行本期债券，按时足额向发行人划付募集资金。并有义务监督承销团各成员的承销活动。</w:t>
      </w:r>
    </w:p>
    <w:p w14:paraId="2F88FB8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11.2</w:t>
      </w:r>
      <w:r>
        <w:rPr>
          <w:rFonts w:hint="eastAsia" w:ascii="宋体" w:hAnsi="宋体" w:eastAsia="宋体" w:cs="宋体"/>
          <w:sz w:val="21"/>
          <w:szCs w:val="21"/>
        </w:rPr>
        <w:tab/>
      </w:r>
      <w:r>
        <w:rPr>
          <w:rFonts w:hint="eastAsia" w:ascii="宋体" w:hAnsi="宋体" w:eastAsia="宋体" w:cs="宋体"/>
          <w:sz w:val="21"/>
          <w:szCs w:val="21"/>
        </w:rPr>
        <w:t>主承销商有义务按照发行人的要求向发行人提供本期债券发行总体方案的建议书，配合完成募集说明书及其摘要的起草和其他本次发行有关的文件。</w:t>
      </w:r>
    </w:p>
    <w:p w14:paraId="616F3E95">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11.3</w:t>
      </w:r>
      <w:r>
        <w:rPr>
          <w:rFonts w:hint="eastAsia" w:ascii="宋体" w:hAnsi="宋体" w:eastAsia="宋体" w:cs="宋体"/>
          <w:sz w:val="21"/>
          <w:szCs w:val="21"/>
        </w:rPr>
        <w:tab/>
      </w:r>
      <w:r>
        <w:rPr>
          <w:rFonts w:hint="eastAsia" w:ascii="宋体" w:hAnsi="宋体" w:eastAsia="宋体" w:cs="宋体"/>
          <w:sz w:val="21"/>
          <w:szCs w:val="21"/>
        </w:rPr>
        <w:t>主承销商负责组织承销团，开展本期债券的承销工作，负责承销团成员的组织协调工作，并协助发行人共同协调会计、法律、评级等中介机构的工作。就参与本期债券发行的其他中介机构向发行人所出具的文件对发行人提供咨询意见。</w:t>
      </w:r>
    </w:p>
    <w:p w14:paraId="51883F1C">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11.4</w:t>
      </w:r>
      <w:r>
        <w:rPr>
          <w:rFonts w:hint="eastAsia" w:ascii="宋体" w:hAnsi="宋体" w:eastAsia="宋体" w:cs="宋体"/>
          <w:sz w:val="21"/>
          <w:szCs w:val="21"/>
        </w:rPr>
        <w:tab/>
      </w:r>
      <w:r>
        <w:rPr>
          <w:rFonts w:hint="eastAsia" w:ascii="宋体" w:hAnsi="宋体" w:eastAsia="宋体" w:cs="宋体"/>
          <w:sz w:val="21"/>
          <w:szCs w:val="21"/>
        </w:rPr>
        <w:t>主承销商有义务协助发行人开展债券发行的申报、托管登记工作和后续信息披露工作，在发行结束后的15个工作日内，向发行人提供债券持有人名册，同时提供准确、完整、清楚的书面认购资料。</w:t>
      </w:r>
    </w:p>
    <w:p w14:paraId="69045B8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11.5</w:t>
      </w:r>
      <w:r>
        <w:rPr>
          <w:rFonts w:hint="eastAsia" w:ascii="宋体" w:hAnsi="宋体" w:eastAsia="宋体" w:cs="宋体"/>
          <w:sz w:val="21"/>
          <w:szCs w:val="21"/>
        </w:rPr>
        <w:tab/>
      </w:r>
      <w:r>
        <w:rPr>
          <w:rFonts w:hint="eastAsia" w:ascii="宋体" w:hAnsi="宋体" w:eastAsia="宋体" w:cs="宋体"/>
          <w:sz w:val="21"/>
          <w:szCs w:val="21"/>
        </w:rPr>
        <w:t>主承销商有义务协助发行人向本期债券的持有人履行付息、兑付和/或支付根据募集说明书应当由发行人向本期债券的持有人支付的各种款项，但仅限于组织和协调承销团各成员进行上述付息、兑付和/或支付。</w:t>
      </w:r>
    </w:p>
    <w:p w14:paraId="219FA94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11.6</w:t>
      </w:r>
      <w:r>
        <w:rPr>
          <w:rFonts w:hint="eastAsia" w:ascii="宋体" w:hAnsi="宋体" w:eastAsia="宋体" w:cs="宋体"/>
          <w:sz w:val="21"/>
          <w:szCs w:val="21"/>
        </w:rPr>
        <w:tab/>
      </w:r>
      <w:r>
        <w:rPr>
          <w:rFonts w:hint="eastAsia" w:ascii="宋体" w:hAnsi="宋体" w:eastAsia="宋体" w:cs="宋体"/>
          <w:sz w:val="21"/>
          <w:szCs w:val="21"/>
        </w:rPr>
        <w:t>主承销商有义务协助发行人完成本期债券在合法的国内证券交易场所交易流通工作。</w:t>
      </w:r>
    </w:p>
    <w:p w14:paraId="30CC35E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11.7</w:t>
      </w:r>
      <w:r>
        <w:rPr>
          <w:rFonts w:hint="eastAsia" w:ascii="宋体" w:hAnsi="宋体" w:eastAsia="宋体" w:cs="宋体"/>
          <w:sz w:val="21"/>
          <w:szCs w:val="21"/>
        </w:rPr>
        <w:tab/>
      </w:r>
      <w:r>
        <w:rPr>
          <w:rFonts w:hint="eastAsia" w:ascii="宋体" w:hAnsi="宋体" w:eastAsia="宋体" w:cs="宋体"/>
          <w:sz w:val="21"/>
          <w:szCs w:val="21"/>
        </w:rPr>
        <w:t>主承销商应按照其行业公认的执业标准、道德标准和勤勉尽责精神向发行人提供上述服务事项。经本协议双方同意确认的其他服务内容。</w:t>
      </w:r>
    </w:p>
    <w:p w14:paraId="67BEAC6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11.8 主承销商应严格遵守廉洁从业相关规定。</w:t>
      </w:r>
    </w:p>
    <w:p w14:paraId="4D87D348">
      <w:pPr>
        <w:tabs>
          <w:tab w:val="left" w:pos="720"/>
        </w:tabs>
        <w:spacing w:line="360" w:lineRule="auto"/>
        <w:outlineLvl w:val="9"/>
        <w:rPr>
          <w:rFonts w:hint="eastAsia" w:ascii="宋体" w:hAnsi="宋体" w:eastAsia="宋体" w:cs="宋体"/>
          <w:sz w:val="21"/>
          <w:szCs w:val="21"/>
        </w:rPr>
      </w:pPr>
    </w:p>
    <w:p w14:paraId="1086F04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12.</w:t>
      </w:r>
      <w:r>
        <w:rPr>
          <w:rFonts w:hint="eastAsia" w:ascii="宋体" w:hAnsi="宋体" w:eastAsia="宋体" w:cs="宋体"/>
          <w:sz w:val="21"/>
          <w:szCs w:val="21"/>
        </w:rPr>
        <w:tab/>
      </w:r>
      <w:r>
        <w:rPr>
          <w:rFonts w:hint="eastAsia" w:ascii="宋体" w:hAnsi="宋体" w:eastAsia="宋体" w:cs="宋体"/>
          <w:sz w:val="21"/>
          <w:szCs w:val="21"/>
        </w:rPr>
        <w:t>税款</w:t>
      </w:r>
    </w:p>
    <w:p w14:paraId="3AB466B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本协议双方应当各自依法缴纳因其签署和执行本协议而应当缴纳的各项税款。根据国家税收法律法规，投资者投资本期债券所涉及的应缴纳的各项税款由投资者承担。</w:t>
      </w:r>
    </w:p>
    <w:p w14:paraId="42D06AB0">
      <w:pPr>
        <w:tabs>
          <w:tab w:val="left" w:pos="720"/>
        </w:tabs>
        <w:spacing w:line="360" w:lineRule="auto"/>
        <w:outlineLvl w:val="9"/>
        <w:rPr>
          <w:rFonts w:hint="eastAsia" w:ascii="宋体" w:hAnsi="宋体" w:eastAsia="宋体" w:cs="宋体"/>
          <w:sz w:val="21"/>
          <w:szCs w:val="21"/>
        </w:rPr>
      </w:pPr>
    </w:p>
    <w:p w14:paraId="4FB8448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w:t>
      </w:r>
      <w:r>
        <w:rPr>
          <w:rFonts w:hint="eastAsia" w:ascii="宋体" w:hAnsi="宋体" w:eastAsia="宋体" w:cs="宋体"/>
          <w:sz w:val="21"/>
          <w:szCs w:val="21"/>
        </w:rPr>
        <w:tab/>
      </w:r>
      <w:r>
        <w:rPr>
          <w:rFonts w:hint="eastAsia" w:ascii="宋体" w:hAnsi="宋体" w:eastAsia="宋体" w:cs="宋体"/>
          <w:sz w:val="21"/>
          <w:szCs w:val="21"/>
        </w:rPr>
        <w:t>违约责任</w:t>
      </w:r>
    </w:p>
    <w:p w14:paraId="5C0C00A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13.1</w:t>
      </w:r>
      <w:r>
        <w:rPr>
          <w:rFonts w:hint="eastAsia" w:ascii="宋体" w:hAnsi="宋体" w:eastAsia="宋体" w:cs="宋体"/>
          <w:sz w:val="21"/>
          <w:szCs w:val="21"/>
        </w:rPr>
        <w:tab/>
      </w:r>
      <w:r>
        <w:rPr>
          <w:rFonts w:hint="eastAsia" w:ascii="宋体" w:hAnsi="宋体" w:eastAsia="宋体" w:cs="宋体"/>
          <w:sz w:val="21"/>
          <w:szCs w:val="21"/>
        </w:rPr>
        <w:t>本协议双方应根据本协议的有关规定按时划拨款项，包括但不限于本协议第6条项下的全部募集款项净额及本协议第7条项下的承销费用。违约方应就逾期未划部分按每日万分之五的向收款一方支付违约金，还应继续履行付款义务。</w:t>
      </w:r>
    </w:p>
    <w:p w14:paraId="3047D03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13.2本协议任何一方或其董事、职员、代理人履行与本次债券有关的职务时，因过错而造成其他一方或多方损失的，该协议方应对损失方产生的实际损失承担赔偿责任，并提供完全有效的赔偿，包括但不限于已完成的工作所产生的合理费用，协议履行后可以获得的利益（该等利益不得超过违反协议一方订立协议时预见到或者应当预见到的因违反协议可能造成的损失），为实现赔偿所支出的合理的诉讼费、律师费等。</w:t>
      </w:r>
    </w:p>
    <w:p w14:paraId="5DCC303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13.3</w:t>
      </w:r>
      <w:r>
        <w:rPr>
          <w:rFonts w:hint="eastAsia" w:ascii="宋体" w:hAnsi="宋体" w:eastAsia="宋体" w:cs="宋体"/>
          <w:sz w:val="21"/>
          <w:szCs w:val="21"/>
        </w:rPr>
        <w:tab/>
      </w:r>
      <w:r>
        <w:rPr>
          <w:rFonts w:hint="eastAsia" w:ascii="宋体" w:hAnsi="宋体" w:eastAsia="宋体" w:cs="宋体"/>
          <w:sz w:val="21"/>
          <w:szCs w:val="21"/>
        </w:rPr>
        <w:t xml:space="preserve">至本期债券交易流通当日，如果发行及交易流通文件或发行人、主承销商在本期债券交易流通当日之前向公众或任何第三人披露的任何有关本次发行及本期债券信息中包含有任何实质性的虚假、不实或带有误导性的陈述、或任何重大遗漏，则：          </w:t>
      </w:r>
    </w:p>
    <w:p w14:paraId="502C0BC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13.3.1</w:t>
      </w:r>
      <w:r>
        <w:rPr>
          <w:rFonts w:hint="eastAsia" w:ascii="宋体" w:hAnsi="宋体" w:eastAsia="宋体" w:cs="宋体"/>
          <w:sz w:val="21"/>
          <w:szCs w:val="21"/>
        </w:rPr>
        <w:tab/>
      </w:r>
      <w:r>
        <w:rPr>
          <w:rFonts w:hint="eastAsia" w:ascii="宋体" w:hAnsi="宋体" w:eastAsia="宋体" w:cs="宋体"/>
          <w:sz w:val="21"/>
          <w:szCs w:val="21"/>
        </w:rPr>
        <w:t>如果该等实质性的虚假、不实或带有误导性的陈述、或任何重大遗漏是由于承销商的过错，则因此给发行人造成的任何损失(包括但不限于发行人为避免、挽回和弥补该等损失而支出的律师费和其它合理费用)应当由承销商承担。但如果发行人也有过错，则相应减轻承销商的责任；</w:t>
      </w:r>
    </w:p>
    <w:p w14:paraId="18135E6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13.3.2</w:t>
      </w:r>
      <w:r>
        <w:rPr>
          <w:rFonts w:hint="eastAsia" w:ascii="宋体" w:hAnsi="宋体" w:eastAsia="宋体" w:cs="宋体"/>
          <w:sz w:val="21"/>
          <w:szCs w:val="21"/>
        </w:rPr>
        <w:tab/>
      </w:r>
      <w:r>
        <w:rPr>
          <w:rFonts w:hint="eastAsia" w:ascii="宋体" w:hAnsi="宋体" w:eastAsia="宋体" w:cs="宋体"/>
          <w:sz w:val="21"/>
          <w:szCs w:val="21"/>
        </w:rPr>
        <w:t>如果该等实质性的虚假、不实或带有误导性的陈述、或任何重大遗漏是由于发行人的过错，则因此给承销商造成的实际损失(包括但不限于承销商为避免、挽回和弥补该等损失而支出的律师费和其它合理费用)应当由发行人承担。但如果承销商也有过错，则相应减轻发行人的责任；</w:t>
      </w:r>
    </w:p>
    <w:p w14:paraId="2D97EF7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13.3.3</w:t>
      </w:r>
      <w:r>
        <w:rPr>
          <w:rFonts w:hint="eastAsia" w:ascii="宋体" w:hAnsi="宋体" w:eastAsia="宋体" w:cs="宋体"/>
          <w:sz w:val="21"/>
          <w:szCs w:val="21"/>
        </w:rPr>
        <w:tab/>
      </w:r>
      <w:r>
        <w:rPr>
          <w:rFonts w:hint="eastAsia" w:ascii="宋体" w:hAnsi="宋体" w:eastAsia="宋体" w:cs="宋体"/>
          <w:sz w:val="21"/>
          <w:szCs w:val="21"/>
        </w:rPr>
        <w:t>在上述第13.3.1项中承销商的赔偿责任应包括对因此遭受损害的发行人的董事、经理和其他雇员的赔偿；在上述第13.3.2项中发行人的赔偿责任应包括对因此而遭受损害的承销商董事、经理和其他雇员的赔偿。</w:t>
      </w:r>
    </w:p>
    <w:p w14:paraId="0DE2704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13.3.4</w:t>
      </w:r>
      <w:r>
        <w:rPr>
          <w:rFonts w:hint="eastAsia" w:ascii="宋体" w:hAnsi="宋体" w:eastAsia="宋体" w:cs="宋体"/>
          <w:sz w:val="21"/>
          <w:szCs w:val="21"/>
        </w:rPr>
        <w:tab/>
      </w:r>
      <w:r>
        <w:rPr>
          <w:rFonts w:hint="eastAsia" w:ascii="宋体" w:hAnsi="宋体" w:eastAsia="宋体" w:cs="宋体"/>
          <w:sz w:val="21"/>
          <w:szCs w:val="21"/>
        </w:rPr>
        <w:t>如果主承销商发生上述第13.3.2款、第 13.3.3 款约定的违约事件，发行方有权解除本协议项下尚未完成发行的债券对主承销商的委任。</w:t>
      </w:r>
    </w:p>
    <w:p w14:paraId="0076E38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13.4</w:t>
      </w:r>
      <w:r>
        <w:rPr>
          <w:rFonts w:hint="eastAsia" w:ascii="宋体" w:hAnsi="宋体" w:eastAsia="宋体" w:cs="宋体"/>
          <w:sz w:val="21"/>
          <w:szCs w:val="21"/>
        </w:rPr>
        <w:tab/>
      </w:r>
      <w:r>
        <w:rPr>
          <w:rFonts w:hint="eastAsia" w:ascii="宋体" w:hAnsi="宋体" w:eastAsia="宋体" w:cs="宋体"/>
          <w:sz w:val="21"/>
          <w:szCs w:val="21"/>
        </w:rPr>
        <w:t>除本协议上述第13.1款至第13.3款的规定外，本协议任何一方违反其在本协议其他条款项下的义务而给另一方造成损失的，违约方应向另一方承担相应的赔偿责任，守约方有权要求违约方继续履行合同义务。</w:t>
      </w:r>
    </w:p>
    <w:p w14:paraId="51F52A8E">
      <w:pPr>
        <w:tabs>
          <w:tab w:val="left" w:pos="720"/>
        </w:tabs>
        <w:spacing w:line="360" w:lineRule="auto"/>
        <w:outlineLvl w:val="9"/>
        <w:rPr>
          <w:rFonts w:hint="eastAsia" w:ascii="宋体" w:hAnsi="宋体" w:eastAsia="宋体" w:cs="宋体"/>
          <w:sz w:val="21"/>
          <w:szCs w:val="21"/>
        </w:rPr>
      </w:pPr>
    </w:p>
    <w:p w14:paraId="4A9E568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w:t>
      </w:r>
      <w:r>
        <w:rPr>
          <w:rFonts w:hint="eastAsia" w:ascii="宋体" w:hAnsi="宋体" w:eastAsia="宋体" w:cs="宋体"/>
          <w:sz w:val="21"/>
          <w:szCs w:val="21"/>
        </w:rPr>
        <w:tab/>
      </w:r>
      <w:r>
        <w:rPr>
          <w:rFonts w:hint="eastAsia" w:ascii="宋体" w:hAnsi="宋体" w:eastAsia="宋体" w:cs="宋体"/>
          <w:sz w:val="21"/>
          <w:szCs w:val="21"/>
        </w:rPr>
        <w:t>不可抗力事件及免责</w:t>
      </w:r>
    </w:p>
    <w:p w14:paraId="664C877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14.1</w:t>
      </w:r>
      <w:r>
        <w:rPr>
          <w:rFonts w:hint="eastAsia" w:ascii="宋体" w:hAnsi="宋体" w:eastAsia="宋体" w:cs="宋体"/>
          <w:sz w:val="21"/>
          <w:szCs w:val="21"/>
        </w:rPr>
        <w:tab/>
      </w:r>
      <w:r>
        <w:rPr>
          <w:rFonts w:hint="eastAsia" w:ascii="宋体" w:hAnsi="宋体" w:eastAsia="宋体" w:cs="宋体"/>
          <w:sz w:val="21"/>
          <w:szCs w:val="21"/>
        </w:rPr>
        <w:t>本协议所述不可抗力是指任何不可预见、不可避免并且不能克服的客观情况，包括但不限于政治、经济、国家宏观调控领域及利率政策的重大变化、地震、水灾、传染性疾病以及战争等情形，而这种客观情况已经或可能将会对本期债券偿还能力、本次发行及交易流通产生重大实质性不利影响，则主承销商与发行人充分协商一致后可决定暂缓履行或终止履行本协议。</w:t>
      </w:r>
    </w:p>
    <w:p w14:paraId="5415F73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14.2</w:t>
      </w:r>
      <w:r>
        <w:rPr>
          <w:rFonts w:hint="eastAsia" w:ascii="宋体" w:hAnsi="宋体" w:eastAsia="宋体" w:cs="宋体"/>
          <w:sz w:val="21"/>
          <w:szCs w:val="21"/>
        </w:rPr>
        <w:tab/>
      </w:r>
      <w:r>
        <w:rPr>
          <w:rFonts w:hint="eastAsia" w:ascii="宋体" w:hAnsi="宋体" w:eastAsia="宋体" w:cs="宋体"/>
          <w:sz w:val="21"/>
          <w:szCs w:val="21"/>
        </w:rPr>
        <w:t>如果上述不可抗力事件的发生影响一方履行其在本协议项下的义务，则在不可抗力造成的延误期内中止履行不视为违约。</w:t>
      </w:r>
    </w:p>
    <w:p w14:paraId="4C19E5A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14.3</w:t>
      </w:r>
      <w:r>
        <w:rPr>
          <w:rFonts w:hint="eastAsia" w:ascii="宋体" w:hAnsi="宋体" w:eastAsia="宋体" w:cs="宋体"/>
          <w:sz w:val="21"/>
          <w:szCs w:val="21"/>
        </w:rPr>
        <w:tab/>
      </w:r>
      <w:r>
        <w:rPr>
          <w:rFonts w:hint="eastAsia" w:ascii="宋体" w:hAnsi="宋体" w:eastAsia="宋体" w:cs="宋体"/>
          <w:sz w:val="21"/>
          <w:szCs w:val="21"/>
        </w:rPr>
        <w:t>宣称发生不可抗力事件的一方应迅速书面通知本协议他方，并在其后的15天内提供证明不可抗力事件发生及其持续的足够证据。</w:t>
      </w:r>
    </w:p>
    <w:p w14:paraId="6451BB0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14.4</w:t>
      </w:r>
      <w:r>
        <w:rPr>
          <w:rFonts w:hint="eastAsia" w:ascii="宋体" w:hAnsi="宋体" w:eastAsia="宋体" w:cs="宋体"/>
          <w:sz w:val="21"/>
          <w:szCs w:val="21"/>
        </w:rPr>
        <w:tab/>
      </w:r>
      <w:r>
        <w:rPr>
          <w:rFonts w:hint="eastAsia" w:ascii="宋体" w:hAnsi="宋体" w:eastAsia="宋体" w:cs="宋体"/>
          <w:sz w:val="21"/>
          <w:szCs w:val="21"/>
        </w:rPr>
        <w:t>如果发生不可抗力事件，本协议双方应立即互相协商，以找到公平的解决办法，并且应尽一切合理努力将不可抗力事件的后果减小到最低限度，否则，未采取合理努力方应就扩大的损失对另一方承担相应的赔偿责任。</w:t>
      </w:r>
    </w:p>
    <w:p w14:paraId="6259008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14.5</w:t>
      </w:r>
      <w:r>
        <w:rPr>
          <w:rFonts w:hint="eastAsia" w:ascii="宋体" w:hAnsi="宋体" w:eastAsia="宋体" w:cs="宋体"/>
          <w:sz w:val="21"/>
          <w:szCs w:val="21"/>
        </w:rPr>
        <w:tab/>
      </w:r>
      <w:r>
        <w:rPr>
          <w:rFonts w:hint="eastAsia" w:ascii="宋体" w:hAnsi="宋体" w:eastAsia="宋体" w:cs="宋体"/>
          <w:sz w:val="21"/>
          <w:szCs w:val="21"/>
        </w:rPr>
        <w:t>如不可抗力事件的发生或后果对本次发行及交易流通造成重大妨碍，时间超过6个月，并且本协议双方未找到公平的解决办法，则任何一方（“终止方”）有权以向另一方发出书面通知（“终止通知”）的方式终止本协议。在这种情况下，本协议的解除自通知到达对方时生效，由此造成的损失由本协议各方按照公平原则共同承担。</w:t>
      </w:r>
    </w:p>
    <w:p w14:paraId="670EC0F4">
      <w:pPr>
        <w:tabs>
          <w:tab w:val="left" w:pos="720"/>
        </w:tabs>
        <w:spacing w:line="360" w:lineRule="auto"/>
        <w:outlineLvl w:val="9"/>
        <w:rPr>
          <w:rFonts w:hint="eastAsia" w:ascii="宋体" w:hAnsi="宋体" w:eastAsia="宋体" w:cs="宋体"/>
          <w:sz w:val="21"/>
          <w:szCs w:val="21"/>
        </w:rPr>
      </w:pPr>
    </w:p>
    <w:p w14:paraId="0BE25F7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w:t>
      </w:r>
      <w:r>
        <w:rPr>
          <w:rFonts w:hint="eastAsia" w:ascii="宋体" w:hAnsi="宋体" w:eastAsia="宋体" w:cs="宋体"/>
          <w:sz w:val="21"/>
          <w:szCs w:val="21"/>
        </w:rPr>
        <w:tab/>
      </w:r>
      <w:r>
        <w:rPr>
          <w:rFonts w:hint="eastAsia" w:ascii="宋体" w:hAnsi="宋体" w:eastAsia="宋体" w:cs="宋体"/>
          <w:sz w:val="21"/>
          <w:szCs w:val="21"/>
        </w:rPr>
        <w:t>保密</w:t>
      </w:r>
    </w:p>
    <w:p w14:paraId="41A1993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15.1</w:t>
      </w:r>
      <w:r>
        <w:rPr>
          <w:rFonts w:hint="eastAsia" w:ascii="宋体" w:hAnsi="宋体" w:eastAsia="宋体" w:cs="宋体"/>
          <w:sz w:val="21"/>
          <w:szCs w:val="21"/>
        </w:rPr>
        <w:tab/>
      </w:r>
      <w:r>
        <w:rPr>
          <w:rFonts w:hint="eastAsia" w:ascii="宋体" w:hAnsi="宋体" w:eastAsia="宋体" w:cs="宋体"/>
          <w:sz w:val="21"/>
          <w:szCs w:val="21"/>
        </w:rPr>
        <w:t>任何一方曾向或可能需向另一方透露有关其各自业务、财务状况及其他保密事项的保密与专有资料。除其他有关保密协议另有规定外，接受上述所有资料(包括书面资料和非书面资料，以下称“保密资料”)的每一方应当：</w:t>
      </w:r>
    </w:p>
    <w:p w14:paraId="5679375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15.1.1</w:t>
      </w:r>
      <w:r>
        <w:rPr>
          <w:rFonts w:hint="eastAsia" w:ascii="宋体" w:hAnsi="宋体" w:eastAsia="宋体" w:cs="宋体"/>
          <w:sz w:val="21"/>
          <w:szCs w:val="21"/>
        </w:rPr>
        <w:tab/>
      </w:r>
      <w:r>
        <w:rPr>
          <w:rFonts w:hint="eastAsia" w:ascii="宋体" w:hAnsi="宋体" w:eastAsia="宋体" w:cs="宋体"/>
          <w:sz w:val="21"/>
          <w:szCs w:val="21"/>
        </w:rPr>
        <w:t>对上述保密资料予以保密；</w:t>
      </w:r>
    </w:p>
    <w:p w14:paraId="199076D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15.1.2</w:t>
      </w:r>
      <w:r>
        <w:rPr>
          <w:rFonts w:hint="eastAsia" w:ascii="宋体" w:hAnsi="宋体" w:eastAsia="宋体" w:cs="宋体"/>
          <w:sz w:val="21"/>
          <w:szCs w:val="21"/>
        </w:rPr>
        <w:tab/>
      </w:r>
      <w:r>
        <w:rPr>
          <w:rFonts w:hint="eastAsia" w:ascii="宋体" w:hAnsi="宋体" w:eastAsia="宋体" w:cs="宋体"/>
          <w:sz w:val="21"/>
          <w:szCs w:val="21"/>
        </w:rPr>
        <w:t>除对因履行其工作职责而需知道上述保密资料的本方雇员外，不向任何人或实体透露上述保密资料。</w:t>
      </w:r>
    </w:p>
    <w:p w14:paraId="5F2925E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15.2</w:t>
      </w:r>
      <w:r>
        <w:rPr>
          <w:rFonts w:hint="eastAsia" w:ascii="宋体" w:hAnsi="宋体" w:eastAsia="宋体" w:cs="宋体"/>
          <w:sz w:val="21"/>
          <w:szCs w:val="21"/>
        </w:rPr>
        <w:tab/>
      </w:r>
      <w:r>
        <w:rPr>
          <w:rFonts w:hint="eastAsia" w:ascii="宋体" w:hAnsi="宋体" w:eastAsia="宋体" w:cs="宋体"/>
          <w:sz w:val="21"/>
          <w:szCs w:val="21"/>
        </w:rPr>
        <w:t>上述第15.1款的规定不适用于下述保密资料：</w:t>
      </w:r>
    </w:p>
    <w:p w14:paraId="2DADE6F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15.2.1</w:t>
      </w:r>
      <w:r>
        <w:rPr>
          <w:rFonts w:hint="eastAsia" w:ascii="宋体" w:hAnsi="宋体" w:eastAsia="宋体" w:cs="宋体"/>
          <w:sz w:val="21"/>
          <w:szCs w:val="21"/>
        </w:rPr>
        <w:tab/>
      </w:r>
      <w:r>
        <w:rPr>
          <w:rFonts w:hint="eastAsia" w:ascii="宋体" w:hAnsi="宋体" w:eastAsia="宋体" w:cs="宋体"/>
          <w:sz w:val="21"/>
          <w:szCs w:val="21"/>
        </w:rPr>
        <w:t>在透露方向接受方透露之前所作的书面记录能够证明已为接受方所知的资料；</w:t>
      </w:r>
    </w:p>
    <w:p w14:paraId="3550BBC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15.2.2</w:t>
      </w:r>
      <w:r>
        <w:rPr>
          <w:rFonts w:hint="eastAsia" w:ascii="宋体" w:hAnsi="宋体" w:eastAsia="宋体" w:cs="宋体"/>
          <w:sz w:val="21"/>
          <w:szCs w:val="21"/>
        </w:rPr>
        <w:tab/>
      </w:r>
      <w:r>
        <w:rPr>
          <w:rFonts w:hint="eastAsia" w:ascii="宋体" w:hAnsi="宋体" w:eastAsia="宋体" w:cs="宋体"/>
          <w:sz w:val="21"/>
          <w:szCs w:val="21"/>
        </w:rPr>
        <w:t>非因接受方违反本协议而成为公众所知的资料；</w:t>
      </w:r>
    </w:p>
    <w:p w14:paraId="6853DEC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15.2.3</w:t>
      </w:r>
      <w:r>
        <w:rPr>
          <w:rFonts w:hint="eastAsia" w:ascii="宋体" w:hAnsi="宋体" w:eastAsia="宋体" w:cs="宋体"/>
          <w:sz w:val="21"/>
          <w:szCs w:val="21"/>
        </w:rPr>
        <w:tab/>
      </w:r>
      <w:r>
        <w:rPr>
          <w:rFonts w:hint="eastAsia" w:ascii="宋体" w:hAnsi="宋体" w:eastAsia="宋体" w:cs="宋体"/>
          <w:sz w:val="21"/>
          <w:szCs w:val="21"/>
        </w:rPr>
        <w:t xml:space="preserve">接受方从对保密资料不承担任何保密义务的第三方获得的资料； </w:t>
      </w:r>
    </w:p>
    <w:p w14:paraId="2A54B3B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15.2.4</w:t>
      </w:r>
      <w:r>
        <w:rPr>
          <w:rFonts w:hint="eastAsia" w:ascii="宋体" w:hAnsi="宋体" w:eastAsia="宋体" w:cs="宋体"/>
          <w:sz w:val="21"/>
          <w:szCs w:val="21"/>
        </w:rPr>
        <w:tab/>
      </w:r>
      <w:r>
        <w:rPr>
          <w:rFonts w:hint="eastAsia" w:ascii="宋体" w:hAnsi="宋体" w:eastAsia="宋体" w:cs="宋体"/>
          <w:sz w:val="21"/>
          <w:szCs w:val="21"/>
        </w:rPr>
        <w:t>本次发行及交易流通中已向公众公布的文件中所包含的资料。</w:t>
      </w:r>
    </w:p>
    <w:p w14:paraId="43EB39B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15.3</w:t>
      </w:r>
      <w:r>
        <w:rPr>
          <w:rFonts w:hint="eastAsia" w:ascii="宋体" w:hAnsi="宋体" w:eastAsia="宋体" w:cs="宋体"/>
          <w:sz w:val="21"/>
          <w:szCs w:val="21"/>
        </w:rPr>
        <w:tab/>
      </w:r>
      <w:r>
        <w:rPr>
          <w:rFonts w:hint="eastAsia" w:ascii="宋体" w:hAnsi="宋体" w:eastAsia="宋体" w:cs="宋体"/>
          <w:sz w:val="21"/>
          <w:szCs w:val="21"/>
        </w:rPr>
        <w:t>每一方均应确保其本身及其与本次发行及交易流通有关的关联公司的董事、高级职员和其他与本次发行及交易流通有关的雇员同样遵守本协议第15条所述的保密义务。</w:t>
      </w:r>
    </w:p>
    <w:p w14:paraId="69648D8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15.4</w:t>
      </w:r>
      <w:r>
        <w:rPr>
          <w:rFonts w:hint="eastAsia" w:ascii="宋体" w:hAnsi="宋体" w:eastAsia="宋体" w:cs="宋体"/>
          <w:sz w:val="21"/>
          <w:szCs w:val="21"/>
        </w:rPr>
        <w:tab/>
      </w:r>
      <w:r>
        <w:rPr>
          <w:rFonts w:hint="eastAsia" w:ascii="宋体" w:hAnsi="宋体" w:eastAsia="宋体" w:cs="宋体"/>
          <w:sz w:val="21"/>
          <w:szCs w:val="21"/>
        </w:rPr>
        <w:t>本协议第15条的规定不适用于为本次发行及交易流通之目的把保密资料透露给其关联公司、中介机构、各方的雇员和顾问；但在这种情况下，只应向因履行其工作职责而需要知道该等资料的人或实体透露该等资料。</w:t>
      </w:r>
    </w:p>
    <w:p w14:paraId="2188A62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15.5</w:t>
      </w:r>
      <w:r>
        <w:rPr>
          <w:rFonts w:hint="eastAsia" w:ascii="宋体" w:hAnsi="宋体" w:eastAsia="宋体" w:cs="宋体"/>
          <w:sz w:val="21"/>
          <w:szCs w:val="21"/>
        </w:rPr>
        <w:tab/>
      </w:r>
      <w:r>
        <w:rPr>
          <w:rFonts w:hint="eastAsia" w:ascii="宋体" w:hAnsi="宋体" w:eastAsia="宋体" w:cs="宋体"/>
          <w:sz w:val="21"/>
          <w:szCs w:val="21"/>
        </w:rPr>
        <w:t>本协议第15条的规定不适用于发行人或主承销商按照有关法律或法规的规定把资料透露给任何政府部门或任何有关的机构。但是，被要求做出上述透露的发行人或主承销商应在做出上述透露前立即把该要求及其条款通知他方。</w:t>
      </w:r>
    </w:p>
    <w:p w14:paraId="7F3E8E6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15.6</w:t>
      </w:r>
      <w:r>
        <w:rPr>
          <w:rFonts w:hint="eastAsia" w:ascii="宋体" w:hAnsi="宋体" w:eastAsia="宋体" w:cs="宋体"/>
          <w:sz w:val="21"/>
          <w:szCs w:val="21"/>
        </w:rPr>
        <w:tab/>
      </w:r>
      <w:r>
        <w:rPr>
          <w:rFonts w:hint="eastAsia" w:ascii="宋体" w:hAnsi="宋体" w:eastAsia="宋体" w:cs="宋体"/>
          <w:sz w:val="21"/>
          <w:szCs w:val="21"/>
        </w:rPr>
        <w:t>本协议第15条的任何规定不应妨碍一方按其诚信判断做出适用法律、法规或有关证券交易场所规则规定的公布或透露。</w:t>
      </w:r>
    </w:p>
    <w:p w14:paraId="237C635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15.7  本协议约定的保密义务不因本协议解除或终止而免除。</w:t>
      </w:r>
    </w:p>
    <w:p w14:paraId="46E5012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15.8 违约责任</w:t>
      </w:r>
    </w:p>
    <w:p w14:paraId="1D809B8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15.8.1 如任何一方违反本协议第15条规定的保密义务，违约方应承担相应的法律责任，并赔偿守约方因此遭受的全部损失，包括但不限于直接损失、间接损失、律师费、诉讼费及其他合理费用。</w:t>
      </w:r>
    </w:p>
    <w:p w14:paraId="045DFA6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15.8.2 若因一方违反保密义务导致另一方遭受第三方索赔或处罚，违约方应负责处理相关纠纷，并承担全部赔偿责任。</w:t>
      </w:r>
    </w:p>
    <w:p w14:paraId="793A150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15.8.</w:t>
      </w:r>
      <w:r>
        <w:rPr>
          <w:rFonts w:hint="eastAsia" w:ascii="宋体" w:hAnsi="宋体" w:eastAsia="宋体" w:cs="宋体"/>
          <w:sz w:val="21"/>
          <w:szCs w:val="21"/>
          <w:lang w:val="en-US" w:eastAsia="zh-CN"/>
        </w:rPr>
        <w:t>3</w:t>
      </w:r>
      <w:r>
        <w:rPr>
          <w:rFonts w:hint="eastAsia" w:ascii="宋体" w:hAnsi="宋体" w:eastAsia="宋体" w:cs="宋体"/>
          <w:sz w:val="21"/>
          <w:szCs w:val="21"/>
        </w:rPr>
        <w:t xml:space="preserve"> 违约方应在收到守约方书面通知后【</w:t>
      </w:r>
      <w:r>
        <w:rPr>
          <w:rFonts w:hint="eastAsia" w:ascii="宋体" w:hAnsi="宋体" w:eastAsia="宋体" w:cs="宋体"/>
          <w:sz w:val="21"/>
          <w:szCs w:val="21"/>
          <w:lang w:val="en-US" w:eastAsia="zh-CN"/>
        </w:rPr>
        <w:t>3</w:t>
      </w:r>
      <w:r>
        <w:rPr>
          <w:rFonts w:hint="eastAsia" w:ascii="宋体" w:hAnsi="宋体" w:eastAsia="宋体" w:cs="宋体"/>
          <w:sz w:val="21"/>
          <w:szCs w:val="21"/>
        </w:rPr>
        <w:t>】日内采取补救措施，防止损失扩大，否则守约方有权采取进一步法律行动。</w:t>
      </w:r>
    </w:p>
    <w:p w14:paraId="77FC3CB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lang w:val="en-US" w:eastAsia="zh-CN"/>
        </w:rPr>
        <w:t>15.8.4</w:t>
      </w:r>
      <w:r>
        <w:rPr>
          <w:rFonts w:hint="eastAsia" w:ascii="宋体" w:hAnsi="宋体" w:eastAsia="宋体" w:cs="宋体"/>
          <w:i w:val="0"/>
          <w:iCs w:val="0"/>
          <w:caps w:val="0"/>
          <w:spacing w:val="0"/>
          <w:sz w:val="21"/>
          <w:szCs w:val="21"/>
          <w:shd w:val="clear"/>
        </w:rPr>
        <w:t>若守约方有合理证据证明违约方可能发生保密信息泄露，守约方有权向有管辖权的法院或仲裁机构申请临时禁令、强制令或其他救济，且违约方应赔偿守约方为取得该等救济而产生的所有合理费用。</w:t>
      </w:r>
    </w:p>
    <w:p w14:paraId="11035E2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15.8.5 因违反保密义务给守约方造成不可弥补的损害，金钱赔偿可能不足以补偿守约方的全部损失，守约方除有权主张损害赔偿及违约金外，还有权要求违约方实际履行、停止侵害、消除影响、赔礼道歉及采取其他补救措施。</w:t>
      </w:r>
    </w:p>
    <w:p w14:paraId="5154E206">
      <w:pPr>
        <w:tabs>
          <w:tab w:val="left" w:pos="720"/>
        </w:tabs>
        <w:spacing w:line="360" w:lineRule="auto"/>
        <w:outlineLvl w:val="9"/>
        <w:rPr>
          <w:rFonts w:hint="eastAsia" w:ascii="宋体" w:hAnsi="宋体" w:eastAsia="宋体" w:cs="宋体"/>
          <w:sz w:val="21"/>
          <w:szCs w:val="21"/>
        </w:rPr>
      </w:pPr>
    </w:p>
    <w:p w14:paraId="1FF50E6F">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w:t>
      </w:r>
      <w:r>
        <w:rPr>
          <w:rFonts w:hint="eastAsia" w:ascii="宋体" w:hAnsi="宋体" w:eastAsia="宋体" w:cs="宋体"/>
          <w:sz w:val="21"/>
          <w:szCs w:val="21"/>
        </w:rPr>
        <w:tab/>
      </w:r>
      <w:r>
        <w:rPr>
          <w:rFonts w:hint="eastAsia" w:ascii="宋体" w:hAnsi="宋体" w:eastAsia="宋体" w:cs="宋体"/>
          <w:sz w:val="21"/>
          <w:szCs w:val="21"/>
        </w:rPr>
        <w:t>通知及送达</w:t>
      </w:r>
    </w:p>
    <w:p w14:paraId="6AF135A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16.1</w:t>
      </w:r>
      <w:r>
        <w:rPr>
          <w:rFonts w:hint="eastAsia" w:ascii="宋体" w:hAnsi="宋体" w:eastAsia="宋体" w:cs="宋体"/>
          <w:sz w:val="21"/>
          <w:szCs w:val="21"/>
        </w:rPr>
        <w:tab/>
      </w:r>
      <w:r>
        <w:rPr>
          <w:rFonts w:hint="eastAsia" w:ascii="宋体" w:hAnsi="宋体" w:eastAsia="宋体" w:cs="宋体"/>
          <w:sz w:val="21"/>
          <w:szCs w:val="21"/>
        </w:rPr>
        <w:t>除非本协议另有规定，任何一方向本协议他方发出本协议规定的任何通知或书面通讯应以专人送达、传真、或特快邮递的方式发出。一切通知和书面通讯均应发往下列有关地址，直到向发行人或本协议他方发出书面通知更改该地址为止：</w:t>
      </w:r>
    </w:p>
    <w:p w14:paraId="569D652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发行人：东莞市水务环境投资控股集团有限公司</w:t>
      </w:r>
    </w:p>
    <w:p w14:paraId="132A2CDE">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联 系 人： </w:t>
      </w:r>
    </w:p>
    <w:p w14:paraId="61667BC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办公地址：</w:t>
      </w:r>
    </w:p>
    <w:p w14:paraId="232A485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邮政编码：</w:t>
      </w:r>
    </w:p>
    <w:p w14:paraId="6FBFB2D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联系电话：</w:t>
      </w:r>
    </w:p>
    <w:p w14:paraId="135F9E13">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传    真：</w:t>
      </w:r>
    </w:p>
    <w:p w14:paraId="32882CF8">
      <w:pPr>
        <w:tabs>
          <w:tab w:val="left" w:pos="720"/>
        </w:tabs>
        <w:spacing w:line="360" w:lineRule="auto"/>
        <w:outlineLvl w:val="9"/>
        <w:rPr>
          <w:rFonts w:hint="eastAsia" w:ascii="宋体" w:hAnsi="宋体" w:eastAsia="宋体" w:cs="宋体"/>
          <w:sz w:val="21"/>
          <w:szCs w:val="21"/>
        </w:rPr>
      </w:pPr>
    </w:p>
    <w:p w14:paraId="549E41A4">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主承销商： </w:t>
      </w:r>
    </w:p>
    <w:p w14:paraId="7390EB6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联 系 人：</w:t>
      </w:r>
    </w:p>
    <w:p w14:paraId="1CD7FC06">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办公地址：</w:t>
      </w:r>
    </w:p>
    <w:p w14:paraId="72AB99C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邮政编码：</w:t>
      </w:r>
    </w:p>
    <w:p w14:paraId="4F19365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电    话：</w:t>
      </w:r>
    </w:p>
    <w:p w14:paraId="192C419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传    真：</w:t>
      </w:r>
    </w:p>
    <w:p w14:paraId="36EF363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16.2</w:t>
      </w:r>
      <w:r>
        <w:rPr>
          <w:rFonts w:hint="eastAsia" w:ascii="宋体" w:hAnsi="宋体" w:eastAsia="宋体" w:cs="宋体"/>
          <w:sz w:val="21"/>
          <w:szCs w:val="21"/>
        </w:rPr>
        <w:tab/>
      </w:r>
      <w:r>
        <w:rPr>
          <w:rFonts w:hint="eastAsia" w:ascii="宋体" w:hAnsi="宋体" w:eastAsia="宋体" w:cs="宋体"/>
          <w:sz w:val="21"/>
          <w:szCs w:val="21"/>
        </w:rPr>
        <w:t>上述第16.1款所指的任何通知或书面通讯的收到日是指：</w:t>
      </w:r>
    </w:p>
    <w:p w14:paraId="501A5AC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16.2.1</w:t>
      </w:r>
      <w:r>
        <w:rPr>
          <w:rFonts w:hint="eastAsia" w:ascii="宋体" w:hAnsi="宋体" w:eastAsia="宋体" w:cs="宋体"/>
          <w:sz w:val="21"/>
          <w:szCs w:val="21"/>
        </w:rPr>
        <w:tab/>
      </w:r>
      <w:r>
        <w:rPr>
          <w:rFonts w:hint="eastAsia" w:ascii="宋体" w:hAnsi="宋体" w:eastAsia="宋体" w:cs="宋体"/>
          <w:sz w:val="21"/>
          <w:szCs w:val="21"/>
        </w:rPr>
        <w:t>如由专人送达，送达之日为收到日；</w:t>
      </w:r>
    </w:p>
    <w:p w14:paraId="065ABCA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16.2.2</w:t>
      </w:r>
      <w:r>
        <w:rPr>
          <w:rFonts w:hint="eastAsia" w:ascii="宋体" w:hAnsi="宋体" w:eastAsia="宋体" w:cs="宋体"/>
          <w:sz w:val="21"/>
          <w:szCs w:val="21"/>
        </w:rPr>
        <w:tab/>
      </w:r>
      <w:r>
        <w:rPr>
          <w:rFonts w:hint="eastAsia" w:ascii="宋体" w:hAnsi="宋体" w:eastAsia="宋体" w:cs="宋体"/>
          <w:sz w:val="21"/>
          <w:szCs w:val="21"/>
        </w:rPr>
        <w:t>如经特快邮递传递，送达之日为签收日特快邮递签署之日为收到日；</w:t>
      </w:r>
    </w:p>
    <w:p w14:paraId="016CE8C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16.2.3</w:t>
      </w:r>
      <w:r>
        <w:rPr>
          <w:rFonts w:hint="eastAsia" w:ascii="宋体" w:hAnsi="宋体" w:eastAsia="宋体" w:cs="宋体"/>
          <w:sz w:val="21"/>
          <w:szCs w:val="21"/>
        </w:rPr>
        <w:tab/>
      </w:r>
      <w:r>
        <w:rPr>
          <w:rFonts w:hint="eastAsia" w:ascii="宋体" w:hAnsi="宋体" w:eastAsia="宋体" w:cs="宋体"/>
          <w:sz w:val="21"/>
          <w:szCs w:val="21"/>
        </w:rPr>
        <w:t>如由传真传递，带有确认回号的传递日或发出当日为收到日。</w:t>
      </w:r>
    </w:p>
    <w:p w14:paraId="44D8126B">
      <w:pPr>
        <w:tabs>
          <w:tab w:val="left" w:pos="720"/>
        </w:tabs>
        <w:spacing w:line="360" w:lineRule="auto"/>
        <w:outlineLvl w:val="9"/>
        <w:rPr>
          <w:rFonts w:hint="eastAsia" w:ascii="宋体" w:hAnsi="宋体" w:eastAsia="宋体" w:cs="宋体"/>
          <w:sz w:val="21"/>
          <w:szCs w:val="21"/>
        </w:rPr>
      </w:pPr>
    </w:p>
    <w:p w14:paraId="725F723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w:t>
      </w:r>
      <w:r>
        <w:rPr>
          <w:rFonts w:hint="eastAsia" w:ascii="宋体" w:hAnsi="宋体" w:eastAsia="宋体" w:cs="宋体"/>
          <w:sz w:val="21"/>
          <w:szCs w:val="21"/>
        </w:rPr>
        <w:tab/>
      </w:r>
      <w:r>
        <w:rPr>
          <w:rFonts w:hint="eastAsia" w:ascii="宋体" w:hAnsi="宋体" w:eastAsia="宋体" w:cs="宋体"/>
          <w:sz w:val="21"/>
          <w:szCs w:val="21"/>
        </w:rPr>
        <w:t>终止</w:t>
      </w:r>
    </w:p>
    <w:p w14:paraId="31101EAB">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17.1</w:t>
      </w:r>
      <w:r>
        <w:rPr>
          <w:rFonts w:hint="eastAsia" w:ascii="宋体" w:hAnsi="宋体" w:eastAsia="宋体" w:cs="宋体"/>
          <w:sz w:val="21"/>
          <w:szCs w:val="21"/>
        </w:rPr>
        <w:tab/>
      </w:r>
      <w:r>
        <w:rPr>
          <w:rFonts w:hint="eastAsia" w:ascii="宋体" w:hAnsi="宋体" w:eastAsia="宋体" w:cs="宋体"/>
          <w:sz w:val="21"/>
          <w:szCs w:val="21"/>
        </w:rPr>
        <w:t>本协议可因以下原因终止：</w:t>
      </w:r>
    </w:p>
    <w:p w14:paraId="47096040">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17.1.1</w:t>
      </w:r>
      <w:r>
        <w:rPr>
          <w:rFonts w:hint="eastAsia" w:ascii="宋体" w:hAnsi="宋体" w:eastAsia="宋体" w:cs="宋体"/>
          <w:sz w:val="21"/>
          <w:szCs w:val="21"/>
        </w:rPr>
        <w:tab/>
      </w:r>
      <w:r>
        <w:rPr>
          <w:rFonts w:hint="eastAsia" w:ascii="宋体" w:hAnsi="宋体" w:eastAsia="宋体" w:cs="宋体"/>
          <w:sz w:val="21"/>
          <w:szCs w:val="21"/>
        </w:rPr>
        <w:t>本协议任何一方依据本协议第14.5款终止本协议；</w:t>
      </w:r>
    </w:p>
    <w:p w14:paraId="461AE43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17.1.2</w:t>
      </w:r>
      <w:r>
        <w:rPr>
          <w:rFonts w:hint="eastAsia" w:ascii="宋体" w:hAnsi="宋体" w:eastAsia="宋体" w:cs="宋体"/>
          <w:sz w:val="21"/>
          <w:szCs w:val="21"/>
        </w:rPr>
        <w:tab/>
      </w:r>
      <w:r>
        <w:rPr>
          <w:rFonts w:hint="eastAsia" w:ascii="宋体" w:hAnsi="宋体" w:eastAsia="宋体" w:cs="宋体"/>
          <w:sz w:val="21"/>
          <w:szCs w:val="21"/>
        </w:rPr>
        <w:t>因本协议执行完毕；</w:t>
      </w:r>
    </w:p>
    <w:p w14:paraId="719885C9">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17.1.3</w:t>
      </w:r>
      <w:r>
        <w:rPr>
          <w:rFonts w:hint="eastAsia" w:ascii="宋体" w:hAnsi="宋体" w:eastAsia="宋体" w:cs="宋体"/>
          <w:sz w:val="21"/>
          <w:szCs w:val="21"/>
        </w:rPr>
        <w:tab/>
      </w:r>
      <w:r>
        <w:rPr>
          <w:rFonts w:hint="eastAsia" w:ascii="宋体" w:hAnsi="宋体" w:eastAsia="宋体" w:cs="宋体"/>
          <w:sz w:val="21"/>
          <w:szCs w:val="21"/>
        </w:rPr>
        <w:t>经双方友好协商共同决定终止本协议。</w:t>
      </w:r>
    </w:p>
    <w:p w14:paraId="289678D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17.2</w:t>
      </w:r>
      <w:r>
        <w:rPr>
          <w:rFonts w:hint="eastAsia" w:ascii="宋体" w:hAnsi="宋体" w:eastAsia="宋体" w:cs="宋体"/>
          <w:sz w:val="21"/>
          <w:szCs w:val="21"/>
        </w:rPr>
        <w:tab/>
      </w:r>
      <w:r>
        <w:rPr>
          <w:rFonts w:hint="eastAsia" w:ascii="宋体" w:hAnsi="宋体" w:eastAsia="宋体" w:cs="宋体"/>
          <w:sz w:val="21"/>
          <w:szCs w:val="21"/>
        </w:rPr>
        <w:t>如发生下列情况，发行人有权向主承销商发出书面通知中止履行本协议，主承销商应在发行人合理的通知期限内予以纠正；若主承销商不纠正，发行人有权单方终止本协议而不视为违约：</w:t>
      </w:r>
    </w:p>
    <w:p w14:paraId="2FD3B39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17.2.1</w:t>
      </w:r>
      <w:r>
        <w:rPr>
          <w:rFonts w:hint="eastAsia" w:ascii="宋体" w:hAnsi="宋体" w:eastAsia="宋体" w:cs="宋体"/>
          <w:sz w:val="21"/>
          <w:szCs w:val="21"/>
        </w:rPr>
        <w:tab/>
      </w:r>
      <w:r>
        <w:rPr>
          <w:rFonts w:hint="eastAsia" w:ascii="宋体" w:hAnsi="宋体" w:eastAsia="宋体" w:cs="宋体"/>
          <w:sz w:val="21"/>
          <w:szCs w:val="21"/>
        </w:rPr>
        <w:t>主承销商违反或不履行本协议约定或监管规定履行义务；</w:t>
      </w:r>
    </w:p>
    <w:p w14:paraId="5640DFD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17.2.2</w:t>
      </w:r>
      <w:r>
        <w:rPr>
          <w:rFonts w:hint="eastAsia" w:ascii="宋体" w:hAnsi="宋体" w:eastAsia="宋体" w:cs="宋体"/>
          <w:sz w:val="21"/>
          <w:szCs w:val="21"/>
        </w:rPr>
        <w:tab/>
      </w:r>
      <w:r>
        <w:rPr>
          <w:rFonts w:hint="eastAsia" w:ascii="宋体" w:hAnsi="宋体" w:eastAsia="宋体" w:cs="宋体"/>
          <w:sz w:val="21"/>
          <w:szCs w:val="21"/>
        </w:rPr>
        <w:t>主承销商在本协议以及提供的材料、所作出的任何声明、保证和承诺严重失实，或具有误导成分或未得到履行；或对发行人签订本协议的意愿具有实质性不利影响的隐瞒、遗漏、虚假或误导等情形。</w:t>
      </w:r>
    </w:p>
    <w:p w14:paraId="208F261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17.3  发行人有权依据本协议第13.3.4项终止本协议而不视为违约。</w:t>
      </w:r>
    </w:p>
    <w:p w14:paraId="5C01D224">
      <w:pPr>
        <w:tabs>
          <w:tab w:val="left" w:pos="720"/>
        </w:tabs>
        <w:spacing w:line="360" w:lineRule="auto"/>
        <w:outlineLvl w:val="9"/>
        <w:rPr>
          <w:rFonts w:hint="eastAsia" w:ascii="宋体" w:hAnsi="宋体" w:eastAsia="宋体" w:cs="宋体"/>
          <w:sz w:val="21"/>
          <w:szCs w:val="21"/>
        </w:rPr>
      </w:pPr>
    </w:p>
    <w:p w14:paraId="156FD99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18.</w:t>
      </w:r>
      <w:r>
        <w:rPr>
          <w:rFonts w:hint="eastAsia" w:ascii="宋体" w:hAnsi="宋体" w:eastAsia="宋体" w:cs="宋体"/>
          <w:sz w:val="21"/>
          <w:szCs w:val="21"/>
        </w:rPr>
        <w:tab/>
      </w:r>
      <w:r>
        <w:rPr>
          <w:rFonts w:hint="eastAsia" w:ascii="宋体" w:hAnsi="宋体" w:eastAsia="宋体" w:cs="宋体"/>
          <w:sz w:val="21"/>
          <w:szCs w:val="21"/>
        </w:rPr>
        <w:t>适用法律和管辖权</w:t>
      </w:r>
    </w:p>
    <w:p w14:paraId="208D88F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18.1</w:t>
      </w:r>
      <w:r>
        <w:rPr>
          <w:rFonts w:hint="eastAsia" w:ascii="宋体" w:hAnsi="宋体" w:eastAsia="宋体" w:cs="宋体"/>
          <w:sz w:val="21"/>
          <w:szCs w:val="21"/>
        </w:rPr>
        <w:tab/>
      </w:r>
      <w:r>
        <w:rPr>
          <w:rFonts w:hint="eastAsia" w:ascii="宋体" w:hAnsi="宋体" w:eastAsia="宋体" w:cs="宋体"/>
          <w:sz w:val="21"/>
          <w:szCs w:val="21"/>
        </w:rPr>
        <w:t>本协议受中国法律管辖，并按中国法律解释。</w:t>
      </w:r>
    </w:p>
    <w:p w14:paraId="2456B7E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18.2</w:t>
      </w:r>
      <w:r>
        <w:rPr>
          <w:rFonts w:hint="eastAsia" w:ascii="宋体" w:hAnsi="宋体" w:eastAsia="宋体" w:cs="宋体"/>
          <w:sz w:val="21"/>
          <w:szCs w:val="21"/>
        </w:rPr>
        <w:tab/>
      </w:r>
      <w:r>
        <w:rPr>
          <w:rFonts w:hint="eastAsia" w:ascii="宋体" w:hAnsi="宋体" w:eastAsia="宋体" w:cs="宋体"/>
          <w:sz w:val="21"/>
          <w:szCs w:val="21"/>
        </w:rPr>
        <w:t>因履行本协议引起的或与本协议有关的任何争议，由协议签订各方协商解决；协商不成的，协议签订各方一致同意提请中国证券业协会或者广东证券期货业协会申请调解。调解不成的，协议签订各方一致同意按以下第【2】种方式解决争议（如不作选择，即默认为选择2）：</w:t>
      </w:r>
    </w:p>
    <w:p w14:paraId="3A35C06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    (1)将争议提交【</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】仲裁委员会并按其仲裁规则进行仲裁；</w:t>
      </w:r>
    </w:p>
    <w:p w14:paraId="44BFC0D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    (2)向发行方所在地人民法院提起诉讼。</w:t>
      </w:r>
    </w:p>
    <w:p w14:paraId="3FA21F26">
      <w:pPr>
        <w:tabs>
          <w:tab w:val="left" w:pos="720"/>
        </w:tabs>
        <w:spacing w:line="360" w:lineRule="auto"/>
        <w:outlineLvl w:val="9"/>
        <w:rPr>
          <w:rFonts w:hint="eastAsia" w:ascii="宋体" w:hAnsi="宋体" w:eastAsia="宋体" w:cs="宋体"/>
          <w:sz w:val="21"/>
          <w:szCs w:val="21"/>
        </w:rPr>
      </w:pPr>
    </w:p>
    <w:p w14:paraId="4E16EFF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w:t>
      </w:r>
      <w:r>
        <w:rPr>
          <w:rFonts w:hint="eastAsia" w:ascii="宋体" w:hAnsi="宋体" w:eastAsia="宋体" w:cs="宋体"/>
          <w:sz w:val="21"/>
          <w:szCs w:val="21"/>
        </w:rPr>
        <w:tab/>
      </w:r>
      <w:r>
        <w:rPr>
          <w:rFonts w:hint="eastAsia" w:ascii="宋体" w:hAnsi="宋体" w:eastAsia="宋体" w:cs="宋体"/>
          <w:sz w:val="21"/>
          <w:szCs w:val="21"/>
        </w:rPr>
        <w:t>其他规定</w:t>
      </w:r>
    </w:p>
    <w:p w14:paraId="6FE575C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19.1</w:t>
      </w:r>
      <w:r>
        <w:rPr>
          <w:rFonts w:hint="eastAsia" w:ascii="宋体" w:hAnsi="宋体" w:eastAsia="宋体" w:cs="宋体"/>
          <w:sz w:val="21"/>
          <w:szCs w:val="21"/>
        </w:rPr>
        <w:tab/>
      </w:r>
      <w:r>
        <w:rPr>
          <w:rFonts w:hint="eastAsia" w:ascii="宋体" w:hAnsi="宋体" w:eastAsia="宋体" w:cs="宋体"/>
          <w:sz w:val="21"/>
          <w:szCs w:val="21"/>
        </w:rPr>
        <w:t>对本协议任何条款的修改或放弃，及放弃追究本协议项下的任何违约行为，必须以书面做出，并由发行人和主承销商法定代表人或其授权代表签字并加盖公章后方为有效。</w:t>
      </w:r>
    </w:p>
    <w:p w14:paraId="5D0DA5C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19.2</w:t>
      </w:r>
      <w:r>
        <w:rPr>
          <w:rFonts w:hint="eastAsia" w:ascii="宋体" w:hAnsi="宋体" w:eastAsia="宋体" w:cs="宋体"/>
          <w:sz w:val="21"/>
          <w:szCs w:val="21"/>
        </w:rPr>
        <w:tab/>
      </w:r>
      <w:r>
        <w:rPr>
          <w:rFonts w:hint="eastAsia" w:ascii="宋体" w:hAnsi="宋体" w:eastAsia="宋体" w:cs="宋体"/>
          <w:sz w:val="21"/>
          <w:szCs w:val="21"/>
        </w:rPr>
        <w:t>本协议任何一方未行使或延迟行使本协议项下的一项权利并不作为对该项权利的放弃；任何单独一次或部分行使一项权利亦不排除将来对该项权利的其他行使。</w:t>
      </w:r>
    </w:p>
    <w:p w14:paraId="0BA81D18">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19.3</w:t>
      </w:r>
      <w:r>
        <w:rPr>
          <w:rFonts w:hint="eastAsia" w:ascii="宋体" w:hAnsi="宋体" w:eastAsia="宋体" w:cs="宋体"/>
          <w:sz w:val="21"/>
          <w:szCs w:val="21"/>
        </w:rPr>
        <w:tab/>
      </w:r>
      <w:r>
        <w:rPr>
          <w:rFonts w:hint="eastAsia" w:ascii="宋体" w:hAnsi="宋体" w:eastAsia="宋体" w:cs="宋体"/>
          <w:sz w:val="21"/>
          <w:szCs w:val="21"/>
        </w:rPr>
        <w:t>除非本协议另有规定，如果事先未经本协议他方书面同意，或在法律要求批准的情况下未经有关审批机关批准，任何一方不得全部或部分转让本协议或者本协议项下的任何权利和义务。</w:t>
      </w:r>
    </w:p>
    <w:p w14:paraId="4E0260C7">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19.4</w:t>
      </w:r>
      <w:r>
        <w:rPr>
          <w:rFonts w:hint="eastAsia" w:ascii="宋体" w:hAnsi="宋体" w:eastAsia="宋体" w:cs="宋体"/>
          <w:sz w:val="21"/>
          <w:szCs w:val="21"/>
        </w:rPr>
        <w:tab/>
      </w:r>
      <w:r>
        <w:rPr>
          <w:rFonts w:hint="eastAsia" w:ascii="宋体" w:hAnsi="宋体" w:eastAsia="宋体" w:cs="宋体"/>
          <w:sz w:val="21"/>
          <w:szCs w:val="21"/>
        </w:rPr>
        <w:t xml:space="preserve"> 本协议双方可以就本协议之事项签订进一步的书面补充协议，补充协议与本协议构成不可分割的整体，具有同等法律效力。</w:t>
      </w:r>
    </w:p>
    <w:p w14:paraId="5EDACDAD">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19.5</w:t>
      </w:r>
      <w:r>
        <w:rPr>
          <w:rFonts w:hint="eastAsia" w:ascii="宋体" w:hAnsi="宋体" w:eastAsia="宋体" w:cs="宋体"/>
          <w:sz w:val="21"/>
          <w:szCs w:val="21"/>
        </w:rPr>
        <w:tab/>
      </w:r>
      <w:r>
        <w:rPr>
          <w:rFonts w:hint="eastAsia" w:ascii="宋体" w:hAnsi="宋体" w:eastAsia="宋体" w:cs="宋体"/>
          <w:sz w:val="21"/>
          <w:szCs w:val="21"/>
        </w:rPr>
        <w:t>发行人同意委托主承销商在本期债券发行完毕后，协助发行人完成本期债券在合法的证券交易场所的交易流通工作；主承销商亦同意接受发行人的委托，不再收取报酬。</w:t>
      </w:r>
    </w:p>
    <w:p w14:paraId="1E168B0A">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19.6</w:t>
      </w:r>
      <w:r>
        <w:rPr>
          <w:rFonts w:hint="eastAsia" w:ascii="宋体" w:hAnsi="宋体" w:eastAsia="宋体" w:cs="宋体"/>
          <w:sz w:val="21"/>
          <w:szCs w:val="21"/>
        </w:rPr>
        <w:tab/>
      </w:r>
      <w:r>
        <w:rPr>
          <w:rFonts w:hint="eastAsia" w:ascii="宋体" w:hAnsi="宋体" w:eastAsia="宋体" w:cs="宋体"/>
          <w:color w:val="auto"/>
          <w:sz w:val="21"/>
          <w:szCs w:val="21"/>
        </w:rPr>
        <w:t>本协议正本一式</w:t>
      </w:r>
      <w:r>
        <w:rPr>
          <w:rFonts w:hint="eastAsia" w:ascii="宋体" w:hAnsi="宋体" w:eastAsia="宋体" w:cs="宋体"/>
          <w:color w:val="auto"/>
          <w:sz w:val="21"/>
          <w:szCs w:val="21"/>
          <w:u w:val="single"/>
        </w:rPr>
        <w:t>8</w:t>
      </w:r>
      <w:r>
        <w:rPr>
          <w:rFonts w:hint="eastAsia" w:ascii="宋体" w:hAnsi="宋体" w:eastAsia="宋体" w:cs="宋体"/>
          <w:color w:val="auto"/>
          <w:sz w:val="21"/>
          <w:szCs w:val="21"/>
        </w:rPr>
        <w:t>份，发行人与主承销商各执</w:t>
      </w:r>
      <w:r>
        <w:rPr>
          <w:rFonts w:hint="eastAsia" w:ascii="宋体" w:hAnsi="宋体" w:eastAsia="宋体" w:cs="宋体"/>
          <w:color w:val="auto"/>
          <w:sz w:val="21"/>
          <w:szCs w:val="21"/>
          <w:u w:val="single"/>
        </w:rPr>
        <w:t>2</w:t>
      </w:r>
      <w:r>
        <w:rPr>
          <w:rFonts w:hint="eastAsia" w:ascii="宋体" w:hAnsi="宋体" w:eastAsia="宋体" w:cs="宋体"/>
          <w:color w:val="auto"/>
          <w:sz w:val="21"/>
          <w:szCs w:val="21"/>
        </w:rPr>
        <w:t>份，其</w:t>
      </w:r>
      <w:r>
        <w:rPr>
          <w:rFonts w:hint="eastAsia" w:ascii="宋体" w:hAnsi="宋体" w:eastAsia="宋体" w:cs="宋体"/>
          <w:sz w:val="21"/>
          <w:szCs w:val="21"/>
        </w:rPr>
        <w:t>余正本由主承销商保存并按照有关主管机构不时的要求向其提供。每份正本具有相同的法律效力。本协议正本应经本协议双方正式授权代表签署并加盖公章。本协议的补充协议与本协议正文具有同等效力。本协议于双方签署并加盖公章后生效。</w:t>
      </w:r>
      <w:r>
        <w:rPr>
          <w:rFonts w:hint="eastAsia" w:ascii="宋体" w:hAnsi="宋体" w:eastAsia="宋体" w:cs="宋体"/>
          <w:sz w:val="21"/>
          <w:szCs w:val="21"/>
        </w:rPr>
        <w:br w:type="page"/>
      </w:r>
      <w:r>
        <w:rPr>
          <w:rFonts w:hint="eastAsia" w:ascii="宋体" w:hAnsi="宋体" w:eastAsia="宋体" w:cs="宋体"/>
          <w:sz w:val="21"/>
          <w:szCs w:val="21"/>
        </w:rPr>
        <w:t>（本页无正文</w:t>
      </w:r>
      <w:r>
        <w:rPr>
          <w:rFonts w:hint="eastAsia" w:ascii="宋体" w:hAnsi="宋体" w:eastAsia="宋体" w:cs="宋体"/>
          <w:sz w:val="21"/>
          <w:szCs w:val="21"/>
          <w:lang w:val="en-US" w:eastAsia="zh-CN"/>
        </w:rPr>
        <w:t>内容</w:t>
      </w:r>
      <w:r>
        <w:rPr>
          <w:rFonts w:hint="eastAsia" w:ascii="宋体" w:hAnsi="宋体" w:eastAsia="宋体" w:cs="宋体"/>
          <w:sz w:val="21"/>
          <w:szCs w:val="21"/>
        </w:rPr>
        <w:t>，为《东莞市水务环境投资控股集团有限公司债承销协议》签字页）</w:t>
      </w:r>
    </w:p>
    <w:p w14:paraId="30D844CD">
      <w:pPr>
        <w:tabs>
          <w:tab w:val="left" w:pos="720"/>
        </w:tabs>
        <w:spacing w:line="360" w:lineRule="auto"/>
        <w:rPr>
          <w:rFonts w:hint="eastAsia" w:ascii="宋体" w:hAnsi="宋体" w:eastAsia="宋体" w:cs="宋体"/>
          <w:sz w:val="21"/>
          <w:szCs w:val="21"/>
        </w:rPr>
      </w:pPr>
    </w:p>
    <w:p w14:paraId="6834BA6C">
      <w:pPr>
        <w:tabs>
          <w:tab w:val="left" w:pos="720"/>
        </w:tabs>
        <w:spacing w:line="360" w:lineRule="auto"/>
        <w:rPr>
          <w:rFonts w:hint="eastAsia" w:ascii="宋体" w:hAnsi="宋体" w:eastAsia="宋体" w:cs="宋体"/>
          <w:sz w:val="21"/>
          <w:szCs w:val="21"/>
        </w:rPr>
      </w:pPr>
    </w:p>
    <w:p w14:paraId="1B5555A3">
      <w:pPr>
        <w:tabs>
          <w:tab w:val="left" w:pos="720"/>
        </w:tabs>
        <w:spacing w:line="360" w:lineRule="auto"/>
        <w:rPr>
          <w:rFonts w:hint="eastAsia" w:ascii="宋体" w:hAnsi="宋体" w:eastAsia="宋体" w:cs="宋体"/>
          <w:sz w:val="21"/>
          <w:szCs w:val="21"/>
        </w:rPr>
      </w:pPr>
      <w:r>
        <w:rPr>
          <w:rFonts w:hint="eastAsia" w:ascii="宋体" w:hAnsi="宋体" w:eastAsia="宋体" w:cs="宋体"/>
          <w:sz w:val="21"/>
          <w:szCs w:val="21"/>
        </w:rPr>
        <w:t>发行人：东莞市水务环境投资控股集团有限公司(公章)</w:t>
      </w:r>
    </w:p>
    <w:p w14:paraId="57D6AEDA">
      <w:pPr>
        <w:tabs>
          <w:tab w:val="left" w:pos="720"/>
        </w:tabs>
        <w:spacing w:line="360" w:lineRule="auto"/>
        <w:rPr>
          <w:rFonts w:hint="eastAsia" w:ascii="宋体" w:hAnsi="宋体" w:eastAsia="宋体" w:cs="宋体"/>
          <w:sz w:val="21"/>
          <w:szCs w:val="21"/>
        </w:rPr>
      </w:pPr>
      <w:r>
        <w:rPr>
          <w:rFonts w:hint="eastAsia" w:ascii="宋体" w:hAnsi="宋体" w:eastAsia="宋体" w:cs="宋体"/>
          <w:sz w:val="21"/>
          <w:szCs w:val="21"/>
        </w:rPr>
        <w:t xml:space="preserve">法定代表人(或授权代表人)：            </w:t>
      </w:r>
    </w:p>
    <w:p w14:paraId="135424B7">
      <w:pPr>
        <w:tabs>
          <w:tab w:val="left" w:pos="720"/>
        </w:tabs>
        <w:spacing w:line="360" w:lineRule="auto"/>
        <w:rPr>
          <w:rFonts w:hint="eastAsia" w:ascii="宋体" w:hAnsi="宋体" w:eastAsia="宋体" w:cs="宋体"/>
          <w:sz w:val="21"/>
          <w:szCs w:val="21"/>
        </w:rPr>
      </w:pPr>
    </w:p>
    <w:p w14:paraId="4E9C0630">
      <w:pPr>
        <w:rPr>
          <w:rFonts w:hint="eastAsia" w:ascii="宋体" w:hAnsi="宋体" w:eastAsia="宋体" w:cs="宋体"/>
          <w:sz w:val="21"/>
          <w:szCs w:val="21"/>
        </w:rPr>
      </w:pPr>
    </w:p>
    <w:p w14:paraId="0DF480AF">
      <w:pPr>
        <w:outlineLvl w:val="9"/>
        <w:rPr>
          <w:rFonts w:hint="eastAsia" w:ascii="宋体" w:hAnsi="宋体" w:eastAsia="宋体" w:cs="宋体"/>
          <w:sz w:val="21"/>
          <w:szCs w:val="21"/>
        </w:rPr>
      </w:pPr>
    </w:p>
    <w:p w14:paraId="26019E03">
      <w:pPr>
        <w:tabs>
          <w:tab w:val="left" w:pos="720"/>
        </w:tabs>
        <w:spacing w:line="360" w:lineRule="auto"/>
        <w:outlineLvl w:val="9"/>
        <w:rPr>
          <w:rFonts w:hint="eastAsia" w:ascii="宋体" w:hAnsi="宋体" w:eastAsia="宋体" w:cs="宋体"/>
          <w:sz w:val="21"/>
          <w:szCs w:val="21"/>
        </w:rPr>
      </w:pPr>
    </w:p>
    <w:p w14:paraId="2888C56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牵头主承销商：        (公章)</w:t>
      </w:r>
    </w:p>
    <w:p w14:paraId="15237148">
      <w:pPr>
        <w:snapToGrid w:val="0"/>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法定代表人(或授权代表人)：  </w:t>
      </w:r>
    </w:p>
    <w:p w14:paraId="192111CB">
      <w:pPr>
        <w:snapToGrid w:val="0"/>
        <w:spacing w:line="360" w:lineRule="auto"/>
        <w:outlineLvl w:val="9"/>
        <w:rPr>
          <w:rFonts w:hint="eastAsia" w:ascii="宋体" w:hAnsi="宋体" w:eastAsia="宋体" w:cs="宋体"/>
          <w:sz w:val="21"/>
          <w:szCs w:val="21"/>
        </w:rPr>
      </w:pPr>
    </w:p>
    <w:p w14:paraId="35E6E80A">
      <w:pPr>
        <w:snapToGrid w:val="0"/>
        <w:spacing w:line="360" w:lineRule="auto"/>
        <w:outlineLvl w:val="9"/>
        <w:rPr>
          <w:rFonts w:hint="eastAsia" w:ascii="宋体" w:hAnsi="宋体" w:eastAsia="宋体" w:cs="宋体"/>
          <w:sz w:val="21"/>
          <w:szCs w:val="21"/>
        </w:rPr>
      </w:pPr>
    </w:p>
    <w:p w14:paraId="4662E363">
      <w:pPr>
        <w:snapToGrid w:val="0"/>
        <w:spacing w:line="360" w:lineRule="auto"/>
        <w:outlineLvl w:val="9"/>
        <w:rPr>
          <w:rFonts w:hint="eastAsia" w:ascii="宋体" w:hAnsi="宋体" w:eastAsia="宋体" w:cs="宋体"/>
          <w:sz w:val="21"/>
          <w:szCs w:val="21"/>
        </w:rPr>
      </w:pPr>
    </w:p>
    <w:p w14:paraId="2359A012">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联席主承销商：        (公章)</w:t>
      </w:r>
    </w:p>
    <w:p w14:paraId="12C2C3DD">
      <w:pPr>
        <w:snapToGrid w:val="0"/>
        <w:spacing w:line="360" w:lineRule="auto"/>
        <w:outlineLvl w:val="9"/>
        <w:rPr>
          <w:rFonts w:hint="eastAsia" w:ascii="宋体" w:hAnsi="宋体" w:eastAsia="宋体" w:cs="宋体"/>
          <w:sz w:val="21"/>
          <w:szCs w:val="21"/>
        </w:rPr>
      </w:pPr>
      <w:r>
        <w:rPr>
          <w:rFonts w:hint="eastAsia" w:ascii="宋体" w:hAnsi="宋体" w:eastAsia="宋体" w:cs="宋体"/>
          <w:sz w:val="21"/>
          <w:szCs w:val="21"/>
        </w:rPr>
        <w:t xml:space="preserve">法定代表人(或授权代表人)：  </w:t>
      </w:r>
    </w:p>
    <w:p w14:paraId="4B9F2C8B">
      <w:pPr>
        <w:outlineLvl w:val="9"/>
        <w:rPr>
          <w:rFonts w:hint="eastAsia" w:ascii="宋体" w:hAnsi="宋体" w:eastAsia="宋体" w:cs="宋体"/>
          <w:sz w:val="21"/>
          <w:szCs w:val="21"/>
        </w:rPr>
      </w:pPr>
    </w:p>
    <w:p w14:paraId="65A07B34">
      <w:pPr>
        <w:outlineLvl w:val="9"/>
        <w:rPr>
          <w:rFonts w:hint="eastAsia" w:ascii="宋体" w:hAnsi="宋体" w:eastAsia="宋体" w:cs="宋体"/>
          <w:sz w:val="21"/>
          <w:szCs w:val="21"/>
        </w:rPr>
      </w:pPr>
    </w:p>
    <w:p w14:paraId="244887D9">
      <w:pPr>
        <w:outlineLvl w:val="9"/>
        <w:rPr>
          <w:rFonts w:hint="eastAsia" w:ascii="宋体" w:hAnsi="宋体" w:eastAsia="宋体" w:cs="宋体"/>
          <w:sz w:val="21"/>
          <w:szCs w:val="21"/>
        </w:rPr>
      </w:pPr>
    </w:p>
    <w:p w14:paraId="45B0040E">
      <w:pPr>
        <w:outlineLvl w:val="9"/>
        <w:rPr>
          <w:rFonts w:hint="eastAsia" w:ascii="宋体" w:hAnsi="宋体" w:eastAsia="宋体" w:cs="宋体"/>
          <w:sz w:val="21"/>
          <w:szCs w:val="21"/>
        </w:rPr>
      </w:pPr>
    </w:p>
    <w:p w14:paraId="18945FD1">
      <w:pPr>
        <w:tabs>
          <w:tab w:val="left" w:pos="720"/>
        </w:tabs>
        <w:spacing w:line="360" w:lineRule="auto"/>
        <w:outlineLvl w:val="9"/>
        <w:rPr>
          <w:rFonts w:hint="eastAsia" w:ascii="宋体" w:hAnsi="宋体" w:eastAsia="宋体" w:cs="宋体"/>
          <w:sz w:val="21"/>
          <w:szCs w:val="21"/>
        </w:rPr>
      </w:pPr>
      <w:r>
        <w:rPr>
          <w:rFonts w:hint="eastAsia" w:ascii="宋体" w:hAnsi="宋体" w:eastAsia="宋体" w:cs="宋体"/>
          <w:sz w:val="21"/>
          <w:szCs w:val="21"/>
        </w:rPr>
        <w:t>联席主承销商：        (公章)</w:t>
      </w:r>
    </w:p>
    <w:p w14:paraId="34F2AA9A">
      <w:pPr>
        <w:outlineLvl w:val="9"/>
        <w:rPr>
          <w:rFonts w:hint="eastAsia" w:ascii="宋体" w:hAnsi="宋体" w:eastAsia="宋体" w:cs="宋体"/>
          <w:b/>
          <w:sz w:val="21"/>
          <w:szCs w:val="21"/>
        </w:rPr>
      </w:pPr>
      <w:r>
        <w:rPr>
          <w:rFonts w:hint="eastAsia" w:ascii="宋体" w:hAnsi="宋体" w:eastAsia="宋体" w:cs="宋体"/>
          <w:sz w:val="21"/>
          <w:szCs w:val="21"/>
        </w:rPr>
        <w:t>法定代表人(或授权代表人)：</w:t>
      </w:r>
    </w:p>
    <w:p w14:paraId="36C4320E">
      <w:pPr>
        <w:autoSpaceDE w:val="0"/>
        <w:autoSpaceDN w:val="0"/>
        <w:adjustRightInd w:val="0"/>
        <w:snapToGrid w:val="0"/>
        <w:spacing w:line="360" w:lineRule="auto"/>
        <w:jc w:val="left"/>
        <w:rPr>
          <w:rFonts w:ascii="宋体" w:hAnsi="宋体" w:eastAsia="宋体" w:cs="Times New Roman"/>
          <w:kern w:val="0"/>
          <w:szCs w:val="21"/>
          <w:highlight w:val="none"/>
        </w:rPr>
      </w:pPr>
    </w:p>
    <w:p w14:paraId="0A85E3F0">
      <w:pPr>
        <w:spacing w:line="360" w:lineRule="auto"/>
        <w:jc w:val="left"/>
        <w:rPr>
          <w:rFonts w:hint="eastAsia" w:ascii="宋体" w:hAnsi="宋体" w:eastAsia="宋体" w:cs="宋体"/>
          <w:b/>
          <w:color w:val="auto"/>
          <w:highlight w:val="none"/>
        </w:rPr>
      </w:pPr>
    </w:p>
    <w:p w14:paraId="53593862">
      <w:pPr>
        <w:pageBreakBefore/>
        <w:spacing w:line="360" w:lineRule="auto"/>
        <w:jc w:val="left"/>
        <w:rPr>
          <w:rFonts w:hint="eastAsia" w:ascii="宋体" w:hAnsi="宋体" w:eastAsia="宋体" w:cs="宋体"/>
          <w:b/>
          <w:color w:val="auto"/>
          <w:highlight w:val="none"/>
        </w:rPr>
      </w:pPr>
      <w:r>
        <w:rPr>
          <w:rFonts w:hint="eastAsia" w:ascii="宋体" w:hAnsi="宋体" w:eastAsia="宋体" w:cs="宋体"/>
          <w:b/>
          <w:color w:val="auto"/>
          <w:highlight w:val="none"/>
        </w:rPr>
        <w:t>附件：廉洁协议书</w:t>
      </w:r>
    </w:p>
    <w:p w14:paraId="5048EA0A">
      <w:pPr>
        <w:spacing w:line="360" w:lineRule="auto"/>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rPr>
        <w:t>廉洁协议书</w:t>
      </w:r>
    </w:p>
    <w:p w14:paraId="342D5D7C">
      <w:pPr>
        <w:spacing w:line="360" w:lineRule="auto"/>
        <w:rPr>
          <w:rFonts w:hint="eastAsia" w:ascii="宋体" w:hAnsi="宋体" w:eastAsia="宋体" w:cs="宋体"/>
          <w:color w:val="auto"/>
          <w:szCs w:val="21"/>
          <w:highlight w:val="none"/>
        </w:rPr>
      </w:pPr>
    </w:p>
    <w:p w14:paraId="09D6168D">
      <w:pPr>
        <w:spacing w:line="360" w:lineRule="auto"/>
        <w:jc w:val="both"/>
        <w:rPr>
          <w:rFonts w:hint="eastAsia" w:ascii="宋体" w:hAnsi="宋体" w:eastAsia="宋体" w:cs="宋体"/>
          <w:b/>
          <w:color w:val="auto"/>
          <w:sz w:val="56"/>
          <w:szCs w:val="56"/>
          <w:highlight w:val="none"/>
          <w:lang w:eastAsia="zh-CN"/>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lang w:eastAsia="zh-CN"/>
        </w:rPr>
        <w:t>东莞市水务环境投资控股集团有限公司注册发行60亿元公司债承销商采购项目（重新招标）</w:t>
      </w:r>
    </w:p>
    <w:p w14:paraId="7A3E0A19">
      <w:pPr>
        <w:wordWrap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（招标编号：</w:t>
      </w:r>
      <w:r>
        <w:rPr>
          <w:rFonts w:hint="eastAsia" w:ascii="宋体" w:hAnsi="宋体" w:eastAsia="宋体" w:cs="宋体"/>
          <w:color w:val="auto"/>
          <w:szCs w:val="21"/>
          <w:highlight w:val="none"/>
          <w:lang w:eastAsia="zh-CN"/>
        </w:rPr>
        <w:t xml:space="preserve">                                 </w:t>
      </w:r>
      <w:r>
        <w:rPr>
          <w:rFonts w:hint="eastAsia" w:ascii="宋体" w:hAnsi="宋体" w:eastAsia="宋体" w:cs="宋体"/>
          <w:color w:val="auto"/>
          <w:szCs w:val="21"/>
          <w:highlight w:val="none"/>
        </w:rPr>
        <w:t>）</w:t>
      </w:r>
    </w:p>
    <w:p w14:paraId="32CFAB3B">
      <w:pPr>
        <w:spacing w:line="360" w:lineRule="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甲方：</w:t>
      </w:r>
      <w:r>
        <w:rPr>
          <w:rFonts w:hint="eastAsia" w:ascii="宋体" w:hAnsi="宋体" w:eastAsia="宋体" w:cs="宋体"/>
          <w:color w:val="auto"/>
          <w:szCs w:val="21"/>
          <w:highlight w:val="none"/>
          <w:lang w:eastAsia="zh-CN"/>
        </w:rPr>
        <w:t>东莞市水务环境投资控股集团有限公司</w:t>
      </w:r>
    </w:p>
    <w:p w14:paraId="4F36AE3B">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w:t>
      </w:r>
    </w:p>
    <w:p w14:paraId="52CC53E3">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546BB355">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第一条  甲乙双方的权利和义务</w:t>
      </w:r>
    </w:p>
    <w:p w14:paraId="13F99AF0">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（一）严格遵守党和国家有关法律法规等有关廉洁从业规定。</w:t>
      </w:r>
    </w:p>
    <w:p w14:paraId="58191A3C">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（二）严格执行本项目的合同文件，自觉按合同办事。</w:t>
      </w:r>
    </w:p>
    <w:p w14:paraId="3E7C5814">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（三）双方的业务活动坚持公开、公正、诚信、透明的原则（除法律认定的商业秘密和合同文件另有规定之外）不得损害国家和集体利益，违反工程建设管理及其他法律法规规章制度。</w:t>
      </w:r>
    </w:p>
    <w:p w14:paraId="49EEC0D4">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（四）建立健全廉洁制度，开展廉洁教育，设立廉洁监督公示牌，公布举报电话，监督并认真查处违法违纪行为。</w:t>
      </w:r>
    </w:p>
    <w:p w14:paraId="378A7FEE">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（五）发现对方在业务活动中有违反廉洁规定的行为，有及时提醒对方纠正的权利和义务。</w:t>
      </w:r>
    </w:p>
    <w:p w14:paraId="56C2CBEA">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（六）发现对方严重违反本协议义务条款的行为，有向其上级有关部门举报、建议给予处理并要求告知处理结果的权利。</w:t>
      </w:r>
    </w:p>
    <w:p w14:paraId="273E6111">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第二条  甲方的义务</w:t>
      </w:r>
    </w:p>
    <w:p w14:paraId="44F34C35">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（一）甲方及其工作人员不得索要或接受乙方的礼金、有价证券和贵重物品，不得在乙方报销任何应由甲方或个人支付的费用。</w:t>
      </w:r>
    </w:p>
    <w:p w14:paraId="746D8522">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（二）甲方工作人员不得参加乙方安排的高消费宴请和娱乐活动；不得接受乙方提供的通讯工具、交通工具和高档办公用品。</w:t>
      </w:r>
    </w:p>
    <w:p w14:paraId="577595E6">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（三）甲方及其工作人员不得要求或者接受乙方为其住房装修、婚丧嫁娶活动、家属或亲友的工作安排以及出国出境、旅游等提供方便。</w:t>
      </w:r>
    </w:p>
    <w:p w14:paraId="0D4E68E1">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（四）甲方工作人员不得向乙方介绍其家属或者亲友（包括家属或亲友开办的公司企业）从事于本项目涉及的经济业务活动。</w:t>
      </w:r>
    </w:p>
    <w:p w14:paraId="365546DA">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（五）甲方及其工作人员不得以任何理由向乙方推荐分包单位，不得要求乙方购买合同规定外的材料和设备。</w:t>
      </w:r>
    </w:p>
    <w:p w14:paraId="72EC040D">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（六）甲方及其工作人员不得进行违反廉洁规定的其他活动。</w:t>
      </w:r>
    </w:p>
    <w:p w14:paraId="2821B879">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（七）甲方应对甲方工作人员进行廉洁监督管理，如甲方工作人员违反本协议第一、第二条，甲方应依据有关法律法规、党纪规定对其进行处理；涉嫌犯罪的，甲方应将其移交司法机关追究刑事责任。</w:t>
      </w:r>
    </w:p>
    <w:p w14:paraId="011AD72A">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第三条  乙方义务</w:t>
      </w:r>
    </w:p>
    <w:p w14:paraId="36730C86">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（一）乙方不得以任何理由向甲方及其工作人员馈赠礼金、有价证券、贵重礼品，或报销应由甲方单位或个人支付的任何费用。</w:t>
      </w:r>
    </w:p>
    <w:p w14:paraId="241BDE05">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（二）乙方及其工作人员不得以考察、参观、洽谈业务、签订合同等的借口邀请甲方及其工作人员参加高消费的宴请、娱乐和健身等活动。</w:t>
      </w:r>
    </w:p>
    <w:p w14:paraId="61BD8223">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（三）乙方不得为甲方单位和个人购置或提供通讯工具、交通工具和高档办公用品等。</w:t>
      </w:r>
    </w:p>
    <w:p w14:paraId="66DD25AF">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（四）乙方及其工作人员不得为甲方工作人员购买、装修、维修私人住房、汽车等。</w:t>
      </w:r>
    </w:p>
    <w:p w14:paraId="796E8B0B">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（五）乙方及其工作人员不得为甲方工作人员的婚丧嫁娶、家属或亲友的工作安排，及出国出境提供方便以及报销任何私人消费的费用。</w:t>
      </w:r>
    </w:p>
    <w:p w14:paraId="3BB6B674">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（六）乙方及其工作人员不得进行影响甲方及其工作人员公正执行合同和履行职务的其他活动。</w:t>
      </w:r>
    </w:p>
    <w:p w14:paraId="25126806">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乙方应对乙方工作人员进行廉洁监督管理，如乙方工作人员违反本协议第一、第三条，乙方应依据有关法律法规、党纪规定对其进行处理；乙方工作人员涉嫌犯罪的，乙方应将其移交司法机关追究刑事责任。</w:t>
      </w:r>
    </w:p>
    <w:p w14:paraId="2EEDC2AD">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第四条  违约责任</w:t>
      </w:r>
    </w:p>
    <w:p w14:paraId="6B65A6E3">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（一）甲方违反本协议第一、第二条给乙方单位造成经济损失的，应予以赔偿。</w:t>
      </w:r>
    </w:p>
    <w:p w14:paraId="43ECF2BB">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（二）乙方违反本协议第一、第三条给甲方单位造成经济损失的，应予以赔偿。</w:t>
      </w:r>
    </w:p>
    <w:p w14:paraId="7B4968D7">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第五条  监督检查</w:t>
      </w:r>
    </w:p>
    <w:p w14:paraId="3C6209CA">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甲乙双方的廉洁从业行为由双方或双方上级单位的纪检、监察部门负责监督，对本协议履行情况进行检查。</w:t>
      </w:r>
    </w:p>
    <w:p w14:paraId="28C19F93">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第六条 举报信访受理</w:t>
      </w:r>
    </w:p>
    <w:p w14:paraId="7085F586">
      <w:pPr>
        <w:spacing w:line="560" w:lineRule="exact"/>
        <w:ind w:firstLine="5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（一）举报受理部门：</w:t>
      </w:r>
      <w:r>
        <w:rPr>
          <w:rFonts w:hint="eastAsia" w:ascii="宋体" w:hAnsi="宋体" w:eastAsia="宋体" w:cs="宋体"/>
          <w:sz w:val="21"/>
          <w:szCs w:val="21"/>
          <w:lang w:eastAsia="zh-CN"/>
        </w:rPr>
        <w:t>东莞市水务环境投资控股集团有限公司</w:t>
      </w:r>
      <w:r>
        <w:rPr>
          <w:rFonts w:hint="eastAsia" w:ascii="宋体" w:hAnsi="宋体" w:eastAsia="宋体" w:cs="宋体"/>
          <w:color w:val="auto"/>
          <w:szCs w:val="21"/>
          <w:highlight w:val="none"/>
        </w:rPr>
        <w:t>纪检监察部。</w:t>
      </w:r>
    </w:p>
    <w:p w14:paraId="3A3F0D9A">
      <w:pPr>
        <w:spacing w:line="560" w:lineRule="exact"/>
        <w:ind w:firstLine="5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（二）举报电话：（0769）23076092。</w:t>
      </w:r>
    </w:p>
    <w:p w14:paraId="3370BE4B">
      <w:pPr>
        <w:spacing w:line="560" w:lineRule="exact"/>
        <w:ind w:firstLine="5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（三）举报邮箱：</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"mailto:jcsj@dgswjt.cn。" </w:instrText>
      </w:r>
      <w:r>
        <w:rPr>
          <w:rFonts w:hint="eastAsia" w:ascii="宋体" w:hAnsi="宋体" w:eastAsia="宋体" w:cs="宋体"/>
          <w:color w:val="auto"/>
          <w:highlight w:val="none"/>
        </w:rPr>
        <w:fldChar w:fldCharType="separate"/>
      </w:r>
      <w:r>
        <w:rPr>
          <w:rStyle w:val="43"/>
          <w:rFonts w:hint="eastAsia" w:ascii="宋体" w:hAnsi="宋体" w:eastAsia="宋体" w:cs="宋体"/>
          <w:color w:val="auto"/>
          <w:sz w:val="21"/>
          <w:szCs w:val="21"/>
          <w:highlight w:val="none"/>
        </w:rPr>
        <w:t>jcsj@dgswjt.cn。</w:t>
      </w:r>
      <w:r>
        <w:rPr>
          <w:rStyle w:val="43"/>
          <w:rFonts w:hint="eastAsia" w:ascii="宋体" w:hAnsi="宋体" w:eastAsia="宋体" w:cs="宋体"/>
          <w:color w:val="auto"/>
          <w:sz w:val="21"/>
          <w:szCs w:val="21"/>
          <w:highlight w:val="none"/>
        </w:rPr>
        <w:fldChar w:fldCharType="end"/>
      </w:r>
    </w:p>
    <w:p w14:paraId="1D779646">
      <w:pPr>
        <w:spacing w:line="560" w:lineRule="exact"/>
        <w:ind w:firstLine="5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（四）信访地址：广东省东莞市东城街道育华路1号。</w:t>
      </w:r>
    </w:p>
    <w:p w14:paraId="110BDE73">
      <w:pPr>
        <w:spacing w:line="560" w:lineRule="exact"/>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第七条 其他</w:t>
      </w:r>
    </w:p>
    <w:p w14:paraId="154639DD">
      <w:pPr>
        <w:spacing w:line="560" w:lineRule="exact"/>
        <w:ind w:firstLine="56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本协议有效期为甲乙双方签字并加盖公章之日起至该工程/采购项目竣工验收完毕，质保期/服务期满后止。本协议一式陆份，甲方执</w:t>
      </w:r>
      <w:r>
        <w:rPr>
          <w:rFonts w:hint="eastAsia" w:ascii="宋体" w:hAnsi="宋体" w:eastAsia="宋体" w:cs="宋体"/>
          <w:color w:val="auto"/>
          <w:szCs w:val="21"/>
          <w:highlight w:val="none"/>
          <w:lang w:val="en-US" w:eastAsia="zh-CN"/>
        </w:rPr>
        <w:t>叁</w:t>
      </w:r>
      <w:r>
        <w:rPr>
          <w:rFonts w:hint="eastAsia" w:ascii="宋体" w:hAnsi="宋体" w:eastAsia="宋体" w:cs="宋体"/>
          <w:color w:val="auto"/>
          <w:szCs w:val="21"/>
          <w:highlight w:val="none"/>
        </w:rPr>
        <w:t>份，乙方执贰份，招标代理执壹份。均具有同等效力。</w:t>
      </w:r>
    </w:p>
    <w:p w14:paraId="343C0242">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63D6D86A">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287972B3">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6CE6E267">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甲方：</w:t>
      </w:r>
      <w:r>
        <w:rPr>
          <w:rFonts w:hint="eastAsia" w:ascii="宋体" w:hAnsi="宋体" w:eastAsia="宋体" w:cs="宋体"/>
          <w:sz w:val="21"/>
          <w:szCs w:val="21"/>
          <w:lang w:eastAsia="zh-CN"/>
        </w:rPr>
        <w:t>东莞市水务环境投资控股集团有限公司</w:t>
      </w:r>
    </w:p>
    <w:p w14:paraId="5F4874EC">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法定代表（或负责）人：</w:t>
      </w:r>
    </w:p>
    <w:p w14:paraId="64C9E5BA">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455BB444">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688A76CB">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p>
    <w:p w14:paraId="63665DE8">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乙方：</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 xml:space="preserve"> </w:t>
      </w:r>
    </w:p>
    <w:p w14:paraId="61FE7271">
      <w:pPr>
        <w:keepNext w:val="0"/>
        <w:keepLines w:val="0"/>
        <w:pageBreakBefore w:val="0"/>
        <w:kinsoku/>
        <w:overflowPunct/>
        <w:topLinePunct w:val="0"/>
        <w:bidi w:val="0"/>
        <w:adjustRightInd w:val="0"/>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b w:val="0"/>
          <w:bCs w:val="0"/>
          <w:color w:val="auto"/>
          <w:sz w:val="21"/>
          <w:szCs w:val="21"/>
          <w:highlight w:val="none"/>
        </w:rPr>
        <w:t>法定代表（或负责）人</w:t>
      </w:r>
      <w:r>
        <w:rPr>
          <w:rFonts w:hint="eastAsia" w:ascii="宋体" w:hAnsi="宋体" w:eastAsia="宋体" w:cs="宋体"/>
          <w:sz w:val="21"/>
          <w:szCs w:val="21"/>
        </w:rPr>
        <w:t>：</w:t>
      </w:r>
    </w:p>
    <w:p w14:paraId="42D1F2FD">
      <w:pPr>
        <w:rPr>
          <w:rFonts w:hint="eastAsia" w:ascii="宋体" w:hAnsi="宋体" w:eastAsia="宋体" w:cs="宋体"/>
          <w:color w:val="auto"/>
          <w:highlight w:val="none"/>
        </w:rPr>
      </w:pPr>
    </w:p>
    <w:p w14:paraId="2B30AA3C">
      <w:pPr>
        <w:rPr>
          <w:rFonts w:hint="eastAsia" w:ascii="宋体" w:hAnsi="宋体" w:eastAsia="宋体" w:cs="宋体"/>
          <w:color w:val="auto"/>
          <w:highlight w:val="none"/>
        </w:rPr>
      </w:pPr>
    </w:p>
    <w:p w14:paraId="48F4007B">
      <w:pPr>
        <w:pStyle w:val="18"/>
        <w:snapToGrid w:val="0"/>
        <w:spacing w:line="560" w:lineRule="exact"/>
        <w:ind w:right="0"/>
        <w:jc w:val="left"/>
        <w:rPr>
          <w:rFonts w:hint="eastAsia" w:ascii="宋体" w:hAnsi="宋体" w:eastAsia="宋体" w:cs="宋体"/>
          <w:b w:val="0"/>
          <w:bCs w:val="0"/>
          <w:color w:val="auto"/>
          <w:sz w:val="21"/>
          <w:szCs w:val="21"/>
          <w:highlight w:val="none"/>
          <w:lang w:val="en-US"/>
        </w:rPr>
      </w:pPr>
      <w:r>
        <w:rPr>
          <w:rFonts w:hint="eastAsia" w:ascii="宋体" w:hAnsi="宋体" w:eastAsia="宋体" w:cs="宋体"/>
          <w:b w:val="0"/>
          <w:bCs w:val="0"/>
          <w:color w:val="auto"/>
          <w:sz w:val="21"/>
          <w:szCs w:val="21"/>
          <w:highlight w:val="none"/>
        </w:rPr>
        <w:t>签约日期：</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lang w:val="en-US"/>
        </w:rPr>
        <w:t xml:space="preserve"> 年    月     日</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lang w:val="en-US"/>
        </w:rPr>
        <w:t xml:space="preserve">                  </w:t>
      </w:r>
    </w:p>
    <w:p w14:paraId="2446BA3E">
      <w:pPr>
        <w:pStyle w:val="18"/>
        <w:snapToGrid w:val="0"/>
        <w:spacing w:line="560" w:lineRule="exact"/>
        <w:ind w:right="0"/>
        <w:jc w:val="left"/>
        <w:rPr>
          <w:rFonts w:hint="eastAsia" w:ascii="宋体" w:hAnsi="宋体" w:eastAsia="宋体" w:cs="宋体"/>
          <w:color w:val="auto"/>
          <w:sz w:val="21"/>
          <w:szCs w:val="21"/>
          <w:highlight w:val="none"/>
          <w:lang w:val="en-US"/>
        </w:rPr>
      </w:pPr>
      <w:r>
        <w:rPr>
          <w:rFonts w:hint="eastAsia" w:ascii="宋体" w:hAnsi="宋体" w:eastAsia="宋体" w:cs="宋体"/>
          <w:b w:val="0"/>
          <w:bCs w:val="0"/>
          <w:color w:val="auto"/>
          <w:sz w:val="21"/>
          <w:szCs w:val="21"/>
          <w:highlight w:val="none"/>
        </w:rPr>
        <w:t>签约地点：</w:t>
      </w:r>
      <w:r>
        <w:rPr>
          <w:rFonts w:hint="eastAsia" w:ascii="宋体" w:hAnsi="宋体" w:eastAsia="宋体" w:cs="宋体"/>
          <w:b w:val="0"/>
          <w:bCs w:val="0"/>
          <w:color w:val="auto"/>
          <w:sz w:val="21"/>
          <w:szCs w:val="21"/>
          <w:highlight w:val="none"/>
          <w:lang w:val="en-US"/>
        </w:rPr>
        <w:t xml:space="preserve">广东省东莞市                 </w:t>
      </w:r>
    </w:p>
    <w:p w14:paraId="7194886D">
      <w:pPr>
        <w:pStyle w:val="18"/>
        <w:snapToGrid w:val="0"/>
        <w:spacing w:line="560" w:lineRule="exact"/>
        <w:ind w:right="0"/>
        <w:jc w:val="left"/>
        <w:rPr>
          <w:rFonts w:hint="eastAsia" w:ascii="宋体" w:hAnsi="宋体" w:eastAsia="宋体" w:cs="宋体"/>
          <w:color w:val="auto"/>
          <w:sz w:val="21"/>
          <w:szCs w:val="21"/>
          <w:highlight w:val="none"/>
          <w:lang w:val="en-US"/>
        </w:rPr>
      </w:pPr>
      <w:r>
        <w:rPr>
          <w:rFonts w:hint="eastAsia" w:ascii="宋体" w:hAnsi="宋体" w:eastAsia="宋体" w:cs="宋体"/>
          <w:b w:val="0"/>
          <w:bCs w:val="0"/>
          <w:color w:val="auto"/>
          <w:sz w:val="21"/>
          <w:szCs w:val="21"/>
          <w:highlight w:val="none"/>
          <w:lang w:val="en-US"/>
        </w:rPr>
        <w:t xml:space="preserve">                     </w:t>
      </w:r>
    </w:p>
    <w:p w14:paraId="7C2D73FB">
      <w:pP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br w:type="page"/>
      </w:r>
    </w:p>
    <w:p w14:paraId="5EB89351">
      <w:pPr>
        <w:pageBreakBefore/>
        <w:spacing w:before="120" w:beforeLines="50" w:after="120" w:afterLines="50" w:line="360" w:lineRule="auto"/>
        <w:ind w:firstLine="640"/>
        <w:jc w:val="center"/>
        <w:outlineLvl w:val="0"/>
        <w:rPr>
          <w:rFonts w:hint="eastAsia" w:ascii="宋体" w:hAnsi="宋体" w:eastAsia="宋体" w:cs="宋体"/>
          <w:b/>
          <w:bCs/>
          <w:sz w:val="32"/>
          <w:szCs w:val="32"/>
          <w:highlight w:val="none"/>
          <w:lang w:val="zh-CN"/>
        </w:rPr>
      </w:pPr>
      <w:bookmarkStart w:id="456" w:name="_Toc25564"/>
      <w:bookmarkStart w:id="457" w:name="_Toc512353083"/>
      <w:bookmarkStart w:id="458" w:name="_Toc30025"/>
      <w:bookmarkStart w:id="459" w:name="_Toc24427_WPSOffice_Level1"/>
      <w:bookmarkStart w:id="460" w:name="_Toc447044479"/>
      <w:bookmarkStart w:id="461" w:name="_Toc142508360"/>
      <w:bookmarkStart w:id="462" w:name="_Toc447044603"/>
      <w:bookmarkStart w:id="463" w:name="_Toc447045090"/>
      <w:bookmarkStart w:id="464" w:name="_Toc12626"/>
      <w:r>
        <w:rPr>
          <w:rFonts w:hint="eastAsia" w:ascii="宋体" w:hAnsi="宋体" w:eastAsia="宋体" w:cs="宋体"/>
          <w:b/>
          <w:bCs/>
          <w:sz w:val="32"/>
          <w:szCs w:val="32"/>
          <w:highlight w:val="none"/>
          <w:lang w:val="zh-CN"/>
        </w:rPr>
        <w:t>第五篇 相关保函格式</w:t>
      </w:r>
      <w:bookmarkEnd w:id="456"/>
      <w:bookmarkEnd w:id="457"/>
      <w:bookmarkEnd w:id="458"/>
      <w:bookmarkEnd w:id="459"/>
      <w:bookmarkEnd w:id="460"/>
      <w:bookmarkEnd w:id="461"/>
      <w:bookmarkEnd w:id="462"/>
      <w:bookmarkEnd w:id="463"/>
      <w:bookmarkEnd w:id="464"/>
      <w:bookmarkStart w:id="465" w:name="_Toc447045091"/>
      <w:bookmarkStart w:id="466" w:name="_Toc447044480"/>
      <w:bookmarkStart w:id="467" w:name="_Toc447044604"/>
    </w:p>
    <w:p w14:paraId="0EC4BDD7">
      <w:pPr>
        <w:autoSpaceDE w:val="0"/>
        <w:autoSpaceDN w:val="0"/>
        <w:adjustRightInd w:val="0"/>
        <w:spacing w:after="120" w:afterLines="50" w:line="360" w:lineRule="auto"/>
        <w:jc w:val="left"/>
        <w:rPr>
          <w:rFonts w:hint="eastAsia" w:ascii="宋体" w:hAnsi="宋体" w:eastAsia="宋体" w:cs="宋体"/>
          <w:b/>
          <w:kern w:val="0"/>
          <w:sz w:val="28"/>
          <w:szCs w:val="28"/>
          <w:highlight w:val="none"/>
        </w:rPr>
      </w:pPr>
      <w:bookmarkStart w:id="468" w:name="_Toc26521_WPSOffice_Level2"/>
      <w:r>
        <w:rPr>
          <w:rFonts w:hint="eastAsia" w:ascii="宋体" w:hAnsi="宋体" w:eastAsia="宋体" w:cs="宋体"/>
          <w:b/>
          <w:kern w:val="0"/>
          <w:sz w:val="28"/>
          <w:szCs w:val="28"/>
          <w:highlight w:val="none"/>
        </w:rPr>
        <w:t>一、不可撤销银行履约保函格式</w:t>
      </w:r>
      <w:bookmarkEnd w:id="465"/>
      <w:bookmarkEnd w:id="466"/>
      <w:bookmarkEnd w:id="467"/>
      <w:bookmarkEnd w:id="468"/>
    </w:p>
    <w:p w14:paraId="2FD79D97">
      <w:pPr>
        <w:autoSpaceDE w:val="0"/>
        <w:autoSpaceDN w:val="0"/>
        <w:adjustRightInd w:val="0"/>
        <w:jc w:val="center"/>
        <w:rPr>
          <w:rFonts w:hint="eastAsia" w:ascii="宋体" w:hAnsi="宋体" w:eastAsia="宋体" w:cs="宋体"/>
          <w:b/>
          <w:kern w:val="0"/>
          <w:sz w:val="30"/>
          <w:szCs w:val="30"/>
          <w:highlight w:val="none"/>
        </w:rPr>
      </w:pPr>
      <w:r>
        <w:rPr>
          <w:rFonts w:hint="eastAsia" w:ascii="宋体" w:hAnsi="宋体" w:eastAsia="宋体" w:cs="宋体"/>
          <w:b/>
          <w:kern w:val="0"/>
          <w:sz w:val="30"/>
          <w:szCs w:val="30"/>
          <w:highlight w:val="none"/>
        </w:rPr>
        <w:t>不可撤销银行履约保函</w:t>
      </w:r>
    </w:p>
    <w:p w14:paraId="7E8C84F4">
      <w:pPr>
        <w:widowControl/>
        <w:autoSpaceDE w:val="0"/>
        <w:autoSpaceDN w:val="0"/>
        <w:adjustRightInd w:val="0"/>
        <w:spacing w:line="360" w:lineRule="auto"/>
        <w:jc w:val="left"/>
        <w:rPr>
          <w:rFonts w:hint="eastAsia" w:ascii="宋体" w:hAnsi="宋体" w:eastAsia="宋体" w:cs="宋体"/>
          <w:kern w:val="0"/>
          <w:szCs w:val="21"/>
          <w:highlight w:val="none"/>
        </w:rPr>
      </w:pPr>
    </w:p>
    <w:p w14:paraId="1B457405">
      <w:pPr>
        <w:autoSpaceDE w:val="0"/>
        <w:autoSpaceDN w:val="0"/>
        <w:adjustRightInd w:val="0"/>
        <w:spacing w:line="360" w:lineRule="auto"/>
        <w:ind w:firstLine="6300"/>
        <w:jc w:val="left"/>
        <w:rPr>
          <w:rFonts w:hint="eastAsia" w:ascii="宋体" w:hAnsi="宋体" w:eastAsia="宋体" w:cs="宋体"/>
          <w:kern w:val="0"/>
          <w:szCs w:val="21"/>
          <w:highlight w:val="none"/>
          <w:u w:val="single"/>
        </w:rPr>
      </w:pPr>
      <w:r>
        <w:rPr>
          <w:rFonts w:hint="eastAsia" w:ascii="宋体" w:hAnsi="宋体" w:eastAsia="宋体" w:cs="宋体"/>
          <w:kern w:val="0"/>
          <w:szCs w:val="21"/>
          <w:highlight w:val="none"/>
        </w:rPr>
        <w:t>银行编号：</w:t>
      </w:r>
    </w:p>
    <w:p w14:paraId="1E755F62">
      <w:pPr>
        <w:widowControl/>
        <w:autoSpaceDE w:val="0"/>
        <w:autoSpaceDN w:val="0"/>
        <w:adjustRightInd w:val="0"/>
        <w:spacing w:line="360" w:lineRule="auto"/>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致：</w:t>
      </w:r>
      <w:r>
        <w:rPr>
          <w:rFonts w:hint="eastAsia" w:ascii="宋体" w:hAnsi="宋体" w:eastAsia="宋体" w:cs="宋体"/>
          <w:b/>
          <w:kern w:val="0"/>
          <w:szCs w:val="21"/>
          <w:highlight w:val="none"/>
          <w:u w:val="single"/>
        </w:rPr>
        <w:t xml:space="preserve">                    </w:t>
      </w:r>
      <w:r>
        <w:rPr>
          <w:rFonts w:hint="eastAsia" w:ascii="宋体" w:hAnsi="宋体" w:eastAsia="宋体" w:cs="宋体"/>
          <w:kern w:val="0"/>
          <w:szCs w:val="21"/>
          <w:highlight w:val="none"/>
        </w:rPr>
        <w:t>（下称“受益人”）</w:t>
      </w:r>
    </w:p>
    <w:p w14:paraId="5B9B7483">
      <w:pPr>
        <w:widowControl/>
        <w:autoSpaceDE w:val="0"/>
        <w:autoSpaceDN w:val="0"/>
        <w:adjustRightInd w:val="0"/>
        <w:spacing w:line="360" w:lineRule="auto"/>
        <w:ind w:firstLine="567" w:firstLine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鉴于</w:t>
      </w:r>
      <w:r>
        <w:rPr>
          <w:rFonts w:hint="eastAsia" w:ascii="宋体" w:hAnsi="宋体" w:eastAsia="宋体" w:cs="宋体"/>
          <w:kern w:val="0"/>
          <w:szCs w:val="21"/>
          <w:highlight w:val="none"/>
          <w:u w:val="single"/>
        </w:rPr>
        <w:t xml:space="preserve">  （申请人的名称与地址）  </w:t>
      </w:r>
      <w:r>
        <w:rPr>
          <w:rFonts w:hint="eastAsia" w:ascii="宋体" w:hAnsi="宋体" w:eastAsia="宋体" w:cs="宋体"/>
          <w:kern w:val="0"/>
          <w:szCs w:val="21"/>
          <w:highlight w:val="none"/>
        </w:rPr>
        <w:t>（下称“申请人”），已保证按拟签订的</w:t>
      </w:r>
      <w:r>
        <w:rPr>
          <w:rFonts w:hint="eastAsia" w:ascii="宋体" w:hAnsi="宋体" w:eastAsia="宋体" w:cs="宋体"/>
          <w:kern w:val="0"/>
          <w:szCs w:val="21"/>
          <w:highlight w:val="none"/>
          <w:u w:val="single"/>
        </w:rPr>
        <w:t xml:space="preserve"> 项目名称       （招标编号：         ）</w:t>
      </w:r>
      <w:r>
        <w:rPr>
          <w:rFonts w:hint="eastAsia" w:ascii="宋体" w:hAnsi="宋体" w:eastAsia="宋体" w:cs="宋体"/>
          <w:kern w:val="0"/>
          <w:szCs w:val="21"/>
          <w:highlight w:val="none"/>
        </w:rPr>
        <w:t>合同（招标文件）中规定的义务履行合同。</w:t>
      </w:r>
    </w:p>
    <w:p w14:paraId="29C2C32D">
      <w:pPr>
        <w:widowControl/>
        <w:autoSpaceDE w:val="0"/>
        <w:autoSpaceDN w:val="0"/>
        <w:adjustRightInd w:val="0"/>
        <w:spacing w:line="360" w:lineRule="auto"/>
        <w:ind w:firstLine="567" w:firstLine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根据上述合同（招标文件）规定，申请人应向受益人提供一份金额为人民币（大写）</w:t>
      </w:r>
      <w:r>
        <w:rPr>
          <w:rFonts w:hint="eastAsia" w:ascii="宋体" w:hAnsi="宋体" w:eastAsia="宋体" w:cs="宋体"/>
          <w:kern w:val="0"/>
          <w:szCs w:val="21"/>
          <w:highlight w:val="none"/>
          <w:u w:val="single"/>
        </w:rPr>
        <w:t xml:space="preserve">      （RMB元）</w:t>
      </w:r>
      <w:r>
        <w:rPr>
          <w:rFonts w:hint="eastAsia" w:ascii="宋体" w:hAnsi="宋体" w:eastAsia="宋体" w:cs="宋体"/>
          <w:kern w:val="0"/>
          <w:szCs w:val="21"/>
          <w:highlight w:val="none"/>
        </w:rPr>
        <w:t>的无条件、不可撤销银行履约保函，作为申请人履行上述合同的担保。</w:t>
      </w:r>
    </w:p>
    <w:p w14:paraId="15BD355C">
      <w:pPr>
        <w:widowControl/>
        <w:autoSpaceDE w:val="0"/>
        <w:autoSpaceDN w:val="0"/>
        <w:adjustRightInd w:val="0"/>
        <w:spacing w:line="360" w:lineRule="auto"/>
        <w:ind w:firstLine="567" w:firstLineChars="27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w:t>
      </w:r>
      <w:r>
        <w:rPr>
          <w:rFonts w:hint="eastAsia" w:ascii="宋体" w:hAnsi="宋体" w:eastAsia="宋体" w:cs="宋体"/>
          <w:color w:val="auto"/>
          <w:kern w:val="0"/>
          <w:szCs w:val="21"/>
          <w:highlight w:val="none"/>
          <w:u w:val="single"/>
        </w:rPr>
        <w:t xml:space="preserve">     （银行名称）</w:t>
      </w:r>
      <w:r>
        <w:rPr>
          <w:rFonts w:hint="eastAsia" w:ascii="宋体" w:hAnsi="宋体" w:eastAsia="宋体" w:cs="宋体"/>
          <w:color w:val="auto"/>
          <w:kern w:val="0"/>
          <w:szCs w:val="21"/>
          <w:highlight w:val="none"/>
        </w:rPr>
        <w:t>，受申请人的委托，无条件和不可撤销地在受益人出具本保函原件且提出因申请人没有履行上述合同规定，而要求我方承担保证责任</w:t>
      </w:r>
      <w:r>
        <w:rPr>
          <w:rFonts w:hint="eastAsia" w:ascii="宋体" w:hAnsi="宋体" w:eastAsia="宋体" w:cs="宋体"/>
          <w:color w:val="auto"/>
          <w:kern w:val="0"/>
          <w:szCs w:val="21"/>
          <w:highlight w:val="none"/>
          <w:lang w:val="en-US" w:eastAsia="zh-CN"/>
        </w:rPr>
        <w:t>后，</w:t>
      </w:r>
      <w:r>
        <w:rPr>
          <w:rFonts w:hint="eastAsia" w:ascii="宋体" w:hAnsi="宋体" w:eastAsia="宋体" w:cs="宋体"/>
          <w:color w:val="auto"/>
          <w:kern w:val="0"/>
          <w:szCs w:val="21"/>
          <w:highlight w:val="none"/>
        </w:rPr>
        <w:t>在保函限额内向受益人支付不超过人民币（大写）_________（¥_______元）的款项。</w:t>
      </w:r>
    </w:p>
    <w:p w14:paraId="6600ED8A">
      <w:pPr>
        <w:widowControl/>
        <w:autoSpaceDE w:val="0"/>
        <w:autoSpaceDN w:val="0"/>
        <w:adjustRightIn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在向我行提出要求前，我行将不坚持要求受益人首先向申请人提出上述款项的索赔。</w:t>
      </w:r>
    </w:p>
    <w:p w14:paraId="3DB0FE44">
      <w:pPr>
        <w:widowControl/>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我方还同意，任何受益人与申请人之间可能对合同条款的修改、规范或其他合同文件的变动补充，都不能免除我方按本保函所承担的责任。因此，有关上述变动、补充和修改无须通知或征得我方同意。</w:t>
      </w:r>
    </w:p>
    <w:p w14:paraId="69C023AF">
      <w:pPr>
        <w:widowControl/>
        <w:autoSpaceDE w:val="0"/>
        <w:autoSpaceDN w:val="0"/>
        <w:adjustRightInd w:val="0"/>
        <w:spacing w:line="360" w:lineRule="auto"/>
        <w:ind w:firstLine="437"/>
        <w:jc w:val="left"/>
        <w:rPr>
          <w:rFonts w:hint="eastAsia" w:ascii="宋体" w:hAnsi="宋体" w:eastAsia="宋体" w:cs="宋体"/>
          <w:color w:val="FF0000"/>
          <w:kern w:val="0"/>
          <w:szCs w:val="21"/>
          <w:highlight w:val="none"/>
        </w:rPr>
      </w:pPr>
      <w:r>
        <w:rPr>
          <w:rFonts w:ascii="宋体" w:hAnsi="宋体" w:eastAsia="宋体" w:cs="Times New Roman"/>
          <w:color w:val="auto"/>
          <w:kern w:val="0"/>
          <w:szCs w:val="21"/>
          <w:highlight w:val="none"/>
        </w:rPr>
        <w:t>本保函</w:t>
      </w:r>
      <w:r>
        <w:rPr>
          <w:rFonts w:hint="eastAsia" w:ascii="宋体" w:hAnsi="宋体" w:eastAsia="宋体" w:cs="Times New Roman"/>
          <w:color w:val="auto"/>
          <w:kern w:val="0"/>
          <w:szCs w:val="21"/>
          <w:highlight w:val="none"/>
        </w:rPr>
        <w:t>应</w:t>
      </w:r>
      <w:r>
        <w:rPr>
          <w:rFonts w:hint="eastAsia" w:ascii="宋体" w:hAnsi="宋体" w:eastAsia="宋体" w:cs="宋体"/>
          <w:color w:val="auto"/>
          <w:sz w:val="21"/>
          <w:szCs w:val="21"/>
        </w:rPr>
        <w:t>自合同生效之日起至合同期限届满并完成全部服务义务后</w:t>
      </w:r>
      <w:r>
        <w:rPr>
          <w:rFonts w:hint="eastAsia" w:ascii="宋体" w:hAnsi="宋体" w:eastAsia="宋体" w:cs="宋体"/>
          <w:color w:val="auto"/>
          <w:sz w:val="21"/>
          <w:szCs w:val="21"/>
          <w:lang w:val="zh-CN"/>
        </w:rPr>
        <w:t>二十八（28）</w:t>
      </w:r>
      <w:r>
        <w:rPr>
          <w:rFonts w:hint="eastAsia" w:ascii="宋体" w:hAnsi="宋体" w:eastAsia="宋体" w:cs="宋体"/>
          <w:color w:val="auto"/>
          <w:sz w:val="21"/>
          <w:szCs w:val="21"/>
        </w:rPr>
        <w:t>日内</w:t>
      </w:r>
      <w:r>
        <w:rPr>
          <w:rFonts w:hint="eastAsia" w:ascii="宋体" w:hAnsi="宋体" w:eastAsia="宋体" w:cs="Times New Roman"/>
          <w:color w:val="auto"/>
          <w:kern w:val="0"/>
          <w:szCs w:val="21"/>
          <w:highlight w:val="none"/>
        </w:rPr>
        <w:t>保持有效</w:t>
      </w:r>
      <w:r>
        <w:rPr>
          <w:rFonts w:hint="eastAsia" w:ascii="宋体" w:hAnsi="宋体" w:eastAsia="宋体" w:cs="宋体"/>
          <w:color w:val="FF0000"/>
          <w:kern w:val="0"/>
          <w:szCs w:val="21"/>
          <w:highlight w:val="none"/>
        </w:rPr>
        <w:t>。</w:t>
      </w:r>
    </w:p>
    <w:p w14:paraId="097ED7D8">
      <w:pPr>
        <w:widowControl/>
        <w:autoSpaceDE w:val="0"/>
        <w:autoSpaceDN w:val="0"/>
        <w:adjustRightInd w:val="0"/>
        <w:spacing w:line="360" w:lineRule="auto"/>
        <w:ind w:firstLine="437"/>
        <w:jc w:val="left"/>
        <w:rPr>
          <w:rFonts w:hint="eastAsia" w:ascii="宋体" w:hAnsi="宋体" w:eastAsia="宋体" w:cs="宋体"/>
          <w:kern w:val="0"/>
          <w:szCs w:val="21"/>
          <w:highlight w:val="none"/>
        </w:rPr>
      </w:pPr>
    </w:p>
    <w:p w14:paraId="105E5457">
      <w:pPr>
        <w:widowControl/>
        <w:autoSpaceDE w:val="0"/>
        <w:autoSpaceDN w:val="0"/>
        <w:adjustRightInd w:val="0"/>
        <w:spacing w:line="360" w:lineRule="auto"/>
        <w:ind w:firstLine="2520" w:firstLineChars="1200"/>
        <w:jc w:val="left"/>
        <w:rPr>
          <w:rFonts w:hint="eastAsia" w:ascii="宋体" w:hAnsi="宋体" w:eastAsia="宋体" w:cs="宋体"/>
          <w:kern w:val="0"/>
          <w:szCs w:val="21"/>
          <w:highlight w:val="none"/>
          <w:u w:val="single"/>
        </w:rPr>
      </w:pPr>
      <w:r>
        <w:rPr>
          <w:rFonts w:hint="eastAsia" w:ascii="宋体" w:hAnsi="宋体" w:eastAsia="宋体" w:cs="宋体"/>
          <w:kern w:val="0"/>
          <w:szCs w:val="21"/>
          <w:highlight w:val="none"/>
        </w:rPr>
        <w:t>担 保 银 行：</w:t>
      </w:r>
      <w:r>
        <w:rPr>
          <w:rFonts w:hint="eastAsia" w:ascii="宋体" w:hAnsi="宋体" w:eastAsia="宋体" w:cs="宋体"/>
          <w:kern w:val="0"/>
          <w:szCs w:val="21"/>
          <w:highlight w:val="none"/>
          <w:u w:val="single"/>
        </w:rPr>
        <w:t xml:space="preserve">          银行全称          (盖章)   </w:t>
      </w:r>
    </w:p>
    <w:p w14:paraId="6D806D11">
      <w:pPr>
        <w:widowControl/>
        <w:autoSpaceDE w:val="0"/>
        <w:autoSpaceDN w:val="0"/>
        <w:adjustRightInd w:val="0"/>
        <w:spacing w:line="360" w:lineRule="auto"/>
        <w:ind w:firstLine="2520" w:firstLineChars="1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法定代表人或其授权的代表人：</w:t>
      </w:r>
      <w:r>
        <w:rPr>
          <w:rFonts w:hint="eastAsia" w:ascii="宋体" w:hAnsi="宋体" w:eastAsia="宋体" w:cs="宋体"/>
          <w:kern w:val="0"/>
          <w:szCs w:val="21"/>
          <w:highlight w:val="none"/>
          <w:u w:val="single"/>
        </w:rPr>
        <w:t xml:space="preserve">       (职务)         </w:t>
      </w:r>
    </w:p>
    <w:p w14:paraId="0CEECA76">
      <w:pPr>
        <w:widowControl/>
        <w:autoSpaceDE w:val="0"/>
        <w:autoSpaceDN w:val="0"/>
        <w:adjustRightInd w:val="0"/>
        <w:spacing w:line="360" w:lineRule="auto"/>
        <w:ind w:firstLine="5502" w:firstLineChars="2620"/>
        <w:jc w:val="left"/>
        <w:rPr>
          <w:rFonts w:hint="eastAsia" w:ascii="宋体" w:hAnsi="宋体" w:eastAsia="宋体" w:cs="宋体"/>
          <w:kern w:val="0"/>
          <w:szCs w:val="21"/>
          <w:highlight w:val="none"/>
          <w:u w:val="single"/>
        </w:rPr>
      </w:pPr>
      <w:r>
        <w:rPr>
          <w:rFonts w:hint="eastAsia" w:ascii="宋体" w:hAnsi="宋体" w:eastAsia="宋体" w:cs="宋体"/>
          <w:kern w:val="0"/>
          <w:szCs w:val="21"/>
          <w:highlight w:val="none"/>
          <w:u w:val="single"/>
        </w:rPr>
        <w:t xml:space="preserve">       (姓名)         </w:t>
      </w:r>
    </w:p>
    <w:p w14:paraId="5FE7087F">
      <w:pPr>
        <w:widowControl/>
        <w:autoSpaceDE w:val="0"/>
        <w:autoSpaceDN w:val="0"/>
        <w:adjustRightInd w:val="0"/>
        <w:spacing w:line="360" w:lineRule="auto"/>
        <w:ind w:firstLine="5502" w:firstLineChars="2620"/>
        <w:jc w:val="left"/>
        <w:rPr>
          <w:rFonts w:hint="eastAsia" w:ascii="宋体" w:hAnsi="宋体" w:eastAsia="宋体" w:cs="宋体"/>
          <w:kern w:val="0"/>
          <w:szCs w:val="21"/>
          <w:highlight w:val="none"/>
          <w:u w:val="single"/>
        </w:rPr>
      </w:pPr>
      <w:r>
        <w:rPr>
          <w:rFonts w:hint="eastAsia" w:ascii="宋体" w:hAnsi="宋体" w:eastAsia="宋体" w:cs="宋体"/>
          <w:kern w:val="0"/>
          <w:szCs w:val="21"/>
          <w:highlight w:val="none"/>
          <w:u w:val="single"/>
        </w:rPr>
        <w:t xml:space="preserve">       (签章)         </w:t>
      </w:r>
    </w:p>
    <w:p w14:paraId="3113662B">
      <w:pPr>
        <w:autoSpaceDE w:val="0"/>
        <w:autoSpaceDN w:val="0"/>
        <w:adjustRightInd w:val="0"/>
        <w:spacing w:line="360" w:lineRule="auto"/>
        <w:ind w:left="840"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lang w:eastAsia="zh-CN"/>
        </w:rPr>
        <w:t xml:space="preserve">                                 </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年</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月</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日</w:t>
      </w:r>
    </w:p>
    <w:p w14:paraId="3F4EADDE">
      <w:pPr>
        <w:widowControl/>
        <w:autoSpaceDE w:val="0"/>
        <w:autoSpaceDN w:val="0"/>
        <w:adjustRightInd w:val="0"/>
        <w:spacing w:line="360" w:lineRule="auto"/>
        <w:jc w:val="left"/>
        <w:rPr>
          <w:rFonts w:hint="eastAsia" w:ascii="宋体" w:hAnsi="宋体" w:eastAsia="宋体" w:cs="宋体"/>
          <w:kern w:val="0"/>
          <w:szCs w:val="21"/>
          <w:highlight w:val="none"/>
        </w:rPr>
      </w:pPr>
    </w:p>
    <w:p w14:paraId="359906C3">
      <w:pPr>
        <w:widowControl/>
        <w:autoSpaceDE w:val="0"/>
        <w:autoSpaceDN w:val="0"/>
        <w:adjustRightInd w:val="0"/>
        <w:spacing w:line="360" w:lineRule="auto"/>
        <w:jc w:val="left"/>
        <w:rPr>
          <w:rFonts w:hint="eastAsia" w:ascii="宋体" w:hAnsi="宋体" w:eastAsia="宋体" w:cs="宋体"/>
          <w:kern w:val="0"/>
          <w:szCs w:val="21"/>
          <w:highlight w:val="none"/>
        </w:rPr>
      </w:pPr>
    </w:p>
    <w:p w14:paraId="10A38DFD">
      <w:pPr>
        <w:autoSpaceDE w:val="0"/>
        <w:autoSpaceDN w:val="0"/>
        <w:adjustRightInd w:val="0"/>
        <w:spacing w:line="360" w:lineRule="auto"/>
        <w:ind w:right="368" w:rightChars="175"/>
        <w:jc w:val="left"/>
        <w:rPr>
          <w:rFonts w:hint="eastAsia" w:ascii="宋体" w:hAnsi="宋体" w:eastAsia="宋体" w:cs="宋体"/>
          <w:kern w:val="0"/>
          <w:szCs w:val="21"/>
          <w:highlight w:val="none"/>
        </w:rPr>
        <w:sectPr>
          <w:footerReference r:id="rId4" w:type="first"/>
          <w:footerReference r:id="rId3" w:type="default"/>
          <w:pgSz w:w="12240" w:h="15840"/>
          <w:pgMar w:top="1191" w:right="1043" w:bottom="1191" w:left="1043" w:header="720" w:footer="720" w:gutter="0"/>
          <w:cols w:space="720" w:num="1"/>
          <w:titlePg/>
          <w:docGrid w:linePitch="326" w:charSpace="0"/>
        </w:sectPr>
      </w:pPr>
    </w:p>
    <w:p w14:paraId="37CC2736">
      <w:pPr>
        <w:numPr>
          <w:ilvl w:val="0"/>
          <w:numId w:val="0"/>
        </w:numPr>
        <w:rPr>
          <w:rFonts w:hint="eastAsia" w:ascii="宋体" w:hAnsi="宋体" w:eastAsia="宋体" w:cs="宋体"/>
          <w:b/>
          <w:kern w:val="0"/>
          <w:sz w:val="28"/>
          <w:szCs w:val="28"/>
          <w:highlight w:val="none"/>
          <w:lang w:val="en-US" w:eastAsia="zh-CN"/>
        </w:rPr>
      </w:pPr>
      <w:r>
        <w:rPr>
          <w:rFonts w:hint="eastAsia" w:ascii="宋体" w:hAnsi="宋体" w:eastAsia="宋体" w:cs="宋体"/>
          <w:b/>
          <w:kern w:val="0"/>
          <w:sz w:val="28"/>
          <w:szCs w:val="28"/>
          <w:highlight w:val="none"/>
          <w:lang w:val="en-US" w:eastAsia="zh-CN" w:bidi="ar-SA"/>
        </w:rPr>
        <w:t>二、</w:t>
      </w:r>
      <w:r>
        <w:rPr>
          <w:rFonts w:hint="eastAsia" w:ascii="宋体" w:hAnsi="宋体" w:eastAsia="宋体" w:cs="宋体"/>
          <w:b/>
          <w:kern w:val="0"/>
          <w:sz w:val="28"/>
          <w:szCs w:val="28"/>
          <w:highlight w:val="none"/>
          <w:lang w:val="en-US" w:eastAsia="zh-CN"/>
        </w:rPr>
        <w:t>履约保证保险凭证格式</w:t>
      </w:r>
    </w:p>
    <w:p w14:paraId="262DA270">
      <w:pPr>
        <w:autoSpaceDE w:val="0"/>
        <w:autoSpaceDN w:val="0"/>
        <w:adjustRightInd w:val="0"/>
        <w:jc w:val="center"/>
        <w:rPr>
          <w:rFonts w:hint="eastAsia" w:ascii="宋体" w:hAnsi="宋体" w:eastAsia="宋体" w:cs="宋体"/>
          <w:b/>
          <w:kern w:val="0"/>
          <w:sz w:val="30"/>
          <w:szCs w:val="30"/>
          <w:highlight w:val="none"/>
          <w:lang w:val="en-US" w:eastAsia="zh-CN"/>
        </w:rPr>
      </w:pPr>
    </w:p>
    <w:p w14:paraId="5CFADF09">
      <w:pPr>
        <w:autoSpaceDE w:val="0"/>
        <w:autoSpaceDN w:val="0"/>
        <w:adjustRightInd w:val="0"/>
        <w:jc w:val="center"/>
        <w:rPr>
          <w:rFonts w:hint="eastAsia" w:ascii="宋体" w:hAnsi="宋体" w:eastAsia="宋体" w:cs="宋体"/>
          <w:b/>
          <w:color w:val="auto"/>
          <w:kern w:val="0"/>
          <w:sz w:val="30"/>
          <w:szCs w:val="30"/>
          <w:highlight w:val="none"/>
          <w:lang w:val="en-US" w:eastAsia="zh-CN"/>
        </w:rPr>
      </w:pPr>
      <w:r>
        <w:rPr>
          <w:rFonts w:hint="eastAsia" w:ascii="宋体" w:hAnsi="宋体" w:eastAsia="宋体" w:cs="宋体"/>
          <w:b/>
          <w:color w:val="auto"/>
          <w:kern w:val="0"/>
          <w:sz w:val="30"/>
          <w:szCs w:val="30"/>
          <w:highlight w:val="none"/>
          <w:lang w:val="en-US" w:eastAsia="zh-CN"/>
        </w:rPr>
        <w:t>履约保证保险凭证</w:t>
      </w:r>
    </w:p>
    <w:p w14:paraId="4951C003">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74ACF7B7">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编号：</w:t>
      </w:r>
    </w:p>
    <w:p w14:paraId="0025CAE4">
      <w:pPr>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致：</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 xml:space="preserve">（下称“受益人”）： </w:t>
      </w:r>
    </w:p>
    <w:p w14:paraId="744CB38A">
      <w:pPr>
        <w:autoSpaceDE w:val="0"/>
        <w:autoSpaceDN w:val="0"/>
        <w:adjustRightInd w:val="0"/>
        <w:spacing w:line="360" w:lineRule="auto"/>
        <w:ind w:firstLine="437"/>
        <w:jc w:val="left"/>
        <w:rPr>
          <w:rFonts w:hint="eastAsia" w:ascii="宋体" w:hAnsi="宋体" w:eastAsia="宋体" w:cs="宋体"/>
          <w:color w:val="auto"/>
          <w:kern w:val="0"/>
          <w:szCs w:val="21"/>
          <w:highlight w:val="none"/>
          <w:lang w:val="en-US" w:eastAsia="zh-CN"/>
        </w:rPr>
      </w:pPr>
    </w:p>
    <w:p w14:paraId="694E6770">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鉴于</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（下称“申请人”）已与贵方签订了</w:t>
      </w:r>
      <w:r>
        <w:rPr>
          <w:rFonts w:hint="eastAsia" w:ascii="宋体" w:hAnsi="宋体" w:eastAsia="宋体" w:cs="宋体"/>
          <w:color w:val="auto"/>
          <w:kern w:val="0"/>
          <w:szCs w:val="21"/>
          <w:highlight w:val="none"/>
          <w:u w:val="single"/>
        </w:rPr>
        <w:t xml:space="preserve">         项目（招标编号：        ）</w:t>
      </w:r>
      <w:r>
        <w:rPr>
          <w:rFonts w:hint="eastAsia" w:ascii="宋体" w:hAnsi="宋体" w:eastAsia="宋体" w:cs="宋体"/>
          <w:color w:val="auto"/>
          <w:kern w:val="0"/>
          <w:szCs w:val="21"/>
          <w:highlight w:val="none"/>
        </w:rPr>
        <w:t>合同</w:t>
      </w:r>
      <w:r>
        <w:rPr>
          <w:rFonts w:hint="eastAsia" w:ascii="宋体" w:hAnsi="宋体" w:eastAsia="宋体" w:cs="宋体"/>
          <w:color w:val="auto"/>
          <w:kern w:val="0"/>
          <w:szCs w:val="21"/>
          <w:highlight w:val="none"/>
          <w:lang w:val="en-US" w:eastAsia="zh-CN"/>
        </w:rPr>
        <w:t xml:space="preserve">。我方已接受申请人的请求，并出具《履约保证保险》保险单。 </w:t>
      </w:r>
    </w:p>
    <w:p w14:paraId="42469840">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一、保证保险金额 </w:t>
      </w:r>
    </w:p>
    <w:p w14:paraId="6CB5F79E">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我方承担的履约保证保险的保险金额（最高限额）为人民币（大写）</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元 （¥</w:t>
      </w:r>
      <w:r>
        <w:rPr>
          <w:rFonts w:hint="eastAsia" w:ascii="宋体" w:hAnsi="宋体" w:eastAsia="宋体" w:cs="宋体"/>
          <w:b/>
          <w:color w:val="auto"/>
          <w:kern w:val="0"/>
          <w:szCs w:val="21"/>
          <w:highlight w:val="none"/>
          <w:u w:val="single"/>
        </w:rPr>
        <w:t xml:space="preserve">               </w:t>
      </w:r>
      <w:r>
        <w:rPr>
          <w:rFonts w:hint="eastAsia" w:ascii="宋体" w:hAnsi="宋体" w:eastAsia="宋体" w:cs="宋体"/>
          <w:color w:val="auto"/>
          <w:kern w:val="0"/>
          <w:szCs w:val="21"/>
          <w:highlight w:val="none"/>
          <w:lang w:val="en-US" w:eastAsia="zh-CN"/>
        </w:rPr>
        <w:t xml:space="preserve"> ）。 </w:t>
      </w:r>
    </w:p>
    <w:p w14:paraId="6503D02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二、保证保险的责任范围 </w:t>
      </w:r>
    </w:p>
    <w:p w14:paraId="79879FCD">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在保险期间内，申请人因自身原因未按照与贵方签订的</w:t>
      </w:r>
      <w:r>
        <w:rPr>
          <w:rFonts w:hint="eastAsia" w:ascii="宋体" w:hAnsi="宋体" w:eastAsia="宋体" w:cs="宋体"/>
          <w:color w:val="auto"/>
          <w:kern w:val="0"/>
          <w:szCs w:val="21"/>
          <w:highlight w:val="none"/>
          <w:u w:val="single"/>
        </w:rPr>
        <w:t xml:space="preserve">         项目（招标编号：        ）</w:t>
      </w:r>
      <w:r>
        <w:rPr>
          <w:rFonts w:hint="eastAsia" w:ascii="宋体" w:hAnsi="宋体" w:eastAsia="宋体" w:cs="宋体"/>
          <w:color w:val="auto"/>
          <w:kern w:val="0"/>
          <w:szCs w:val="21"/>
          <w:highlight w:val="none"/>
        </w:rPr>
        <w:t>合同</w:t>
      </w:r>
      <w:r>
        <w:rPr>
          <w:rFonts w:hint="eastAsia" w:ascii="宋体" w:hAnsi="宋体" w:eastAsia="宋体" w:cs="宋体"/>
          <w:color w:val="auto"/>
          <w:kern w:val="0"/>
          <w:szCs w:val="21"/>
          <w:highlight w:val="none"/>
          <w:lang w:val="en-US" w:eastAsia="zh-CN"/>
        </w:rPr>
        <w:t xml:space="preserve">履行相关义务，给贵方造成损失的，贵方可向我方提出索赔，我方按照保险合同的约定承担损失赔偿责任。 </w:t>
      </w:r>
    </w:p>
    <w:p w14:paraId="31C91407">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三、代偿的安排 </w:t>
      </w:r>
    </w:p>
    <w:p w14:paraId="31118AD0">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贵方要求我方承担保证保险责任的，我方无条件和不可撤销地在贵方出具本履约保证保险原件且提出因申请人没有履行上述合同规定，而要求我方承担保证责任后，在保险限额内向贵方支付不超过人民币（大写）_________（¥_______元）的款项。</w:t>
      </w:r>
    </w:p>
    <w:p w14:paraId="4448D571">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四、生效时间 </w:t>
      </w:r>
    </w:p>
    <w:p w14:paraId="3E4F5A5A">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本保险凭证自我方法定代表人（或其授权代理人）签字并加盖保险承保章之日起生效。 </w:t>
      </w:r>
    </w:p>
    <w:p w14:paraId="6D03AE6E">
      <w:pPr>
        <w:numPr>
          <w:ilvl w:val="0"/>
          <w:numId w:val="0"/>
        </w:numPr>
        <w:autoSpaceDE w:val="0"/>
        <w:autoSpaceDN w:val="0"/>
        <w:adjustRightInd w:val="0"/>
        <w:spacing w:line="360" w:lineRule="auto"/>
        <w:ind w:firstLine="437" w:firstLineChars="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 w:val="21"/>
          <w:szCs w:val="21"/>
          <w:highlight w:val="none"/>
          <w:lang w:val="en-US" w:eastAsia="zh-CN" w:bidi="ar-SA"/>
        </w:rPr>
        <w:t>五、</w:t>
      </w:r>
      <w:r>
        <w:rPr>
          <w:rFonts w:hint="eastAsia" w:ascii="宋体" w:hAnsi="宋体" w:eastAsia="宋体" w:cs="宋体"/>
          <w:color w:val="auto"/>
          <w:kern w:val="0"/>
          <w:szCs w:val="21"/>
          <w:highlight w:val="none"/>
          <w:lang w:val="en-US" w:eastAsia="zh-CN"/>
        </w:rPr>
        <w:t>其他</w:t>
      </w:r>
    </w:p>
    <w:p w14:paraId="1AFF14B8">
      <w:pPr>
        <w:autoSpaceDE w:val="0"/>
        <w:autoSpaceDN w:val="0"/>
        <w:adjustRightInd w:val="0"/>
        <w:spacing w:line="360" w:lineRule="auto"/>
        <w:ind w:firstLine="437"/>
        <w:jc w:val="left"/>
        <w:rPr>
          <w:rFonts w:hint="eastAsia" w:ascii="宋体" w:hAnsi="宋体" w:eastAsia="宋体" w:cs="宋体"/>
          <w:color w:val="FF0000"/>
          <w:kern w:val="0"/>
          <w:szCs w:val="21"/>
          <w:highlight w:val="none"/>
        </w:rPr>
      </w:pPr>
      <w:r>
        <w:rPr>
          <w:rFonts w:ascii="宋体" w:hAnsi="宋体" w:eastAsia="宋体" w:cs="Times New Roman"/>
          <w:color w:val="auto"/>
          <w:kern w:val="0"/>
          <w:szCs w:val="21"/>
          <w:highlight w:val="none"/>
        </w:rPr>
        <w:t>本</w:t>
      </w:r>
      <w:r>
        <w:rPr>
          <w:rFonts w:hint="eastAsia" w:ascii="宋体" w:hAnsi="宋体" w:eastAsia="宋体" w:cs="宋体"/>
          <w:color w:val="auto"/>
          <w:kern w:val="0"/>
          <w:szCs w:val="21"/>
          <w:highlight w:val="none"/>
          <w:lang w:val="en-US" w:eastAsia="zh-CN"/>
        </w:rPr>
        <w:t>履约保证保险</w:t>
      </w:r>
      <w:r>
        <w:rPr>
          <w:rFonts w:hint="eastAsia" w:ascii="宋体" w:hAnsi="宋体" w:eastAsia="宋体" w:cs="Times New Roman"/>
          <w:color w:val="auto"/>
          <w:kern w:val="0"/>
          <w:szCs w:val="21"/>
          <w:highlight w:val="none"/>
        </w:rPr>
        <w:t>应</w:t>
      </w:r>
      <w:r>
        <w:rPr>
          <w:rFonts w:hint="eastAsia" w:ascii="宋体" w:hAnsi="宋体" w:eastAsia="宋体" w:cs="宋体"/>
          <w:color w:val="auto"/>
          <w:sz w:val="21"/>
          <w:szCs w:val="21"/>
        </w:rPr>
        <w:t>自合同生效之日起至合同期限届满并完成全部服务义务后</w:t>
      </w:r>
      <w:r>
        <w:rPr>
          <w:rFonts w:hint="eastAsia" w:ascii="宋体" w:hAnsi="宋体" w:eastAsia="宋体" w:cs="宋体"/>
          <w:color w:val="auto"/>
          <w:sz w:val="21"/>
          <w:szCs w:val="21"/>
          <w:lang w:val="zh-CN"/>
        </w:rPr>
        <w:t>二十八（28）</w:t>
      </w:r>
      <w:r>
        <w:rPr>
          <w:rFonts w:hint="eastAsia" w:ascii="宋体" w:hAnsi="宋体" w:eastAsia="宋体" w:cs="宋体"/>
          <w:color w:val="auto"/>
          <w:sz w:val="21"/>
          <w:szCs w:val="21"/>
        </w:rPr>
        <w:t>日内</w:t>
      </w:r>
      <w:r>
        <w:rPr>
          <w:rFonts w:hint="eastAsia" w:ascii="宋体" w:hAnsi="宋体" w:eastAsia="宋体" w:cs="Times New Roman"/>
          <w:color w:val="auto"/>
          <w:kern w:val="0"/>
          <w:szCs w:val="21"/>
          <w:highlight w:val="none"/>
        </w:rPr>
        <w:t>保持有效</w:t>
      </w:r>
      <w:r>
        <w:rPr>
          <w:rFonts w:hint="eastAsia" w:ascii="宋体" w:hAnsi="宋体" w:eastAsia="宋体" w:cs="宋体"/>
          <w:color w:val="FF0000"/>
          <w:kern w:val="0"/>
          <w:szCs w:val="21"/>
          <w:highlight w:val="none"/>
        </w:rPr>
        <w:t>。</w:t>
      </w:r>
    </w:p>
    <w:p w14:paraId="10EE5FFD">
      <w:pPr>
        <w:pStyle w:val="4"/>
        <w:numPr>
          <w:ilvl w:val="0"/>
          <w:numId w:val="0"/>
        </w:numPr>
        <w:rPr>
          <w:rFonts w:hint="eastAsia" w:ascii="宋体" w:hAnsi="宋体" w:eastAsia="宋体" w:cs="宋体"/>
          <w:color w:val="auto"/>
          <w:highlight w:val="none"/>
          <w:lang w:val="en-US" w:eastAsia="zh-CN"/>
        </w:rPr>
      </w:pPr>
    </w:p>
    <w:p w14:paraId="50244A38">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附：《XXX 保险有限公司履约保证保险（X 款）条款》及保单 </w:t>
      </w:r>
    </w:p>
    <w:p w14:paraId="35C7FE5C">
      <w:pPr>
        <w:autoSpaceDE w:val="0"/>
        <w:autoSpaceDN w:val="0"/>
        <w:adjustRightInd w:val="0"/>
        <w:spacing w:line="360" w:lineRule="auto"/>
        <w:ind w:firstLine="437"/>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 xml:space="preserve">                                     </w:t>
      </w:r>
    </w:p>
    <w:p w14:paraId="08F5C7DC">
      <w:pPr>
        <w:autoSpaceDE w:val="0"/>
        <w:autoSpaceDN w:val="0"/>
        <w:adjustRightInd w:val="0"/>
        <w:spacing w:line="360" w:lineRule="auto"/>
        <w:ind w:firstLine="437"/>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                                      保险人：（盖章）</w:t>
      </w:r>
    </w:p>
    <w:p w14:paraId="5190945D">
      <w:pPr>
        <w:autoSpaceDE w:val="0"/>
        <w:autoSpaceDN w:val="0"/>
        <w:adjustRightInd w:val="0"/>
        <w:spacing w:line="360" w:lineRule="auto"/>
        <w:ind w:firstLine="437"/>
        <w:jc w:val="righ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 xml:space="preserve">法定代表人或授权代理人：________ </w:t>
      </w:r>
    </w:p>
    <w:p w14:paraId="5BAD6A54">
      <w:pPr>
        <w:autoSpaceDE w:val="0"/>
        <w:autoSpaceDN w:val="0"/>
        <w:adjustRightInd w:val="0"/>
        <w:spacing w:line="360" w:lineRule="auto"/>
        <w:ind w:firstLine="437"/>
        <w:jc w:val="righ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年 月 日</w:t>
      </w:r>
    </w:p>
    <w:p w14:paraId="123DC392">
      <w:pPr>
        <w:widowControl/>
        <w:autoSpaceDE w:val="0"/>
        <w:autoSpaceDN w:val="0"/>
        <w:adjustRightInd w:val="0"/>
        <w:spacing w:before="100" w:beforeAutospacing="1" w:after="100" w:afterAutospacing="1" w:line="360" w:lineRule="auto"/>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br w:type="page"/>
      </w:r>
    </w:p>
    <w:p w14:paraId="73948859">
      <w:pPr>
        <w:autoSpaceDE w:val="0"/>
        <w:autoSpaceDN w:val="0"/>
        <w:adjustRightInd w:val="0"/>
        <w:spacing w:after="120" w:afterLines="50" w:line="360" w:lineRule="auto"/>
        <w:jc w:val="left"/>
        <w:rPr>
          <w:rFonts w:hint="eastAsia" w:ascii="宋体" w:hAnsi="宋体" w:eastAsia="宋体" w:cs="宋体"/>
          <w:b/>
          <w:kern w:val="0"/>
          <w:sz w:val="28"/>
          <w:szCs w:val="28"/>
          <w:highlight w:val="none"/>
        </w:rPr>
      </w:pPr>
      <w:r>
        <w:rPr>
          <w:rFonts w:hint="eastAsia" w:ascii="宋体" w:hAnsi="宋体" w:eastAsia="宋体" w:cs="宋体"/>
          <w:b/>
          <w:kern w:val="0"/>
          <w:sz w:val="28"/>
          <w:szCs w:val="28"/>
          <w:highlight w:val="none"/>
          <w:lang w:val="en-US" w:eastAsia="zh-CN"/>
        </w:rPr>
        <w:t>三</w:t>
      </w:r>
      <w:r>
        <w:rPr>
          <w:rFonts w:hint="eastAsia" w:ascii="宋体" w:hAnsi="宋体" w:eastAsia="宋体" w:cs="宋体"/>
          <w:b/>
          <w:kern w:val="0"/>
          <w:sz w:val="28"/>
          <w:szCs w:val="28"/>
          <w:highlight w:val="none"/>
        </w:rPr>
        <w:t>、担保公司履约担保书格式</w:t>
      </w:r>
    </w:p>
    <w:p w14:paraId="02E2160D">
      <w:pPr>
        <w:autoSpaceDE w:val="0"/>
        <w:autoSpaceDN w:val="0"/>
        <w:adjustRightInd w:val="0"/>
        <w:jc w:val="center"/>
        <w:rPr>
          <w:rFonts w:hint="eastAsia" w:ascii="宋体" w:hAnsi="宋体" w:eastAsia="宋体" w:cs="宋体"/>
          <w:b/>
          <w:kern w:val="0"/>
          <w:sz w:val="30"/>
          <w:szCs w:val="30"/>
          <w:highlight w:val="none"/>
        </w:rPr>
      </w:pPr>
      <w:r>
        <w:rPr>
          <w:rFonts w:hint="eastAsia" w:ascii="宋体" w:hAnsi="宋体" w:eastAsia="宋体" w:cs="宋体"/>
          <w:b/>
          <w:kern w:val="0"/>
          <w:sz w:val="30"/>
          <w:szCs w:val="30"/>
          <w:highlight w:val="none"/>
        </w:rPr>
        <w:t>担保公司履约担保书</w:t>
      </w:r>
    </w:p>
    <w:p w14:paraId="7BB8D092">
      <w:pPr>
        <w:widowControl/>
        <w:autoSpaceDE w:val="0"/>
        <w:autoSpaceDN w:val="0"/>
        <w:adjustRightInd w:val="0"/>
        <w:spacing w:before="100" w:beforeAutospacing="1" w:after="100" w:afterAutospacing="1" w:line="360" w:lineRule="auto"/>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致：</w:t>
      </w:r>
      <w:r>
        <w:rPr>
          <w:rFonts w:hint="eastAsia" w:ascii="宋体" w:hAnsi="宋体" w:eastAsia="宋体" w:cs="宋体"/>
          <w:b/>
          <w:kern w:val="0"/>
          <w:szCs w:val="21"/>
          <w:highlight w:val="none"/>
          <w:u w:val="single"/>
        </w:rPr>
        <w:t xml:space="preserve">                    </w:t>
      </w:r>
      <w:r>
        <w:rPr>
          <w:rFonts w:hint="eastAsia" w:ascii="宋体" w:hAnsi="宋体" w:eastAsia="宋体" w:cs="宋体"/>
          <w:kern w:val="0"/>
          <w:szCs w:val="21"/>
          <w:highlight w:val="none"/>
        </w:rPr>
        <w:t>（下称“受益人”）</w:t>
      </w:r>
    </w:p>
    <w:p w14:paraId="5354B7B2">
      <w:pPr>
        <w:autoSpaceDE w:val="0"/>
        <w:autoSpaceDN w:val="0"/>
        <w:adjustRightInd w:val="0"/>
        <w:spacing w:line="360" w:lineRule="auto"/>
        <w:ind w:firstLine="437"/>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鉴于</w:t>
      </w:r>
      <w:r>
        <w:rPr>
          <w:rFonts w:hint="eastAsia" w:ascii="宋体" w:hAnsi="宋体" w:eastAsia="宋体" w:cs="宋体"/>
          <w:kern w:val="0"/>
          <w:szCs w:val="21"/>
          <w:highlight w:val="none"/>
          <w:u w:val="single"/>
        </w:rPr>
        <w:t xml:space="preserve">  （申请人的名称与地址）  </w:t>
      </w:r>
      <w:r>
        <w:rPr>
          <w:rFonts w:hint="eastAsia" w:ascii="宋体" w:hAnsi="宋体" w:eastAsia="宋体" w:cs="宋体"/>
          <w:kern w:val="0"/>
          <w:szCs w:val="21"/>
          <w:highlight w:val="none"/>
        </w:rPr>
        <w:t>（下称“申请人”），已保证按拟签订的</w:t>
      </w:r>
      <w:r>
        <w:rPr>
          <w:rFonts w:hint="eastAsia" w:ascii="宋体" w:hAnsi="宋体" w:eastAsia="宋体" w:cs="宋体"/>
          <w:kern w:val="0"/>
          <w:szCs w:val="21"/>
          <w:highlight w:val="none"/>
          <w:u w:val="single"/>
        </w:rPr>
        <w:t xml:space="preserve">          项目（招标编号：        ）</w:t>
      </w:r>
      <w:r>
        <w:rPr>
          <w:rFonts w:hint="eastAsia" w:ascii="宋体" w:hAnsi="宋体" w:eastAsia="宋体" w:cs="宋体"/>
          <w:kern w:val="0"/>
          <w:szCs w:val="21"/>
          <w:highlight w:val="none"/>
        </w:rPr>
        <w:t>合同（招标文件）中规定的义务履行合同。</w:t>
      </w:r>
    </w:p>
    <w:p w14:paraId="2FA58240">
      <w:pPr>
        <w:widowControl/>
        <w:autoSpaceDE w:val="0"/>
        <w:autoSpaceDN w:val="0"/>
        <w:adjustRightInd w:val="0"/>
        <w:spacing w:line="360" w:lineRule="auto"/>
        <w:ind w:firstLine="567" w:firstLineChars="27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根据上述合同（招标文件）规定，申请人应向受益人提供一份金额为人民币（大写）</w:t>
      </w:r>
      <w:r>
        <w:rPr>
          <w:rFonts w:hint="eastAsia" w:ascii="宋体" w:hAnsi="宋体" w:eastAsia="宋体" w:cs="宋体"/>
          <w:kern w:val="0"/>
          <w:szCs w:val="21"/>
          <w:highlight w:val="none"/>
          <w:u w:val="single"/>
        </w:rPr>
        <w:t xml:space="preserve">     （RMB元）</w:t>
      </w:r>
      <w:r>
        <w:rPr>
          <w:rFonts w:hint="eastAsia" w:ascii="宋体" w:hAnsi="宋体" w:eastAsia="宋体" w:cs="宋体"/>
          <w:kern w:val="0"/>
          <w:szCs w:val="21"/>
          <w:highlight w:val="none"/>
        </w:rPr>
        <w:t>的无条件、</w:t>
      </w:r>
      <w:r>
        <w:rPr>
          <w:rFonts w:hint="eastAsia" w:ascii="宋体" w:hAnsi="宋体" w:eastAsia="宋体" w:cs="宋体"/>
          <w:bCs/>
          <w:kern w:val="0"/>
          <w:szCs w:val="21"/>
          <w:highlight w:val="none"/>
        </w:rPr>
        <w:t>不可撤销</w:t>
      </w:r>
      <w:r>
        <w:rPr>
          <w:rFonts w:hint="eastAsia" w:ascii="宋体" w:hAnsi="宋体" w:eastAsia="宋体" w:cs="宋体"/>
          <w:kern w:val="0"/>
          <w:szCs w:val="21"/>
          <w:highlight w:val="none"/>
        </w:rPr>
        <w:t>履约担保，作为申请人履行上述合同的担保，</w:t>
      </w:r>
      <w:r>
        <w:rPr>
          <w:rFonts w:hint="eastAsia" w:ascii="宋体" w:hAnsi="宋体" w:eastAsia="宋体" w:cs="宋体"/>
          <w:kern w:val="0"/>
          <w:szCs w:val="21"/>
          <w:highlight w:val="none"/>
          <w:lang w:eastAsia="zh-Hans"/>
        </w:rPr>
        <w:t>我方</w:t>
      </w:r>
      <w:r>
        <w:rPr>
          <w:rFonts w:hint="eastAsia" w:ascii="宋体" w:hAnsi="宋体" w:eastAsia="宋体" w:cs="宋体"/>
          <w:kern w:val="0"/>
          <w:szCs w:val="21"/>
          <w:highlight w:val="none"/>
          <w:u w:val="single"/>
        </w:rPr>
        <w:t xml:space="preserve">  （担保公司名称）  </w:t>
      </w:r>
      <w:r>
        <w:rPr>
          <w:rFonts w:hint="eastAsia" w:ascii="宋体" w:hAnsi="宋体" w:eastAsia="宋体" w:cs="宋体"/>
          <w:kern w:val="0"/>
          <w:szCs w:val="21"/>
          <w:highlight w:val="none"/>
        </w:rPr>
        <w:t>在</w:t>
      </w:r>
      <w:r>
        <w:rPr>
          <w:rFonts w:hint="eastAsia" w:ascii="宋体" w:hAnsi="宋体" w:eastAsia="宋体" w:cs="宋体"/>
          <w:kern w:val="0"/>
          <w:szCs w:val="21"/>
          <w:highlight w:val="none"/>
          <w:lang w:eastAsia="zh-Hans"/>
        </w:rPr>
        <w:t>本合同项下的保证责任为连带责任保证</w:t>
      </w:r>
      <w:r>
        <w:rPr>
          <w:rFonts w:hint="eastAsia" w:ascii="宋体" w:hAnsi="宋体" w:eastAsia="宋体" w:cs="宋体"/>
          <w:kern w:val="0"/>
          <w:szCs w:val="21"/>
          <w:highlight w:val="none"/>
        </w:rPr>
        <w:t>。</w:t>
      </w:r>
    </w:p>
    <w:p w14:paraId="3B0A2252">
      <w:pPr>
        <w:autoSpaceDE w:val="0"/>
        <w:autoSpaceDN w:val="0"/>
        <w:adjustRightInd w:val="0"/>
        <w:spacing w:line="360" w:lineRule="auto"/>
        <w:ind w:firstLine="437"/>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我方</w:t>
      </w:r>
      <w:r>
        <w:rPr>
          <w:rFonts w:hint="eastAsia" w:ascii="宋体" w:hAnsi="宋体" w:eastAsia="宋体" w:cs="宋体"/>
          <w:kern w:val="0"/>
          <w:szCs w:val="21"/>
          <w:highlight w:val="none"/>
          <w:u w:val="single"/>
        </w:rPr>
        <w:t xml:space="preserve">  （担保公司名称）  </w:t>
      </w:r>
      <w:r>
        <w:rPr>
          <w:rFonts w:hint="eastAsia" w:ascii="宋体" w:hAnsi="宋体" w:eastAsia="宋体" w:cs="宋体"/>
          <w:kern w:val="0"/>
          <w:szCs w:val="21"/>
          <w:highlight w:val="none"/>
        </w:rPr>
        <w:t>，受申请人的委托，无条件和不可撤销地在受益人出具本担保书原件且提出因申请人没有履行上述合同规定，在担保书限额内向受益人支付不超过人民币（大写）_________（¥_______元）的款项。</w:t>
      </w:r>
    </w:p>
    <w:p w14:paraId="18951F86">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hint="eastAsia" w:ascii="宋体" w:hAnsi="宋体" w:eastAsia="宋体" w:cs="宋体"/>
          <w:kern w:val="0"/>
          <w:szCs w:val="21"/>
          <w:highlight w:val="none"/>
        </w:rPr>
        <w:t>我方还同意，任何受益人与申请人之间可能对合同条款的修改、规范或其他合同文件的变动补充，都不能</w:t>
      </w:r>
      <w:r>
        <w:rPr>
          <w:rFonts w:hint="eastAsia" w:ascii="宋体" w:hAnsi="宋体" w:eastAsia="宋体" w:cs="宋体"/>
          <w:color w:val="auto"/>
          <w:kern w:val="0"/>
          <w:szCs w:val="21"/>
          <w:highlight w:val="none"/>
        </w:rPr>
        <w:t>免除我方按本担保函所承担的责任。因此，有关上述变动、补充和修改无须通知或征得我方同意。</w:t>
      </w:r>
    </w:p>
    <w:p w14:paraId="29A5B8ED">
      <w:pPr>
        <w:autoSpaceDE w:val="0"/>
        <w:autoSpaceDN w:val="0"/>
        <w:adjustRightInd w:val="0"/>
        <w:spacing w:line="360" w:lineRule="auto"/>
        <w:ind w:firstLine="437"/>
        <w:jc w:val="left"/>
        <w:rPr>
          <w:rFonts w:hint="eastAsia" w:ascii="宋体" w:hAnsi="宋体" w:eastAsia="宋体" w:cs="宋体"/>
          <w:color w:val="auto"/>
          <w:kern w:val="0"/>
          <w:szCs w:val="21"/>
          <w:highlight w:val="none"/>
        </w:rPr>
      </w:pPr>
      <w:r>
        <w:rPr>
          <w:rFonts w:ascii="宋体" w:hAnsi="宋体" w:eastAsia="宋体" w:cs="Times New Roman"/>
          <w:color w:val="auto"/>
          <w:kern w:val="0"/>
          <w:szCs w:val="21"/>
          <w:highlight w:val="none"/>
        </w:rPr>
        <w:t>本保函</w:t>
      </w:r>
      <w:r>
        <w:rPr>
          <w:rFonts w:hint="eastAsia" w:ascii="宋体" w:hAnsi="宋体" w:eastAsia="宋体" w:cs="Times New Roman"/>
          <w:color w:val="auto"/>
          <w:kern w:val="0"/>
          <w:szCs w:val="21"/>
          <w:highlight w:val="none"/>
        </w:rPr>
        <w:t>应</w:t>
      </w:r>
      <w:r>
        <w:rPr>
          <w:rFonts w:hint="eastAsia" w:ascii="宋体" w:hAnsi="宋体" w:eastAsia="宋体" w:cs="宋体"/>
          <w:color w:val="auto"/>
          <w:sz w:val="21"/>
          <w:szCs w:val="21"/>
        </w:rPr>
        <w:t>自合同生效之日起至合同期限届满并完成全部服务义务后</w:t>
      </w:r>
      <w:r>
        <w:rPr>
          <w:rFonts w:hint="eastAsia" w:ascii="宋体" w:hAnsi="宋体" w:eastAsia="宋体" w:cs="宋体"/>
          <w:color w:val="auto"/>
          <w:sz w:val="21"/>
          <w:szCs w:val="21"/>
          <w:lang w:val="zh-CN"/>
        </w:rPr>
        <w:t>二十八（28）</w:t>
      </w:r>
      <w:r>
        <w:rPr>
          <w:rFonts w:hint="eastAsia" w:ascii="宋体" w:hAnsi="宋体" w:eastAsia="宋体" w:cs="宋体"/>
          <w:color w:val="auto"/>
          <w:sz w:val="21"/>
          <w:szCs w:val="21"/>
        </w:rPr>
        <w:t>日内</w:t>
      </w:r>
      <w:r>
        <w:rPr>
          <w:rFonts w:hint="eastAsia" w:ascii="宋体" w:hAnsi="宋体" w:eastAsia="宋体" w:cs="Times New Roman"/>
          <w:color w:val="auto"/>
          <w:kern w:val="0"/>
          <w:szCs w:val="21"/>
          <w:highlight w:val="none"/>
        </w:rPr>
        <w:t>保持有效</w:t>
      </w:r>
      <w:r>
        <w:rPr>
          <w:rFonts w:hint="eastAsia" w:ascii="宋体" w:hAnsi="宋体" w:eastAsia="宋体" w:cs="宋体"/>
          <w:color w:val="auto"/>
          <w:kern w:val="0"/>
          <w:szCs w:val="21"/>
          <w:highlight w:val="none"/>
        </w:rPr>
        <w:t>。</w:t>
      </w:r>
    </w:p>
    <w:p w14:paraId="136C9FB5">
      <w:pPr>
        <w:autoSpaceDE w:val="0"/>
        <w:autoSpaceDN w:val="0"/>
        <w:adjustRightInd w:val="0"/>
        <w:spacing w:line="360" w:lineRule="auto"/>
        <w:jc w:val="left"/>
        <w:rPr>
          <w:rFonts w:hint="eastAsia" w:ascii="宋体" w:hAnsi="宋体" w:eastAsia="宋体" w:cs="宋体"/>
          <w:kern w:val="0"/>
          <w:szCs w:val="21"/>
          <w:highlight w:val="none"/>
        </w:rPr>
      </w:pPr>
    </w:p>
    <w:p w14:paraId="7ADBCB1D">
      <w:pPr>
        <w:autoSpaceDE w:val="0"/>
        <w:autoSpaceDN w:val="0"/>
        <w:adjustRightInd w:val="0"/>
        <w:spacing w:line="360" w:lineRule="auto"/>
        <w:ind w:firstLine="3990" w:firstLineChars="19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法定代表人或其授权的代理人：（签字或盖私章）</w:t>
      </w:r>
    </w:p>
    <w:p w14:paraId="06C56988">
      <w:pPr>
        <w:autoSpaceDE w:val="0"/>
        <w:autoSpaceDN w:val="0"/>
        <w:adjustRightInd w:val="0"/>
        <w:spacing w:line="360" w:lineRule="auto"/>
        <w:ind w:firstLine="3990" w:firstLineChars="19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担保公司盖章：</w:t>
      </w:r>
    </w:p>
    <w:p w14:paraId="07FA5C23">
      <w:pPr>
        <w:autoSpaceDE w:val="0"/>
        <w:autoSpaceDN w:val="0"/>
        <w:adjustRightInd w:val="0"/>
        <w:spacing w:line="360" w:lineRule="auto"/>
        <w:ind w:firstLine="3990" w:firstLineChars="19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联系电话：</w:t>
      </w:r>
    </w:p>
    <w:p w14:paraId="7CFE4DFE">
      <w:pPr>
        <w:autoSpaceDE w:val="0"/>
        <w:autoSpaceDN w:val="0"/>
        <w:adjustRightInd w:val="0"/>
        <w:spacing w:line="360" w:lineRule="auto"/>
        <w:ind w:firstLine="3990" w:firstLineChars="19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地址：</w:t>
      </w:r>
    </w:p>
    <w:p w14:paraId="4AF9ECC2">
      <w:pPr>
        <w:autoSpaceDE w:val="0"/>
        <w:autoSpaceDN w:val="0"/>
        <w:adjustRightInd w:val="0"/>
        <w:spacing w:line="360" w:lineRule="auto"/>
        <w:ind w:firstLine="3990" w:firstLineChars="19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日期：    年   月   日</w:t>
      </w:r>
    </w:p>
    <w:p w14:paraId="78C3FF0E">
      <w:pPr>
        <w:autoSpaceDE w:val="0"/>
        <w:autoSpaceDN w:val="0"/>
        <w:adjustRightInd w:val="0"/>
        <w:spacing w:line="360" w:lineRule="auto"/>
        <w:ind w:right="368" w:rightChars="175"/>
        <w:jc w:val="left"/>
        <w:rPr>
          <w:rFonts w:hint="eastAsia" w:ascii="宋体" w:hAnsi="宋体" w:eastAsia="宋体" w:cs="宋体"/>
          <w:kern w:val="0"/>
          <w:szCs w:val="21"/>
          <w:highlight w:val="none"/>
        </w:rPr>
      </w:pPr>
    </w:p>
    <w:p w14:paraId="7714B6C4">
      <w:pPr>
        <w:autoSpaceDE w:val="0"/>
        <w:autoSpaceDN w:val="0"/>
        <w:adjustRightInd w:val="0"/>
        <w:spacing w:line="360" w:lineRule="auto"/>
        <w:jc w:val="left"/>
        <w:rPr>
          <w:rFonts w:hint="eastAsia" w:ascii="宋体" w:hAnsi="宋体" w:eastAsia="宋体" w:cs="宋体"/>
          <w:kern w:val="0"/>
          <w:szCs w:val="21"/>
          <w:highlight w:val="none"/>
        </w:rPr>
      </w:pPr>
    </w:p>
    <w:p w14:paraId="1FA8772B">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46ADB1B6">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7320CADB">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4FE49442">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5AB07411">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21D6B93F">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0388C5FD">
      <w:pPr>
        <w:autoSpaceDE w:val="0"/>
        <w:autoSpaceDN w:val="0"/>
        <w:adjustRightInd w:val="0"/>
        <w:spacing w:line="360" w:lineRule="auto"/>
        <w:ind w:firstLine="5775" w:firstLineChars="2750"/>
        <w:jc w:val="left"/>
        <w:rPr>
          <w:rFonts w:hint="eastAsia" w:ascii="宋体" w:hAnsi="宋体" w:eastAsia="宋体" w:cs="宋体"/>
          <w:kern w:val="0"/>
          <w:szCs w:val="21"/>
          <w:highlight w:val="none"/>
        </w:rPr>
      </w:pPr>
    </w:p>
    <w:p w14:paraId="363466C6">
      <w:pPr>
        <w:autoSpaceDE w:val="0"/>
        <w:autoSpaceDN w:val="0"/>
        <w:adjustRightInd w:val="0"/>
        <w:spacing w:line="360" w:lineRule="auto"/>
        <w:ind w:firstLine="420" w:firstLineChars="200"/>
        <w:jc w:val="left"/>
        <w:rPr>
          <w:rFonts w:hint="eastAsia" w:ascii="宋体" w:hAnsi="宋体" w:eastAsia="宋体" w:cs="宋体"/>
          <w:kern w:val="0"/>
          <w:szCs w:val="21"/>
          <w:highlight w:val="none"/>
        </w:rPr>
      </w:pPr>
    </w:p>
    <w:p w14:paraId="45D78933">
      <w:pPr>
        <w:pageBreakBefore/>
        <w:numPr>
          <w:ilvl w:val="0"/>
          <w:numId w:val="2"/>
        </w:numPr>
        <w:tabs>
          <w:tab w:val="left" w:pos="1080"/>
        </w:tabs>
        <w:autoSpaceDE w:val="0"/>
        <w:autoSpaceDN w:val="0"/>
        <w:adjustRightInd w:val="0"/>
        <w:spacing w:line="360" w:lineRule="auto"/>
        <w:ind w:left="357" w:leftChars="-100" w:hanging="567"/>
        <w:jc w:val="center"/>
        <w:outlineLvl w:val="0"/>
        <w:rPr>
          <w:rFonts w:hint="eastAsia" w:ascii="宋体" w:hAnsi="宋体" w:eastAsia="宋体" w:cs="宋体"/>
          <w:b/>
          <w:bCs/>
          <w:kern w:val="44"/>
          <w:sz w:val="32"/>
          <w:szCs w:val="32"/>
          <w:highlight w:val="none"/>
          <w:lang w:val="zh-CN"/>
        </w:rPr>
      </w:pPr>
      <w:bookmarkStart w:id="469" w:name="_Toc9840"/>
      <w:bookmarkStart w:id="470" w:name="_Toc32761_WPSOffice_Level1"/>
      <w:bookmarkStart w:id="471" w:name="_Toc142508361"/>
      <w:bookmarkStart w:id="472" w:name="_Toc25246"/>
      <w:bookmarkStart w:id="473" w:name="_Toc486167708"/>
      <w:bookmarkStart w:id="474" w:name="_Toc450662895"/>
      <w:bookmarkStart w:id="475" w:name="_Toc15817"/>
      <w:r>
        <w:rPr>
          <w:rFonts w:hint="eastAsia" w:ascii="宋体" w:hAnsi="宋体" w:eastAsia="宋体" w:cs="宋体"/>
          <w:b/>
          <w:bCs/>
          <w:kern w:val="44"/>
          <w:sz w:val="32"/>
          <w:szCs w:val="32"/>
          <w:highlight w:val="none"/>
          <w:lang w:val="zh-CN"/>
        </w:rPr>
        <w:t>投标文件格式</w:t>
      </w:r>
      <w:bookmarkEnd w:id="469"/>
      <w:bookmarkEnd w:id="470"/>
      <w:bookmarkEnd w:id="471"/>
      <w:bookmarkEnd w:id="472"/>
      <w:bookmarkEnd w:id="473"/>
      <w:bookmarkEnd w:id="474"/>
      <w:bookmarkEnd w:id="475"/>
    </w:p>
    <w:p w14:paraId="4F96E705">
      <w:pPr>
        <w:pStyle w:val="45"/>
        <w:numPr>
          <w:ilvl w:val="0"/>
          <w:numId w:val="0"/>
        </w:numPr>
        <w:jc w:val="center"/>
        <w:rPr>
          <w:rFonts w:hint="eastAsia" w:ascii="宋体" w:hAnsi="宋体" w:eastAsia="宋体" w:cs="宋体"/>
          <w:b/>
          <w:bCs w:val="0"/>
          <w:sz w:val="32"/>
          <w:szCs w:val="32"/>
          <w:lang w:val="en-US" w:eastAsia="zh-CN"/>
        </w:rPr>
      </w:pPr>
      <w:r>
        <w:rPr>
          <w:rFonts w:hint="eastAsia" w:ascii="宋体" w:hAnsi="宋体" w:eastAsia="宋体" w:cs="宋体"/>
          <w:b/>
          <w:bCs w:val="0"/>
          <w:sz w:val="32"/>
          <w:szCs w:val="32"/>
          <w:lang w:val="en-US" w:eastAsia="zh-CN"/>
        </w:rPr>
        <w:t>一 商务标格式</w:t>
      </w:r>
    </w:p>
    <w:p w14:paraId="4A31F276">
      <w:pPr>
        <w:rPr>
          <w:rFonts w:hint="eastAsia" w:ascii="宋体" w:hAnsi="宋体" w:eastAsia="宋体" w:cs="宋体"/>
          <w:color w:val="FF0000"/>
          <w:sz w:val="84"/>
          <w:highlight w:val="none"/>
        </w:rPr>
      </w:pPr>
      <w:bookmarkStart w:id="476" w:name="_Toc102860067"/>
      <w:bookmarkStart w:id="477" w:name="_Toc140596921"/>
      <w:bookmarkStart w:id="478" w:name="_Toc102860411"/>
      <w:bookmarkStart w:id="479" w:name="_Toc142508362"/>
      <w:bookmarkStart w:id="480" w:name="_Toc21133_WPSOffice_Level2"/>
      <w:bookmarkStart w:id="481" w:name="_Toc94107202"/>
      <w:bookmarkStart w:id="482" w:name="_Toc486167709"/>
      <w:bookmarkStart w:id="483" w:name="_Toc533708121"/>
      <w:bookmarkStart w:id="484" w:name="_Toc104991868"/>
      <w:bookmarkStart w:id="485" w:name="_Toc1977721"/>
      <w:r>
        <w:rPr>
          <w:rFonts w:hint="eastAsia" w:ascii="宋体" w:hAnsi="宋体" w:eastAsia="宋体" w:cs="宋体"/>
          <w:b/>
          <w:kern w:val="0"/>
          <w:sz w:val="32"/>
          <w:szCs w:val="32"/>
          <w:highlight w:val="none"/>
        </w:rPr>
        <w:br w:type="page"/>
      </w:r>
    </w:p>
    <w:p w14:paraId="34990E05">
      <w:pPr>
        <w:pStyle w:val="20"/>
        <w:spacing w:line="360" w:lineRule="auto"/>
        <w:jc w:val="center"/>
        <w:rPr>
          <w:rFonts w:hint="eastAsia" w:ascii="宋体" w:hAnsi="宋体" w:eastAsia="宋体" w:cs="宋体"/>
          <w:color w:val="FF0000"/>
          <w:sz w:val="84"/>
          <w:highlight w:val="none"/>
        </w:rPr>
      </w:pPr>
    </w:p>
    <w:p w14:paraId="07FEC427">
      <w:pPr>
        <w:pStyle w:val="20"/>
        <w:spacing w:line="360" w:lineRule="auto"/>
        <w:jc w:val="center"/>
        <w:rPr>
          <w:rFonts w:hint="eastAsia" w:ascii="宋体" w:hAnsi="宋体" w:eastAsia="宋体" w:cs="宋体"/>
          <w:color w:val="FF0000"/>
          <w:sz w:val="84"/>
          <w:highlight w:val="none"/>
        </w:rPr>
      </w:pPr>
    </w:p>
    <w:p w14:paraId="3336DD37">
      <w:pPr>
        <w:pStyle w:val="20"/>
        <w:spacing w:line="360" w:lineRule="auto"/>
        <w:jc w:val="center"/>
        <w:rPr>
          <w:rFonts w:hint="eastAsia" w:ascii="宋体" w:hAnsi="宋体" w:eastAsia="宋体" w:cs="宋体"/>
          <w:color w:val="auto"/>
          <w:sz w:val="84"/>
          <w:highlight w:val="none"/>
        </w:rPr>
      </w:pPr>
      <w:r>
        <w:rPr>
          <w:rFonts w:hint="eastAsia" w:ascii="宋体" w:hAnsi="宋体" w:eastAsia="宋体" w:cs="宋体"/>
          <w:color w:val="auto"/>
          <w:sz w:val="84"/>
          <w:highlight w:val="none"/>
        </w:rPr>
        <w:t>投 标 文 件</w:t>
      </w:r>
    </w:p>
    <w:p w14:paraId="3888C1D4">
      <w:pPr>
        <w:pStyle w:val="20"/>
        <w:spacing w:line="360" w:lineRule="auto"/>
        <w:rPr>
          <w:rFonts w:hint="eastAsia" w:ascii="宋体" w:hAnsi="宋体" w:eastAsia="宋体" w:cs="宋体"/>
          <w:color w:val="auto"/>
          <w:highlight w:val="none"/>
        </w:rPr>
      </w:pPr>
    </w:p>
    <w:p w14:paraId="216479B6">
      <w:pPr>
        <w:pStyle w:val="20"/>
        <w:spacing w:line="360" w:lineRule="auto"/>
        <w:rPr>
          <w:rFonts w:hint="eastAsia" w:ascii="宋体" w:hAnsi="宋体" w:eastAsia="宋体" w:cs="宋体"/>
          <w:color w:val="auto"/>
          <w:highlight w:val="none"/>
        </w:rPr>
      </w:pPr>
    </w:p>
    <w:p w14:paraId="58C700AE">
      <w:pPr>
        <w:pStyle w:val="20"/>
        <w:spacing w:line="360" w:lineRule="auto"/>
        <w:rPr>
          <w:rFonts w:hint="eastAsia" w:ascii="宋体" w:hAnsi="宋体" w:eastAsia="宋体" w:cs="宋体"/>
          <w:color w:val="auto"/>
          <w:highlight w:val="none"/>
        </w:rPr>
      </w:pPr>
    </w:p>
    <w:p w14:paraId="4AD56E3C">
      <w:pPr>
        <w:pStyle w:val="20"/>
        <w:spacing w:line="360" w:lineRule="auto"/>
        <w:rPr>
          <w:rFonts w:hint="eastAsia" w:ascii="宋体" w:hAnsi="宋体" w:eastAsia="宋体" w:cs="宋体"/>
          <w:color w:val="auto"/>
          <w:highlight w:val="none"/>
        </w:rPr>
      </w:pPr>
    </w:p>
    <w:p w14:paraId="11F678F7">
      <w:pPr>
        <w:pStyle w:val="20"/>
        <w:spacing w:line="360" w:lineRule="auto"/>
        <w:rPr>
          <w:rFonts w:hint="eastAsia" w:ascii="宋体" w:hAnsi="宋体" w:eastAsia="宋体" w:cs="宋体"/>
          <w:color w:val="auto"/>
          <w:highlight w:val="none"/>
        </w:rPr>
      </w:pPr>
    </w:p>
    <w:p w14:paraId="769A0AE0">
      <w:pPr>
        <w:pStyle w:val="20"/>
        <w:spacing w:line="360" w:lineRule="auto"/>
        <w:rPr>
          <w:rFonts w:hint="eastAsia" w:ascii="宋体" w:hAnsi="宋体" w:eastAsia="宋体" w:cs="宋体"/>
          <w:color w:val="auto"/>
          <w:highlight w:val="none"/>
        </w:rPr>
      </w:pPr>
    </w:p>
    <w:p w14:paraId="67BDDA80">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招标编号：</w:t>
      </w:r>
      <w:r>
        <w:rPr>
          <w:rFonts w:hint="eastAsia" w:ascii="宋体" w:hAnsi="宋体" w:eastAsia="宋体" w:cs="宋体"/>
          <w:color w:val="auto"/>
          <w:sz w:val="30"/>
          <w:highlight w:val="none"/>
          <w:u w:val="single"/>
        </w:rPr>
        <w:t xml:space="preserve">                      </w:t>
      </w:r>
    </w:p>
    <w:p w14:paraId="0F5FB211">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项目名称：</w:t>
      </w:r>
      <w:r>
        <w:rPr>
          <w:rFonts w:hint="eastAsia" w:ascii="宋体" w:hAnsi="宋体" w:eastAsia="宋体" w:cs="宋体"/>
          <w:color w:val="auto"/>
          <w:sz w:val="30"/>
          <w:highlight w:val="none"/>
          <w:u w:val="single"/>
        </w:rPr>
        <w:t xml:space="preserve">                      </w:t>
      </w:r>
    </w:p>
    <w:p w14:paraId="7F31C0CE">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投标文件内容：</w:t>
      </w:r>
      <w:r>
        <w:rPr>
          <w:rFonts w:hint="eastAsia" w:ascii="宋体" w:hAnsi="宋体" w:eastAsia="宋体" w:cs="宋体"/>
          <w:color w:val="auto"/>
          <w:sz w:val="30"/>
          <w:highlight w:val="none"/>
          <w:u w:val="single"/>
        </w:rPr>
        <w:t xml:space="preserve"> 投标文件商务标 </w:t>
      </w:r>
    </w:p>
    <w:p w14:paraId="11870425">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招标人：</w:t>
      </w:r>
      <w:r>
        <w:rPr>
          <w:rFonts w:hint="eastAsia" w:ascii="宋体" w:hAnsi="宋体" w:eastAsia="宋体" w:cs="宋体"/>
          <w:color w:val="auto"/>
          <w:sz w:val="30"/>
          <w:highlight w:val="none"/>
          <w:u w:val="single"/>
        </w:rPr>
        <w:t xml:space="preserve">                        </w:t>
      </w:r>
    </w:p>
    <w:p w14:paraId="03547F73">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投标人：</w:t>
      </w:r>
      <w:r>
        <w:rPr>
          <w:rFonts w:hint="eastAsia" w:ascii="宋体" w:hAnsi="宋体" w:eastAsia="宋体" w:cs="宋体"/>
          <w:color w:val="auto"/>
          <w:sz w:val="30"/>
          <w:highlight w:val="none"/>
          <w:u w:val="single"/>
        </w:rPr>
        <w:t xml:space="preserve">    （企业数字证书电子签名）   </w:t>
      </w:r>
    </w:p>
    <w:p w14:paraId="5F807BC4">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日  期：</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年</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月</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日</w:t>
      </w:r>
    </w:p>
    <w:p w14:paraId="0CCE9233">
      <w:pPr>
        <w:pStyle w:val="20"/>
        <w:spacing w:line="360" w:lineRule="auto"/>
        <w:rPr>
          <w:rFonts w:hint="eastAsia" w:ascii="宋体" w:hAnsi="宋体" w:eastAsia="宋体" w:cs="宋体"/>
          <w:color w:val="auto"/>
          <w:highlight w:val="none"/>
        </w:rPr>
      </w:pPr>
    </w:p>
    <w:p w14:paraId="7FCBB2A8">
      <w:pPr>
        <w:pStyle w:val="2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EDAC383">
      <w:pPr>
        <w:pStyle w:val="20"/>
        <w:spacing w:line="500" w:lineRule="exact"/>
        <w:jc w:val="center"/>
        <w:outlineLvl w:val="2"/>
        <w:rPr>
          <w:rFonts w:hint="eastAsia" w:ascii="宋体" w:hAnsi="宋体" w:eastAsia="宋体" w:cs="宋体"/>
          <w:b/>
          <w:bCs/>
          <w:color w:val="auto"/>
          <w:sz w:val="24"/>
          <w:szCs w:val="24"/>
          <w:highlight w:val="none"/>
        </w:rPr>
      </w:pPr>
      <w:bookmarkStart w:id="486" w:name="_Toc195714374"/>
      <w:bookmarkStart w:id="487" w:name="_Toc17612"/>
      <w:bookmarkStart w:id="488" w:name="_Toc25406"/>
      <w:bookmarkStart w:id="489" w:name="_Toc31361"/>
      <w:bookmarkStart w:id="490" w:name="_Toc16205"/>
      <w:bookmarkStart w:id="491" w:name="_Toc10999"/>
      <w:r>
        <w:rPr>
          <w:rFonts w:hint="eastAsia" w:ascii="宋体" w:hAnsi="宋体" w:eastAsia="宋体" w:cs="宋体"/>
          <w:b/>
          <w:bCs/>
          <w:color w:val="auto"/>
          <w:sz w:val="24"/>
          <w:szCs w:val="24"/>
          <w:highlight w:val="none"/>
        </w:rPr>
        <w:t>目录</w:t>
      </w:r>
      <w:bookmarkEnd w:id="486"/>
      <w:bookmarkEnd w:id="487"/>
      <w:bookmarkEnd w:id="488"/>
      <w:bookmarkEnd w:id="489"/>
      <w:bookmarkEnd w:id="490"/>
      <w:bookmarkEnd w:id="491"/>
    </w:p>
    <w:p w14:paraId="2C76AAD5">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一、投标函；</w:t>
      </w:r>
    </w:p>
    <w:p w14:paraId="63C81576">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二、投标承诺书；</w:t>
      </w:r>
    </w:p>
    <w:p w14:paraId="4F711951">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三、供货及/或提供服务过程承诺函；</w:t>
      </w:r>
    </w:p>
    <w:p w14:paraId="1D209E35">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四</w:t>
      </w:r>
      <w:r>
        <w:rPr>
          <w:rFonts w:hint="eastAsia" w:ascii="宋体" w:hAnsi="宋体" w:eastAsia="宋体" w:cs="宋体"/>
          <w:b/>
          <w:bCs/>
          <w:color w:val="auto"/>
          <w:szCs w:val="21"/>
          <w:highlight w:val="none"/>
        </w:rPr>
        <w:t>、投标人资格证明文件：</w:t>
      </w:r>
    </w:p>
    <w:p w14:paraId="21ACFBFB">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outlineLvl w:val="2"/>
        <w:rPr>
          <w:rFonts w:hint="eastAsia" w:ascii="宋体" w:hAnsi="宋体" w:eastAsia="宋体" w:cs="宋体"/>
          <w:b/>
          <w:bCs/>
          <w:color w:val="auto"/>
          <w:szCs w:val="21"/>
          <w:highlight w:val="none"/>
        </w:rPr>
      </w:pPr>
      <w:bookmarkStart w:id="492" w:name="_Toc27282"/>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szCs w:val="21"/>
          <w:highlight w:val="none"/>
        </w:rPr>
        <w:t xml:space="preserve">.1 </w:t>
      </w:r>
      <w:r>
        <w:rPr>
          <w:rFonts w:ascii="宋体" w:hAnsi="宋体" w:eastAsia="宋体" w:cs="Times New Roman"/>
          <w:b/>
          <w:bCs/>
          <w:szCs w:val="21"/>
          <w:highlight w:val="none"/>
          <w:lang w:val="zh-CN"/>
        </w:rPr>
        <w:t>多证合一营业执照</w:t>
      </w:r>
      <w:r>
        <w:rPr>
          <w:rFonts w:hint="eastAsia" w:ascii="宋体" w:hAnsi="宋体" w:eastAsia="宋体" w:cs="Times New Roman"/>
          <w:b/>
          <w:bCs/>
          <w:kern w:val="0"/>
          <w:szCs w:val="21"/>
          <w:highlight w:val="none"/>
        </w:rPr>
        <w:t>（或事业单位</w:t>
      </w:r>
      <w:r>
        <w:rPr>
          <w:rFonts w:hint="eastAsia" w:ascii="宋体" w:hAnsi="宋体" w:eastAsia="宋体" w:cs="Times New Roman"/>
          <w:b/>
          <w:bCs/>
          <w:color w:val="auto"/>
          <w:kern w:val="0"/>
          <w:szCs w:val="21"/>
          <w:highlight w:val="none"/>
        </w:rPr>
        <w:t>法人证书）</w:t>
      </w:r>
      <w:r>
        <w:rPr>
          <w:rFonts w:hint="eastAsia" w:ascii="宋体" w:hAnsi="宋体" w:eastAsia="宋体" w:cs="Times New Roman"/>
          <w:b/>
          <w:bCs/>
          <w:color w:val="auto"/>
          <w:szCs w:val="21"/>
          <w:highlight w:val="none"/>
          <w:lang w:val="zh-CN"/>
        </w:rPr>
        <w:t>扫描件</w:t>
      </w:r>
      <w:r>
        <w:rPr>
          <w:rFonts w:ascii="宋体" w:hAnsi="宋体" w:eastAsia="宋体" w:cs="Times New Roman"/>
          <w:b/>
          <w:bCs/>
          <w:color w:val="auto"/>
          <w:szCs w:val="21"/>
          <w:highlight w:val="none"/>
          <w:lang w:val="zh-CN"/>
        </w:rPr>
        <w:t>；</w:t>
      </w:r>
      <w:r>
        <w:rPr>
          <w:rFonts w:hint="eastAsia" w:ascii="宋体" w:hAnsi="宋体" w:eastAsia="宋体" w:cs="宋体"/>
          <w:b/>
          <w:bCs/>
          <w:color w:val="auto"/>
          <w:kern w:val="2"/>
          <w:sz w:val="21"/>
          <w:szCs w:val="21"/>
          <w:lang w:val="zh-CN"/>
        </w:rPr>
        <w:t>（分支机构投标的，还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r>
        <w:rPr>
          <w:rFonts w:hint="eastAsia" w:ascii="宋体" w:hAnsi="宋体" w:eastAsia="宋体" w:cs="宋体"/>
          <w:b/>
          <w:bCs/>
          <w:color w:val="auto"/>
          <w:szCs w:val="21"/>
          <w:highlight w:val="none"/>
        </w:rPr>
        <w:t>；</w:t>
      </w:r>
      <w:bookmarkEnd w:id="492"/>
    </w:p>
    <w:p w14:paraId="1426EFBD">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szCs w:val="21"/>
          <w:highlight w:val="none"/>
        </w:rPr>
        <w:t xml:space="preserve">.2 </w:t>
      </w:r>
      <w:r>
        <w:rPr>
          <w:rFonts w:ascii="宋体" w:hAnsi="宋体" w:eastAsia="宋体" w:cs="Times New Roman"/>
          <w:b/>
          <w:bCs/>
          <w:color w:val="auto"/>
          <w:szCs w:val="21"/>
          <w:highlight w:val="none"/>
          <w:lang w:val="zh-CN"/>
        </w:rPr>
        <w:t>开户许可证</w:t>
      </w:r>
      <w:r>
        <w:rPr>
          <w:rFonts w:hint="eastAsia" w:ascii="宋体" w:hAnsi="宋体" w:eastAsia="宋体" w:cs="Times New Roman"/>
          <w:b/>
          <w:bCs/>
          <w:color w:val="auto"/>
          <w:szCs w:val="21"/>
          <w:highlight w:val="none"/>
          <w:lang w:val="zh-CN"/>
        </w:rPr>
        <w:t>扫描件</w:t>
      </w:r>
      <w:r>
        <w:rPr>
          <w:rFonts w:ascii="宋体" w:hAnsi="宋体" w:eastAsia="宋体" w:cs="Times New Roman"/>
          <w:b/>
          <w:bCs/>
          <w:color w:val="auto"/>
          <w:szCs w:val="21"/>
          <w:highlight w:val="none"/>
          <w:lang w:val="zh-CN"/>
        </w:rPr>
        <w:t>（基本存款账户）</w:t>
      </w:r>
      <w:r>
        <w:rPr>
          <w:rFonts w:hint="eastAsia" w:ascii="宋体" w:hAnsi="宋体" w:eastAsia="宋体" w:cs="Times New Roman"/>
          <w:b/>
          <w:bCs/>
          <w:color w:val="auto"/>
          <w:szCs w:val="21"/>
          <w:highlight w:val="none"/>
          <w:lang w:val="zh-CN"/>
        </w:rPr>
        <w:t>，如投标人企业银行账户开户所在地区已取消企业银行账户许可，投标人应提供基本存款账户开户名称、开户银行、账号、编号等信息及相关备案证明（如有）或其他能证明其为基本存款账户的资料扫描件</w:t>
      </w:r>
      <w:r>
        <w:rPr>
          <w:rFonts w:hint="eastAsia" w:ascii="宋体" w:hAnsi="宋体" w:eastAsia="宋体" w:cs="宋体"/>
          <w:b/>
          <w:bCs/>
          <w:color w:val="auto"/>
          <w:szCs w:val="21"/>
          <w:highlight w:val="none"/>
        </w:rPr>
        <w:t>；</w:t>
      </w:r>
    </w:p>
    <w:p w14:paraId="51FA5DFF">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szCs w:val="21"/>
          <w:highlight w:val="none"/>
        </w:rPr>
        <w:t xml:space="preserve">.3 </w:t>
      </w:r>
      <w:r>
        <w:rPr>
          <w:rFonts w:hint="eastAsia" w:ascii="宋体" w:hAnsi="宋体" w:eastAsia="宋体" w:cs="宋体"/>
          <w:b/>
          <w:bCs/>
          <w:color w:val="auto"/>
          <w:sz w:val="21"/>
          <w:szCs w:val="21"/>
        </w:rPr>
        <w:t>公司债主承销商及服务资质（须提供《经营证券期货业务许可证》</w:t>
      </w:r>
      <w:r>
        <w:rPr>
          <w:rFonts w:hint="eastAsia" w:ascii="宋体" w:hAnsi="宋体" w:eastAsia="宋体" w:cs="宋体"/>
          <w:b/>
          <w:bCs/>
          <w:color w:val="auto"/>
          <w:sz w:val="21"/>
          <w:szCs w:val="21"/>
          <w:lang w:eastAsia="zh-CN"/>
        </w:rPr>
        <w:t>扫描件</w:t>
      </w:r>
      <w:r>
        <w:rPr>
          <w:rFonts w:hint="eastAsia" w:ascii="宋体" w:hAnsi="宋体" w:eastAsia="宋体" w:cs="宋体"/>
          <w:b/>
          <w:bCs/>
          <w:color w:val="auto"/>
          <w:sz w:val="21"/>
          <w:szCs w:val="21"/>
        </w:rPr>
        <w:t>）</w:t>
      </w:r>
    </w:p>
    <w:p w14:paraId="52B92CBE">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4.4</w:t>
      </w:r>
      <w:r>
        <w:rPr>
          <w:rFonts w:hint="eastAsia" w:ascii="宋体" w:hAnsi="宋体" w:eastAsia="宋体" w:cs="宋体"/>
          <w:b/>
          <w:bCs/>
          <w:color w:val="auto"/>
          <w:szCs w:val="21"/>
          <w:highlight w:val="none"/>
        </w:rPr>
        <w:t>法定代表人身份证明书原件扫描件和法定代表人授权书原件扫描件（法定代表人投标时只提供法定代表人身份证明书，委托他人为投标代表时同时提供法定代表人授权书）；</w:t>
      </w:r>
    </w:p>
    <w:p w14:paraId="2B0E3CC0">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 xml:space="preserve">4.5 </w:t>
      </w:r>
      <w:r>
        <w:rPr>
          <w:rFonts w:hint="eastAsia" w:ascii="宋体" w:hAnsi="宋体" w:eastAsia="宋体" w:cs="宋体"/>
          <w:b/>
          <w:bCs/>
          <w:color w:val="auto"/>
          <w:szCs w:val="21"/>
          <w:highlight w:val="none"/>
        </w:rPr>
        <w:t>资格业绩【</w:t>
      </w:r>
      <w:r>
        <w:rPr>
          <w:rFonts w:hint="eastAsia" w:ascii="宋体" w:hAnsi="宋体" w:eastAsia="宋体"/>
          <w:b/>
          <w:bCs/>
          <w:color w:val="auto"/>
          <w:szCs w:val="21"/>
          <w:highlight w:val="none"/>
        </w:rPr>
        <w:t>投标人提供一份</w:t>
      </w:r>
      <w:r>
        <w:rPr>
          <w:rFonts w:hint="eastAsia" w:ascii="宋体" w:hAnsi="宋体" w:eastAsia="宋体"/>
          <w:b/>
          <w:bCs/>
          <w:color w:val="auto"/>
          <w:szCs w:val="21"/>
          <w:highlight w:val="none"/>
          <w:lang w:val="en-US" w:eastAsia="zh-CN"/>
        </w:rPr>
        <w:t>2022年1月1日</w:t>
      </w:r>
      <w:r>
        <w:rPr>
          <w:rFonts w:hint="eastAsia" w:ascii="宋体" w:hAnsi="宋体" w:eastAsia="宋体"/>
          <w:b/>
          <w:bCs/>
          <w:color w:val="auto"/>
          <w:szCs w:val="21"/>
          <w:highlight w:val="none"/>
        </w:rPr>
        <w:t>以来</w:t>
      </w:r>
      <w:r>
        <w:rPr>
          <w:rFonts w:hint="eastAsia" w:ascii="宋体" w:hAnsi="宋体" w:eastAsia="宋体"/>
          <w:b/>
          <w:bCs/>
          <w:color w:val="auto"/>
          <w:szCs w:val="21"/>
          <w:highlight w:val="none"/>
          <w:lang w:val="en-US" w:eastAsia="zh-CN"/>
        </w:rPr>
        <w:t>担任主承销商发行企业3年期公司债的业绩</w:t>
      </w:r>
      <w:r>
        <w:rPr>
          <w:rFonts w:hint="eastAsia" w:ascii="宋体" w:hAnsi="宋体" w:eastAsia="宋体"/>
          <w:b/>
          <w:bCs/>
          <w:color w:val="auto"/>
          <w:szCs w:val="21"/>
          <w:highlight w:val="none"/>
        </w:rPr>
        <w:t>（合同签订日期为</w:t>
      </w:r>
      <w:r>
        <w:rPr>
          <w:rFonts w:hint="eastAsia" w:ascii="宋体" w:hAnsi="宋体" w:eastAsia="宋体"/>
          <w:b/>
          <w:bCs/>
          <w:color w:val="auto"/>
          <w:szCs w:val="21"/>
          <w:highlight w:val="none"/>
          <w:lang w:val="en-US" w:eastAsia="zh-CN"/>
        </w:rPr>
        <w:t>2022</w:t>
      </w:r>
      <w:r>
        <w:rPr>
          <w:rFonts w:hint="eastAsia" w:ascii="宋体" w:hAnsi="宋体" w:eastAsia="宋体"/>
          <w:b/>
          <w:bCs/>
          <w:color w:val="auto"/>
          <w:szCs w:val="21"/>
          <w:highlight w:val="none"/>
        </w:rPr>
        <w:t>年</w:t>
      </w:r>
      <w:r>
        <w:rPr>
          <w:rFonts w:hint="eastAsia" w:ascii="宋体" w:hAnsi="宋体" w:eastAsia="宋体"/>
          <w:b/>
          <w:bCs/>
          <w:color w:val="auto"/>
          <w:szCs w:val="21"/>
          <w:highlight w:val="none"/>
          <w:lang w:val="en-US" w:eastAsia="zh-CN"/>
        </w:rPr>
        <w:t>1</w:t>
      </w:r>
      <w:r>
        <w:rPr>
          <w:rFonts w:hint="eastAsia" w:ascii="宋体" w:hAnsi="宋体" w:eastAsia="宋体"/>
          <w:b/>
          <w:bCs/>
          <w:color w:val="auto"/>
          <w:szCs w:val="21"/>
          <w:highlight w:val="none"/>
        </w:rPr>
        <w:t>月</w:t>
      </w:r>
      <w:r>
        <w:rPr>
          <w:rFonts w:hint="eastAsia" w:ascii="宋体" w:hAnsi="宋体" w:eastAsia="宋体"/>
          <w:b/>
          <w:bCs/>
          <w:color w:val="auto"/>
          <w:szCs w:val="21"/>
          <w:highlight w:val="none"/>
          <w:lang w:val="en-US" w:eastAsia="zh-CN"/>
        </w:rPr>
        <w:t>1</w:t>
      </w:r>
      <w:r>
        <w:rPr>
          <w:rFonts w:hint="eastAsia" w:ascii="宋体" w:hAnsi="宋体" w:eastAsia="宋体"/>
          <w:b/>
          <w:bCs/>
          <w:color w:val="auto"/>
          <w:szCs w:val="21"/>
          <w:highlight w:val="none"/>
        </w:rPr>
        <w:t>日或以后），资格业绩证明材料提交要求详见招标文件第六篇投标文件格式</w:t>
      </w:r>
      <w:r>
        <w:rPr>
          <w:rFonts w:hint="eastAsia" w:ascii="宋体" w:hAnsi="宋体" w:eastAsia="宋体"/>
          <w:b/>
          <w:bCs/>
          <w:color w:val="auto"/>
          <w:szCs w:val="21"/>
          <w:highlight w:val="none"/>
          <w:u w:val="single"/>
          <w:lang w:val="en-US" w:eastAsia="zh-CN"/>
        </w:rPr>
        <w:t>4</w:t>
      </w:r>
      <w:r>
        <w:rPr>
          <w:rFonts w:hint="eastAsia" w:ascii="宋体" w:hAnsi="宋体" w:eastAsia="宋体"/>
          <w:b/>
          <w:bCs/>
          <w:color w:val="auto"/>
          <w:szCs w:val="21"/>
          <w:highlight w:val="none"/>
          <w:u w:val="single"/>
        </w:rPr>
        <w:t>.</w:t>
      </w:r>
      <w:r>
        <w:rPr>
          <w:rFonts w:hint="eastAsia" w:ascii="宋体" w:hAnsi="宋体" w:eastAsia="宋体"/>
          <w:b/>
          <w:bCs/>
          <w:color w:val="auto"/>
          <w:szCs w:val="21"/>
          <w:highlight w:val="none"/>
          <w:u w:val="single"/>
          <w:lang w:val="en-US" w:eastAsia="zh-CN"/>
        </w:rPr>
        <w:t>5</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w:t>
      </w:r>
    </w:p>
    <w:p w14:paraId="7FD529A2">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outlineLvl w:val="2"/>
        <w:rPr>
          <w:rFonts w:hint="eastAsia" w:ascii="宋体" w:hAnsi="宋体" w:eastAsia="宋体" w:cs="宋体"/>
          <w:b/>
          <w:bCs/>
          <w:color w:val="auto"/>
          <w:szCs w:val="21"/>
          <w:highlight w:val="none"/>
          <w:lang w:eastAsia="zh-CN"/>
        </w:rPr>
      </w:pPr>
      <w:bookmarkStart w:id="493" w:name="_Toc2285"/>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6</w:t>
      </w:r>
      <w:r>
        <w:rPr>
          <w:rFonts w:hint="eastAsia" w:ascii="宋体" w:hAnsi="宋体" w:eastAsia="宋体" w:cs="宋体"/>
          <w:b/>
          <w:bCs/>
          <w:color w:val="auto"/>
          <w:szCs w:val="21"/>
          <w:highlight w:val="none"/>
        </w:rPr>
        <w:t xml:space="preserve"> 最近3年投标人牵涉的其他（失信和违法）处罚说明</w:t>
      </w:r>
      <w:bookmarkEnd w:id="493"/>
      <w:r>
        <w:rPr>
          <w:rFonts w:hint="eastAsia" w:ascii="宋体" w:hAnsi="宋体" w:eastAsia="宋体" w:cs="宋体"/>
          <w:b/>
          <w:bCs/>
          <w:color w:val="auto"/>
          <w:szCs w:val="21"/>
          <w:highlight w:val="none"/>
          <w:lang w:eastAsia="zh-CN"/>
        </w:rPr>
        <w:t>。</w:t>
      </w:r>
    </w:p>
    <w:p w14:paraId="76919383">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五</w:t>
      </w:r>
      <w:r>
        <w:rPr>
          <w:rFonts w:hint="eastAsia" w:ascii="宋体" w:hAnsi="宋体" w:eastAsia="宋体" w:cs="宋体"/>
          <w:b/>
          <w:bCs/>
          <w:color w:val="auto"/>
          <w:szCs w:val="21"/>
          <w:highlight w:val="none"/>
        </w:rPr>
        <w:t>、投标人基本情况一览表；</w:t>
      </w:r>
    </w:p>
    <w:p w14:paraId="46B48F48">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六</w:t>
      </w:r>
      <w:r>
        <w:rPr>
          <w:rFonts w:hint="eastAsia" w:ascii="宋体" w:hAnsi="宋体" w:eastAsia="宋体" w:cs="宋体"/>
          <w:b/>
          <w:bCs/>
          <w:color w:val="auto"/>
          <w:szCs w:val="21"/>
          <w:highlight w:val="none"/>
        </w:rPr>
        <w:t>、证监会分类评级；</w:t>
      </w:r>
    </w:p>
    <w:p w14:paraId="45CFC2CD">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七</w:t>
      </w:r>
      <w:r>
        <w:rPr>
          <w:rFonts w:hint="eastAsia" w:ascii="宋体" w:hAnsi="宋体" w:eastAsia="宋体" w:cs="宋体"/>
          <w:b/>
          <w:bCs/>
          <w:color w:val="auto"/>
          <w:szCs w:val="21"/>
          <w:highlight w:val="none"/>
        </w:rPr>
        <w:t>、合同条款响应程度（合同条款偏离表）；</w:t>
      </w:r>
    </w:p>
    <w:p w14:paraId="675D6F53">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八、</w:t>
      </w:r>
      <w:r>
        <w:rPr>
          <w:rFonts w:hint="eastAsia" w:ascii="宋体" w:hAnsi="宋体" w:eastAsia="宋体" w:cs="宋体"/>
          <w:b/>
          <w:bCs/>
          <w:color w:val="auto"/>
          <w:sz w:val="21"/>
          <w:szCs w:val="21"/>
          <w:highlight w:val="none"/>
          <w:lang w:val="zh-CN"/>
        </w:rPr>
        <w:t>承销金额规模</w:t>
      </w:r>
      <w:r>
        <w:rPr>
          <w:rFonts w:hint="eastAsia" w:ascii="宋体" w:hAnsi="宋体" w:eastAsia="宋体" w:cs="宋体"/>
          <w:b/>
          <w:bCs/>
          <w:color w:val="auto"/>
          <w:sz w:val="21"/>
          <w:szCs w:val="21"/>
          <w:highlight w:val="none"/>
          <w:lang w:val="en-US" w:eastAsia="zh-CN"/>
        </w:rPr>
        <w:t>及承销数量；</w:t>
      </w:r>
    </w:p>
    <w:p w14:paraId="49F064F8">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kern w:val="2"/>
          <w:szCs w:val="21"/>
          <w:highlight w:val="none"/>
          <w:lang w:val="zh-CN"/>
        </w:rPr>
      </w:pPr>
      <w:r>
        <w:rPr>
          <w:rFonts w:hint="eastAsia" w:ascii="宋体" w:hAnsi="宋体" w:eastAsia="宋体" w:cs="宋体"/>
          <w:b/>
          <w:bCs/>
          <w:color w:val="auto"/>
          <w:szCs w:val="21"/>
          <w:highlight w:val="none"/>
          <w:lang w:val="en-US" w:eastAsia="zh-CN"/>
        </w:rPr>
        <w:t>九</w:t>
      </w:r>
      <w:r>
        <w:rPr>
          <w:rFonts w:hint="eastAsia" w:ascii="宋体" w:hAnsi="宋体" w:eastAsia="宋体" w:cs="宋体"/>
          <w:b/>
          <w:bCs/>
          <w:color w:val="auto"/>
          <w:szCs w:val="21"/>
          <w:highlight w:val="none"/>
        </w:rPr>
        <w:t>、</w:t>
      </w:r>
      <w:r>
        <w:rPr>
          <w:rFonts w:hint="eastAsia" w:ascii="宋体" w:hAnsi="宋体" w:eastAsia="宋体" w:cs="宋体"/>
          <w:b/>
          <w:bCs/>
          <w:color w:val="auto"/>
          <w:kern w:val="2"/>
          <w:szCs w:val="21"/>
          <w:highlight w:val="none"/>
          <w:lang w:val="zh-CN"/>
        </w:rPr>
        <w:t>债券业务执业质量；</w:t>
      </w:r>
    </w:p>
    <w:p w14:paraId="27BB03BD">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十、</w:t>
      </w:r>
      <w:r>
        <w:rPr>
          <w:rFonts w:hint="eastAsia" w:ascii="宋体" w:hAnsi="宋体" w:eastAsia="宋体" w:cs="宋体"/>
          <w:b/>
          <w:bCs/>
          <w:color w:val="auto"/>
          <w:szCs w:val="21"/>
          <w:highlight w:val="none"/>
          <w:lang w:val="zh-CN"/>
        </w:rPr>
        <w:t>中标服务费承诺书；</w:t>
      </w:r>
    </w:p>
    <w:p w14:paraId="5F4C8D4B">
      <w:pPr>
        <w:keepNext w:val="0"/>
        <w:keepLines w:val="0"/>
        <w:pageBreakBefore w:val="0"/>
        <w:widowControl w:val="0"/>
        <w:pBdr>
          <w:bottom w:val="single" w:color="auto" w:sz="6" w:space="0"/>
        </w:pBdr>
        <w:kinsoku/>
        <w:wordWrap/>
        <w:overflowPunct/>
        <w:topLinePunct w:val="0"/>
        <w:autoSpaceDE/>
        <w:autoSpaceDN/>
        <w:bidi w:val="0"/>
        <w:adjustRightInd/>
        <w:snapToGrid/>
        <w:spacing w:line="360" w:lineRule="auto"/>
        <w:ind w:firstLine="472" w:firstLineChars="224"/>
        <w:jc w:val="left"/>
        <w:textAlignment w:val="auto"/>
        <w:rPr>
          <w:rFonts w:hint="eastAsia" w:ascii="宋体" w:hAnsi="宋体" w:eastAsia="宋体" w:cs="宋体"/>
          <w:b/>
          <w:color w:val="auto"/>
          <w:kern w:val="0"/>
          <w:sz w:val="32"/>
          <w:szCs w:val="32"/>
          <w:highlight w:val="none"/>
        </w:rPr>
      </w:pPr>
      <w:r>
        <w:rPr>
          <w:rFonts w:hint="eastAsia" w:ascii="宋体" w:hAnsi="宋体" w:eastAsia="宋体" w:cs="宋体"/>
          <w:b/>
          <w:bCs/>
          <w:color w:val="auto"/>
          <w:szCs w:val="21"/>
          <w:highlight w:val="none"/>
        </w:rPr>
        <w:t>十</w:t>
      </w:r>
      <w:r>
        <w:rPr>
          <w:rFonts w:hint="eastAsia" w:ascii="宋体" w:hAnsi="宋体" w:eastAsia="宋体" w:cs="宋体"/>
          <w:b/>
          <w:bCs/>
          <w:color w:val="auto"/>
          <w:szCs w:val="21"/>
          <w:highlight w:val="none"/>
          <w:lang w:val="en-US" w:eastAsia="zh-CN"/>
        </w:rPr>
        <w:t>一</w:t>
      </w:r>
      <w:r>
        <w:rPr>
          <w:rFonts w:hint="eastAsia" w:ascii="宋体" w:hAnsi="宋体" w:eastAsia="宋体" w:cs="宋体"/>
          <w:b/>
          <w:bCs/>
          <w:color w:val="auto"/>
          <w:szCs w:val="21"/>
          <w:highlight w:val="none"/>
        </w:rPr>
        <w:t>、投标人资格证明文件以外的其他资质证书、知识产权证书及获得的相关获奖、认证证书、社会评价资料证明文件扫描件等投标人认为有需要证明其具备为本次招标项目提供货物及有关服务能力的有关其它商务文件（不做强制要求）。</w:t>
      </w:r>
      <w:r>
        <w:rPr>
          <w:rFonts w:hint="eastAsia" w:ascii="宋体" w:hAnsi="宋体" w:eastAsia="宋体" w:cs="宋体"/>
          <w:b/>
          <w:color w:val="auto"/>
          <w:kern w:val="0"/>
          <w:sz w:val="32"/>
          <w:szCs w:val="32"/>
          <w:highlight w:val="none"/>
        </w:rPr>
        <w:br w:type="page"/>
      </w:r>
    </w:p>
    <w:p w14:paraId="2372014D">
      <w:pPr>
        <w:rPr>
          <w:rFonts w:hint="eastAsia" w:ascii="宋体" w:hAnsi="宋体" w:eastAsia="宋体" w:cs="宋体"/>
          <w:b/>
          <w:color w:val="auto"/>
          <w:kern w:val="0"/>
          <w:sz w:val="32"/>
          <w:szCs w:val="32"/>
          <w:highlight w:val="none"/>
        </w:rPr>
      </w:pPr>
    </w:p>
    <w:p w14:paraId="1EE014B1">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kern w:val="0"/>
          <w:sz w:val="32"/>
          <w:szCs w:val="32"/>
          <w:highlight w:val="none"/>
        </w:rPr>
      </w:pPr>
      <w:bookmarkStart w:id="494" w:name="_Toc27679"/>
      <w:bookmarkStart w:id="495" w:name="_Toc23782"/>
      <w:bookmarkStart w:id="496" w:name="_Toc13281"/>
      <w:r>
        <w:rPr>
          <w:rFonts w:hint="eastAsia" w:ascii="宋体" w:hAnsi="宋体" w:eastAsia="宋体" w:cs="宋体"/>
          <w:b/>
          <w:kern w:val="0"/>
          <w:sz w:val="32"/>
          <w:szCs w:val="32"/>
          <w:highlight w:val="none"/>
        </w:rPr>
        <w:t>一、投标函格式</w:t>
      </w:r>
      <w:bookmarkEnd w:id="476"/>
      <w:bookmarkEnd w:id="477"/>
      <w:bookmarkEnd w:id="478"/>
      <w:bookmarkEnd w:id="479"/>
      <w:bookmarkEnd w:id="480"/>
      <w:bookmarkEnd w:id="481"/>
      <w:bookmarkEnd w:id="482"/>
      <w:bookmarkEnd w:id="483"/>
      <w:bookmarkEnd w:id="484"/>
      <w:bookmarkEnd w:id="485"/>
      <w:bookmarkEnd w:id="494"/>
      <w:bookmarkEnd w:id="495"/>
      <w:bookmarkEnd w:id="496"/>
    </w:p>
    <w:p w14:paraId="71B8E820">
      <w:pPr>
        <w:autoSpaceDE w:val="0"/>
        <w:autoSpaceDN w:val="0"/>
        <w:adjustRightInd w:val="0"/>
        <w:spacing w:line="360" w:lineRule="auto"/>
        <w:jc w:val="center"/>
        <w:outlineLvl w:val="9"/>
        <w:rPr>
          <w:rFonts w:hint="eastAsia" w:ascii="宋体" w:hAnsi="宋体" w:eastAsia="宋体" w:cs="宋体"/>
          <w:b/>
          <w:bCs/>
          <w:sz w:val="30"/>
          <w:szCs w:val="30"/>
          <w:highlight w:val="none"/>
        </w:rPr>
      </w:pPr>
      <w:bookmarkStart w:id="497" w:name="_Toc16695_WPSOffice_Level3"/>
      <w:r>
        <w:rPr>
          <w:rFonts w:hint="eastAsia" w:ascii="宋体" w:hAnsi="宋体" w:eastAsia="宋体" w:cs="宋体"/>
          <w:b/>
          <w:bCs/>
          <w:sz w:val="30"/>
          <w:szCs w:val="30"/>
          <w:highlight w:val="none"/>
          <w:lang w:val="zh-CN"/>
        </w:rPr>
        <w:t>投 标 函</w:t>
      </w:r>
      <w:bookmarkEnd w:id="497"/>
    </w:p>
    <w:p w14:paraId="454EA65B">
      <w:pPr>
        <w:autoSpaceDE w:val="0"/>
        <w:autoSpaceDN w:val="0"/>
        <w:adjustRightInd w:val="0"/>
        <w:spacing w:line="360" w:lineRule="auto"/>
        <w:outlineLvl w:val="9"/>
        <w:rPr>
          <w:rFonts w:hint="eastAsia" w:ascii="宋体" w:hAnsi="宋体" w:eastAsia="宋体" w:cs="宋体"/>
          <w:szCs w:val="21"/>
          <w:highlight w:val="none"/>
          <w:lang w:val="zh-CN"/>
        </w:rPr>
      </w:pPr>
    </w:p>
    <w:p w14:paraId="3DBFB275">
      <w:pPr>
        <w:autoSpaceDE w:val="0"/>
        <w:autoSpaceDN w:val="0"/>
        <w:adjustRightInd w:val="0"/>
        <w:spacing w:line="360" w:lineRule="auto"/>
        <w:outlineLvl w:val="9"/>
        <w:rPr>
          <w:rFonts w:hint="eastAsia" w:ascii="宋体" w:hAnsi="宋体" w:eastAsia="宋体" w:cs="宋体"/>
          <w:szCs w:val="21"/>
          <w:highlight w:val="none"/>
          <w:lang w:val="zh-CN" w:eastAsia="zh-CN"/>
        </w:rPr>
      </w:pPr>
      <w:r>
        <w:rPr>
          <w:rFonts w:hint="eastAsia" w:ascii="宋体" w:hAnsi="宋体" w:eastAsia="宋体" w:cs="宋体"/>
          <w:szCs w:val="21"/>
          <w:highlight w:val="none"/>
          <w:lang w:val="zh-CN"/>
        </w:rPr>
        <w:t>致：</w:t>
      </w:r>
      <w:r>
        <w:rPr>
          <w:rFonts w:hint="eastAsia" w:ascii="宋体" w:hAnsi="宋体" w:eastAsia="宋体" w:cs="宋体"/>
          <w:kern w:val="0"/>
          <w:szCs w:val="21"/>
          <w:highlight w:val="none"/>
          <w:u w:val="single"/>
          <w:lang w:eastAsia="zh-CN"/>
        </w:rPr>
        <w:t>东莞市水务环境投资控股集团有限公司</w:t>
      </w:r>
    </w:p>
    <w:p w14:paraId="548E3244">
      <w:pPr>
        <w:autoSpaceDE w:val="0"/>
        <w:autoSpaceDN w:val="0"/>
        <w:adjustRightInd w:val="0"/>
        <w:spacing w:line="360" w:lineRule="auto"/>
        <w:outlineLvl w:val="9"/>
        <w:rPr>
          <w:rFonts w:hint="eastAsia" w:ascii="宋体" w:hAnsi="宋体" w:eastAsia="宋体" w:cs="宋体"/>
          <w:szCs w:val="21"/>
          <w:highlight w:val="none"/>
        </w:rPr>
      </w:pPr>
    </w:p>
    <w:p w14:paraId="56C19F9A">
      <w:pPr>
        <w:wordWrap w:val="0"/>
        <w:autoSpaceDE w:val="0"/>
        <w:autoSpaceDN w:val="0"/>
        <w:adjustRightInd w:val="0"/>
        <w:spacing w:line="360" w:lineRule="auto"/>
        <w:ind w:firstLine="420"/>
        <w:outlineLvl w:val="9"/>
        <w:rPr>
          <w:rFonts w:hint="eastAsia" w:ascii="宋体" w:hAnsi="宋体" w:eastAsia="宋体" w:cs="宋体"/>
          <w:szCs w:val="21"/>
          <w:highlight w:val="none"/>
          <w:lang w:val="zh-CN"/>
        </w:rPr>
      </w:pPr>
      <w:r>
        <w:rPr>
          <w:rFonts w:hint="eastAsia" w:ascii="宋体" w:hAnsi="宋体" w:eastAsia="宋体" w:cs="宋体"/>
          <w:szCs w:val="21"/>
          <w:highlight w:val="none"/>
          <w:lang w:val="zh-CN"/>
        </w:rPr>
        <w:t>根据贵方为</w:t>
      </w:r>
      <w:r>
        <w:rPr>
          <w:rFonts w:hint="eastAsia" w:ascii="宋体" w:hAnsi="宋体" w:eastAsia="宋体" w:cs="宋体"/>
          <w:kern w:val="0"/>
          <w:szCs w:val="21"/>
          <w:highlight w:val="none"/>
          <w:u w:val="single"/>
          <w:lang w:eastAsia="zh-CN"/>
        </w:rPr>
        <w:t>东莞市水务环境投资控股集团有限公司注册发行60亿元公司债承销商采购项目（重新招标）</w:t>
      </w:r>
      <w:r>
        <w:rPr>
          <w:rFonts w:hint="eastAsia" w:ascii="宋体" w:hAnsi="宋体" w:eastAsia="宋体" w:cs="宋体"/>
          <w:szCs w:val="21"/>
          <w:highlight w:val="none"/>
          <w:lang w:val="zh-CN"/>
        </w:rPr>
        <w:t>(招标编号：</w:t>
      </w:r>
      <w:r>
        <w:rPr>
          <w:rFonts w:hint="eastAsia" w:ascii="宋体" w:hAnsi="宋体" w:eastAsia="宋体" w:cs="宋体"/>
          <w:szCs w:val="21"/>
          <w:highlight w:val="none"/>
          <w:u w:val="single"/>
          <w:lang w:val="zh-CN"/>
        </w:rPr>
        <w:t xml:space="preserve">                                 </w:t>
      </w:r>
      <w:r>
        <w:rPr>
          <w:rFonts w:hint="eastAsia" w:ascii="宋体" w:hAnsi="宋体" w:eastAsia="宋体" w:cs="宋体"/>
          <w:szCs w:val="21"/>
          <w:highlight w:val="none"/>
          <w:lang w:val="zh-CN"/>
        </w:rPr>
        <w:t>)的投标邀请，我方（投标人名称）作为投标人正式授权</w:t>
      </w:r>
      <w:r>
        <w:rPr>
          <w:rFonts w:hint="eastAsia" w:ascii="宋体" w:hAnsi="宋体" w:eastAsia="宋体" w:cs="宋体"/>
          <w:szCs w:val="21"/>
          <w:highlight w:val="none"/>
          <w:u w:val="single"/>
          <w:lang w:val="zh-CN"/>
        </w:rPr>
        <w:t>　   　（</w:t>
      </w:r>
      <w:r>
        <w:rPr>
          <w:rFonts w:hint="eastAsia" w:ascii="宋体" w:hAnsi="宋体" w:eastAsia="宋体" w:cs="宋体"/>
          <w:szCs w:val="21"/>
          <w:highlight w:val="none"/>
          <w:lang w:val="zh-CN"/>
        </w:rPr>
        <w:t>授权代表全名，职务）代表我方进行有关本次投标的一切事宜。</w:t>
      </w:r>
    </w:p>
    <w:p w14:paraId="3A2190AD">
      <w:pPr>
        <w:autoSpaceDE w:val="0"/>
        <w:autoSpaceDN w:val="0"/>
        <w:adjustRightInd w:val="0"/>
        <w:spacing w:line="360" w:lineRule="auto"/>
        <w:ind w:firstLine="42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我方已完全明白招标文件的所有条款要求，并重申以下几点：</w:t>
      </w:r>
    </w:p>
    <w:p w14:paraId="0B6354F9">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（—）我方决定参加招标编号为</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zh-CN"/>
        </w:rPr>
        <w:t>的投标；</w:t>
      </w:r>
    </w:p>
    <w:p w14:paraId="63971FED">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（二）本投标文件的有效期自递交投标文件截止时间届满后90日有效，如中标，有效期将延至合同终止日为止；</w:t>
      </w:r>
    </w:p>
    <w:p w14:paraId="796E8FB4">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（三）我方已详细研究了招标文件的所有内容包括修正文（如有）和所有已提供的参考资料以及有关附件并完全明白，我方放弃在此方面提出含糊意见或误解的一切权力；</w:t>
      </w:r>
    </w:p>
    <w:p w14:paraId="59735E7F">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（四）我方明白并愿意在规定的递交投标文件截止时间和日期之后，投标有效期之内撤</w:t>
      </w:r>
      <w:r>
        <w:rPr>
          <w:rFonts w:hint="eastAsia" w:ascii="宋体" w:hAnsi="宋体" w:eastAsia="宋体" w:cs="宋体"/>
          <w:color w:val="auto"/>
          <w:szCs w:val="21"/>
          <w:highlight w:val="none"/>
          <w:lang w:val="en-US" w:eastAsia="zh-CN"/>
        </w:rPr>
        <w:t>回</w:t>
      </w:r>
      <w:r>
        <w:rPr>
          <w:rFonts w:hint="eastAsia" w:ascii="宋体" w:hAnsi="宋体" w:eastAsia="宋体" w:cs="宋体"/>
          <w:color w:val="auto"/>
          <w:szCs w:val="21"/>
          <w:highlight w:val="none"/>
          <w:lang w:val="zh-CN"/>
        </w:rPr>
        <w:t>投标，则不予退还我方投标保证金；</w:t>
      </w:r>
    </w:p>
    <w:p w14:paraId="688D410A">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（五）我方同意按照贵方可能提出的要求而提供与投标有关的任何其它数据或信息；</w:t>
      </w:r>
    </w:p>
    <w:p w14:paraId="672E827F">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（六）我方理解贵方不一定接受最低报价或任何贵方可能收到的报价；</w:t>
      </w:r>
    </w:p>
    <w:p w14:paraId="3DB7B7EB">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（七）我方如果中标，将保证履行招标文件以及招标文件修改书（如有）中的全部责任和义务，按质、按量、按期完成《合同书》中的全部任务；</w:t>
      </w:r>
    </w:p>
    <w:p w14:paraId="1F39E7E9">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（八）保证投标文件中所有资料均真实有效，否则按无效投标处理或可取消中标资格，并愿意接受按弄虚作假骗取中标的有关规定进行处理，并不予退还我方投标保证金；</w:t>
      </w:r>
    </w:p>
    <w:p w14:paraId="27E055CE">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（九）若我方中标后，我方一定按照招标文件的要求和投标文件的承诺签订和履行合同，否则贵方可取消我方中标资格，并依法不予退还我方投标保证金或履约担保，我方愿意接受违约处罚；</w:t>
      </w:r>
    </w:p>
    <w:p w14:paraId="5FC6B2B9">
      <w:pPr>
        <w:autoSpaceDE w:val="0"/>
        <w:autoSpaceDN w:val="0"/>
        <w:adjustRightInd w:val="0"/>
        <w:spacing w:line="360" w:lineRule="auto"/>
        <w:ind w:firstLine="315" w:firstLineChars="15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（十）若我方中标后，核查出投标文件内容前后不一致，我方愿按最高标准的承诺履约义务；</w:t>
      </w:r>
    </w:p>
    <w:p w14:paraId="0F7E4F8F">
      <w:pPr>
        <w:autoSpaceDE w:val="0"/>
        <w:autoSpaceDN w:val="0"/>
        <w:adjustRightInd w:val="0"/>
        <w:spacing w:line="360" w:lineRule="auto"/>
        <w:ind w:firstLine="315" w:firstLineChars="150"/>
        <w:outlineLvl w:val="2"/>
        <w:rPr>
          <w:rFonts w:hint="eastAsia" w:ascii="宋体" w:hAnsi="宋体" w:eastAsia="宋体" w:cs="宋体"/>
          <w:color w:val="auto"/>
          <w:szCs w:val="21"/>
          <w:highlight w:val="none"/>
          <w:lang w:val="zh-CN"/>
        </w:rPr>
      </w:pPr>
      <w:bookmarkStart w:id="498" w:name="_Toc3743"/>
      <w:r>
        <w:rPr>
          <w:rFonts w:hint="eastAsia" w:ascii="宋体" w:hAnsi="宋体" w:eastAsia="宋体" w:cs="宋体"/>
          <w:color w:val="auto"/>
          <w:szCs w:val="21"/>
          <w:highlight w:val="none"/>
          <w:lang w:val="zh-CN"/>
        </w:rPr>
        <w:t>（十一）所有与本投标有关的函件请发往下列地址：</w:t>
      </w:r>
      <w:bookmarkEnd w:id="498"/>
    </w:p>
    <w:p w14:paraId="4505F253">
      <w:pPr>
        <w:autoSpaceDE w:val="0"/>
        <w:autoSpaceDN w:val="0"/>
        <w:adjustRightInd w:val="0"/>
        <w:spacing w:line="360" w:lineRule="auto"/>
        <w:ind w:left="395" w:leftChars="-12" w:hanging="420" w:hangingChars="200"/>
        <w:rPr>
          <w:rFonts w:hint="eastAsia" w:ascii="宋体" w:hAnsi="宋体" w:eastAsia="宋体" w:cs="宋体"/>
          <w:color w:val="auto"/>
          <w:szCs w:val="21"/>
          <w:highlight w:val="none"/>
          <w:u w:val="single"/>
          <w:lang w:val="zh-CN"/>
        </w:rPr>
      </w:pPr>
    </w:p>
    <w:p w14:paraId="684DD48B">
      <w:pPr>
        <w:autoSpaceDE w:val="0"/>
        <w:autoSpaceDN w:val="0"/>
        <w:adjustRightInd w:val="0"/>
        <w:spacing w:line="360" w:lineRule="auto"/>
        <w:ind w:firstLine="420" w:firstLineChars="200"/>
        <w:rPr>
          <w:rFonts w:hint="eastAsia" w:ascii="宋体" w:hAnsi="宋体" w:eastAsia="宋体" w:cs="宋体"/>
          <w:color w:val="auto"/>
          <w:szCs w:val="21"/>
          <w:highlight w:val="none"/>
          <w:u w:val="single"/>
          <w:lang w:val="zh-CN"/>
        </w:rPr>
      </w:pPr>
      <w:r>
        <w:rPr>
          <w:rFonts w:hint="eastAsia" w:ascii="宋体" w:hAnsi="宋体" w:eastAsia="宋体" w:cs="宋体"/>
          <w:color w:val="auto"/>
          <w:szCs w:val="21"/>
          <w:highlight w:val="none"/>
          <w:lang w:val="zh-CN"/>
        </w:rPr>
        <w:t>地  　址：</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邮政编码：</w:t>
      </w:r>
      <w:r>
        <w:rPr>
          <w:rFonts w:hint="eastAsia" w:ascii="宋体" w:hAnsi="宋体" w:eastAsia="宋体" w:cs="宋体"/>
          <w:color w:val="auto"/>
          <w:szCs w:val="21"/>
          <w:highlight w:val="none"/>
          <w:u w:val="single"/>
          <w:lang w:val="zh-CN"/>
        </w:rPr>
        <w:t xml:space="preserve">　　　　　　　　　　 </w:t>
      </w:r>
    </w:p>
    <w:p w14:paraId="59CB48B4">
      <w:pPr>
        <w:autoSpaceDE w:val="0"/>
        <w:autoSpaceDN w:val="0"/>
        <w:adjustRightInd w:val="0"/>
        <w:spacing w:line="360" w:lineRule="auto"/>
        <w:ind w:firstLine="420" w:firstLineChars="2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电　　话：</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lang w:val="zh-CN"/>
        </w:rPr>
        <w:t>代表姓名：</w:t>
      </w:r>
      <w:r>
        <w:rPr>
          <w:rFonts w:hint="eastAsia" w:ascii="宋体" w:hAnsi="宋体" w:eastAsia="宋体" w:cs="宋体"/>
          <w:color w:val="auto"/>
          <w:szCs w:val="21"/>
          <w:highlight w:val="none"/>
          <w:u w:val="single"/>
          <w:lang w:val="zh-CN"/>
        </w:rPr>
        <w:t>　　　　　　　　　　　</w:t>
      </w:r>
    </w:p>
    <w:p w14:paraId="51F5510C">
      <w:pPr>
        <w:autoSpaceDE w:val="0"/>
        <w:autoSpaceDN w:val="0"/>
        <w:adjustRightInd w:val="0"/>
        <w:spacing w:line="360" w:lineRule="auto"/>
        <w:ind w:firstLine="420" w:firstLineChars="2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传　　真：</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 xml:space="preserve">        职　　务：</w:t>
      </w:r>
      <w:r>
        <w:rPr>
          <w:rFonts w:hint="eastAsia" w:ascii="宋体" w:hAnsi="宋体" w:eastAsia="宋体" w:cs="宋体"/>
          <w:color w:val="auto"/>
          <w:szCs w:val="21"/>
          <w:highlight w:val="none"/>
          <w:u w:val="single"/>
          <w:lang w:val="zh-CN"/>
        </w:rPr>
        <w:t xml:space="preserve">　　　　　　　　　　 </w:t>
      </w:r>
    </w:p>
    <w:p w14:paraId="44603102">
      <w:pPr>
        <w:autoSpaceDE w:val="0"/>
        <w:autoSpaceDN w:val="0"/>
        <w:adjustRightInd w:val="0"/>
        <w:spacing w:line="360" w:lineRule="auto"/>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ab/>
      </w: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lang w:val="zh-CN"/>
        </w:rPr>
        <w:t>　　　　　　　　　　　</w:t>
      </w:r>
      <w:r>
        <w:rPr>
          <w:rFonts w:hint="eastAsia" w:ascii="宋体" w:hAnsi="宋体" w:eastAsia="宋体" w:cs="宋体"/>
          <w:color w:val="auto"/>
          <w:szCs w:val="21"/>
          <w:highlight w:val="none"/>
          <w:lang w:val="zh-CN"/>
        </w:rPr>
        <w:tab/>
      </w:r>
    </w:p>
    <w:p w14:paraId="1F0E5E94">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p>
    <w:p w14:paraId="35349CCC">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B7140CC">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6630368D">
      <w:pPr>
        <w:autoSpaceDE w:val="0"/>
        <w:autoSpaceDN w:val="0"/>
        <w:adjustRightInd w:val="0"/>
        <w:spacing w:line="360" w:lineRule="auto"/>
        <w:ind w:firstLine="4960" w:firstLineChars="2362"/>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606AC3ED">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kern w:val="0"/>
          <w:sz w:val="32"/>
          <w:szCs w:val="32"/>
          <w:highlight w:val="none"/>
        </w:rPr>
      </w:pPr>
      <w:r>
        <w:rPr>
          <w:rFonts w:hint="eastAsia" w:ascii="宋体" w:hAnsi="宋体" w:eastAsia="宋体" w:cs="宋体"/>
          <w:b/>
          <w:bCs/>
          <w:color w:val="auto"/>
          <w:szCs w:val="24"/>
          <w:highlight w:val="none"/>
          <w:lang w:val="zh-CN"/>
        </w:rPr>
        <w:t>说明：由投标人使用投标人的企业数字证书，法定代表人或其授权代表数字证书电子签名。</w:t>
      </w:r>
      <w:r>
        <w:rPr>
          <w:rFonts w:hint="eastAsia" w:ascii="宋体" w:hAnsi="宋体" w:eastAsia="宋体" w:cs="宋体"/>
          <w:kern w:val="0"/>
          <w:sz w:val="24"/>
          <w:szCs w:val="24"/>
          <w:highlight w:val="none"/>
        </w:rPr>
        <w:br w:type="page"/>
      </w:r>
      <w:bookmarkStart w:id="499" w:name="_Toc94107203"/>
      <w:bookmarkStart w:id="500" w:name="_Toc140596922"/>
      <w:bookmarkStart w:id="501" w:name="_Toc102860068"/>
      <w:bookmarkStart w:id="502" w:name="_Toc104991869"/>
      <w:bookmarkStart w:id="503" w:name="_Toc1977722"/>
      <w:bookmarkStart w:id="504" w:name="_Toc142508363"/>
      <w:bookmarkStart w:id="505" w:name="_Toc30995"/>
      <w:bookmarkStart w:id="506" w:name="_Toc102860412"/>
      <w:bookmarkStart w:id="507" w:name="_Toc12417"/>
      <w:bookmarkStart w:id="508" w:name="_Toc28613_WPSOffice_Level2"/>
      <w:bookmarkStart w:id="509" w:name="_Toc3104"/>
      <w:bookmarkStart w:id="510" w:name="_Toc486167710"/>
      <w:bookmarkStart w:id="511" w:name="_Toc533708122"/>
      <w:r>
        <w:rPr>
          <w:rFonts w:hint="eastAsia" w:ascii="宋体" w:hAnsi="宋体" w:eastAsia="宋体" w:cs="宋体"/>
          <w:b/>
          <w:kern w:val="0"/>
          <w:sz w:val="32"/>
          <w:szCs w:val="32"/>
          <w:highlight w:val="none"/>
        </w:rPr>
        <w:t>二、投标承诺书格式</w:t>
      </w:r>
      <w:bookmarkEnd w:id="499"/>
      <w:bookmarkEnd w:id="500"/>
      <w:bookmarkEnd w:id="501"/>
      <w:bookmarkEnd w:id="502"/>
      <w:bookmarkEnd w:id="503"/>
      <w:bookmarkEnd w:id="504"/>
      <w:bookmarkEnd w:id="505"/>
      <w:bookmarkEnd w:id="506"/>
      <w:bookmarkEnd w:id="507"/>
      <w:bookmarkEnd w:id="508"/>
      <w:bookmarkEnd w:id="509"/>
      <w:bookmarkEnd w:id="510"/>
      <w:bookmarkEnd w:id="511"/>
    </w:p>
    <w:p w14:paraId="0135E811">
      <w:pPr>
        <w:autoSpaceDE w:val="0"/>
        <w:autoSpaceDN w:val="0"/>
        <w:adjustRightInd w:val="0"/>
        <w:spacing w:line="360" w:lineRule="auto"/>
        <w:jc w:val="center"/>
        <w:outlineLvl w:val="9"/>
        <w:rPr>
          <w:rFonts w:hint="eastAsia" w:ascii="宋体" w:hAnsi="宋体" w:eastAsia="宋体" w:cs="宋体"/>
          <w:b/>
          <w:bCs/>
          <w:sz w:val="30"/>
          <w:szCs w:val="30"/>
          <w:highlight w:val="none"/>
          <w:lang w:val="zh-CN"/>
        </w:rPr>
      </w:pPr>
      <w:r>
        <w:rPr>
          <w:rFonts w:hint="eastAsia" w:ascii="宋体" w:hAnsi="宋体" w:eastAsia="宋体" w:cs="宋体"/>
          <w:b/>
          <w:bCs/>
          <w:sz w:val="30"/>
          <w:szCs w:val="30"/>
          <w:highlight w:val="none"/>
          <w:lang w:val="zh-CN"/>
        </w:rPr>
        <w:t>投标承诺书</w:t>
      </w:r>
    </w:p>
    <w:p w14:paraId="0CD805FC">
      <w:pPr>
        <w:widowControl/>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p>
    <w:p w14:paraId="291D0D72">
      <w:pPr>
        <w:widowControl/>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我方</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（投标人名称）已完整阅读了</w:t>
      </w:r>
      <w:r>
        <w:rPr>
          <w:rFonts w:hint="eastAsia" w:ascii="宋体" w:hAnsi="宋体" w:eastAsia="宋体" w:cs="宋体"/>
          <w:kern w:val="0"/>
          <w:szCs w:val="21"/>
          <w:highlight w:val="none"/>
          <w:u w:val="single"/>
          <w:lang w:eastAsia="zh-CN"/>
        </w:rPr>
        <w:t>东莞市水务环境投资控股集团有限公司注册发行60亿元公司债承销商采购项目（重新招标）</w:t>
      </w:r>
      <w:r>
        <w:rPr>
          <w:rFonts w:hint="eastAsia" w:ascii="宋体" w:hAnsi="宋体" w:eastAsia="宋体" w:cs="宋体"/>
          <w:kern w:val="0"/>
          <w:szCs w:val="21"/>
          <w:highlight w:val="none"/>
        </w:rPr>
        <w:t>（招标编号：</w:t>
      </w:r>
      <w:r>
        <w:rPr>
          <w:rFonts w:hint="eastAsia" w:ascii="宋体" w:hAnsi="宋体" w:eastAsia="宋体" w:cs="宋体"/>
          <w:kern w:val="0"/>
          <w:szCs w:val="21"/>
          <w:highlight w:val="none"/>
          <w:lang w:eastAsia="zh-CN"/>
        </w:rPr>
        <w:t xml:space="preserve">                                 </w:t>
      </w:r>
      <w:r>
        <w:rPr>
          <w:rFonts w:hint="eastAsia" w:ascii="宋体" w:hAnsi="宋体" w:eastAsia="宋体" w:cs="宋体"/>
          <w:kern w:val="0"/>
          <w:szCs w:val="21"/>
          <w:highlight w:val="none"/>
        </w:rPr>
        <w:t>）招标文件的所有内容（包括澄清，以及所有已提供的参考资料和有关附件），并完全理解上述文件所表达的意思，该项目递交投标文件时间截止后，我方承诺不再对上述文件内容进行询问或</w:t>
      </w:r>
      <w:r>
        <w:rPr>
          <w:rFonts w:hint="eastAsia" w:ascii="宋体" w:hAnsi="宋体" w:eastAsia="宋体" w:cs="宋体"/>
          <w:kern w:val="0"/>
          <w:szCs w:val="21"/>
          <w:highlight w:val="none"/>
          <w:lang w:eastAsia="zh-CN"/>
        </w:rPr>
        <w:t>异议</w:t>
      </w:r>
      <w:r>
        <w:rPr>
          <w:rFonts w:hint="eastAsia" w:ascii="宋体" w:hAnsi="宋体" w:eastAsia="宋体" w:cs="宋体"/>
          <w:kern w:val="0"/>
          <w:szCs w:val="21"/>
          <w:highlight w:val="none"/>
        </w:rPr>
        <w:t>。</w:t>
      </w:r>
      <w:r>
        <w:rPr>
          <w:rFonts w:hint="eastAsia" w:ascii="宋体" w:hAnsi="宋体" w:eastAsia="宋体" w:cs="宋体"/>
          <w:kern w:val="0"/>
          <w:szCs w:val="21"/>
          <w:highlight w:val="none"/>
        </w:rPr>
        <w:cr/>
      </w:r>
      <w:r>
        <w:rPr>
          <w:rFonts w:hint="eastAsia" w:ascii="宋体" w:hAnsi="宋体" w:eastAsia="宋体" w:cs="宋体"/>
          <w:kern w:val="0"/>
          <w:szCs w:val="21"/>
          <w:highlight w:val="none"/>
        </w:rPr>
        <w:t xml:space="preserve">    我方承诺，若我方存在通过弄虚作假、虚假响应招标文件要求等手段骗取中标的，招标人有权或协助主管部门认定我方严重失信的不良行为，纳入相关企业信用“黑名单”，限制我方参与依法必须招标项目的投标，并向行政主管部门报送结果。同时，招标人有权根据《关于对环境保护领域失信生产经营单位及其有关人员开展联合惩戒的合作备忘录》等规定，通过“信用中国”网站向社会公示我方的失信行为，实现“一处失信、处处受限”。</w:t>
      </w:r>
    </w:p>
    <w:p w14:paraId="5BB26180">
      <w:pPr>
        <w:widowControl/>
        <w:autoSpaceDE w:val="0"/>
        <w:autoSpaceDN w:val="0"/>
        <w:adjustRightInd w:val="0"/>
        <w:spacing w:line="360" w:lineRule="auto"/>
        <w:ind w:firstLine="420" w:firstLineChars="200"/>
        <w:jc w:val="left"/>
        <w:outlineLvl w:val="9"/>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若我方在投标或履行本合同过程中存在提供虚假材料、虚假响应招标文件要求等弄虚作假行为，或未能根据招标文件投标人须知第29.2款约定按时提供原件核查的，因此导致我方无法参与</w:t>
      </w:r>
      <w:r>
        <w:rPr>
          <w:rFonts w:hint="eastAsia" w:ascii="宋体" w:hAnsi="宋体" w:eastAsia="宋体" w:cs="宋体"/>
          <w:color w:val="auto"/>
          <w:kern w:val="0"/>
          <w:szCs w:val="21"/>
          <w:highlight w:val="none"/>
          <w:lang w:eastAsia="zh-CN"/>
        </w:rPr>
        <w:t>东莞市水务环境投资控股集团有限公司</w:t>
      </w:r>
      <w:r>
        <w:rPr>
          <w:rFonts w:hint="eastAsia" w:ascii="宋体" w:hAnsi="宋体" w:eastAsia="宋体" w:cs="宋体"/>
          <w:color w:val="auto"/>
          <w:kern w:val="0"/>
          <w:szCs w:val="21"/>
          <w:highlight w:val="none"/>
        </w:rPr>
        <w:t>相关招标采购活动的，由我方自行承担全部后果。</w:t>
      </w:r>
    </w:p>
    <w:p w14:paraId="73B0F632">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p>
    <w:p w14:paraId="0EF527D6">
      <w:pPr>
        <w:autoSpaceDE w:val="0"/>
        <w:autoSpaceDN w:val="0"/>
        <w:adjustRightInd w:val="0"/>
        <w:spacing w:line="360" w:lineRule="auto"/>
        <w:jc w:val="left"/>
        <w:outlineLvl w:val="9"/>
        <w:rPr>
          <w:rFonts w:hint="eastAsia" w:ascii="宋体" w:hAnsi="宋体" w:eastAsia="宋体" w:cs="宋体"/>
          <w:kern w:val="0"/>
          <w:sz w:val="24"/>
          <w:szCs w:val="24"/>
          <w:highlight w:val="none"/>
        </w:rPr>
      </w:pPr>
    </w:p>
    <w:p w14:paraId="3502FB09">
      <w:pPr>
        <w:autoSpaceDE w:val="0"/>
        <w:autoSpaceDN w:val="0"/>
        <w:adjustRightInd w:val="0"/>
        <w:spacing w:line="360" w:lineRule="auto"/>
        <w:jc w:val="left"/>
        <w:outlineLvl w:val="9"/>
        <w:rPr>
          <w:rFonts w:hint="eastAsia" w:ascii="宋体" w:hAnsi="宋体" w:eastAsia="宋体" w:cs="宋体"/>
          <w:kern w:val="0"/>
          <w:sz w:val="24"/>
          <w:szCs w:val="24"/>
          <w:highlight w:val="none"/>
        </w:rPr>
      </w:pPr>
    </w:p>
    <w:p w14:paraId="7758FA5C">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FED4C63">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279D68F1">
      <w:pPr>
        <w:autoSpaceDE w:val="0"/>
        <w:autoSpaceDN w:val="0"/>
        <w:adjustRightInd w:val="0"/>
        <w:spacing w:line="360" w:lineRule="auto"/>
        <w:ind w:firstLine="4960" w:firstLineChars="2362"/>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3982B0B6">
      <w:pPr>
        <w:autoSpaceDE w:val="0"/>
        <w:autoSpaceDN w:val="0"/>
        <w:adjustRightInd w:val="0"/>
        <w:spacing w:line="360" w:lineRule="auto"/>
        <w:jc w:val="center"/>
        <w:rPr>
          <w:rFonts w:hint="eastAsia"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说明：由投标人使用投标人的企业数字证书，法定代表人或其授权代表数字证书电子签名。</w:t>
      </w:r>
    </w:p>
    <w:p w14:paraId="00B7F9F4">
      <w:pPr>
        <w:autoSpaceDE w:val="0"/>
        <w:autoSpaceDN w:val="0"/>
        <w:adjustRightInd w:val="0"/>
        <w:spacing w:line="360" w:lineRule="auto"/>
        <w:jc w:val="left"/>
        <w:rPr>
          <w:rFonts w:hint="eastAsia" w:ascii="宋体" w:hAnsi="宋体" w:eastAsia="宋体" w:cs="宋体"/>
          <w:color w:val="auto"/>
          <w:kern w:val="0"/>
          <w:sz w:val="24"/>
          <w:szCs w:val="24"/>
          <w:highlight w:val="none"/>
        </w:rPr>
      </w:pPr>
    </w:p>
    <w:p w14:paraId="3147DF36">
      <w:pPr>
        <w:autoSpaceDE w:val="0"/>
        <w:autoSpaceDN w:val="0"/>
        <w:adjustRightInd w:val="0"/>
        <w:spacing w:line="360" w:lineRule="auto"/>
        <w:ind w:firstLine="480" w:firstLineChars="200"/>
        <w:jc w:val="left"/>
        <w:outlineLvl w:val="9"/>
        <w:rPr>
          <w:rFonts w:hint="eastAsia" w:ascii="宋体" w:hAnsi="宋体" w:eastAsia="宋体" w:cs="宋体"/>
          <w:kern w:val="0"/>
          <w:sz w:val="24"/>
          <w:szCs w:val="24"/>
          <w:highlight w:val="none"/>
        </w:rPr>
      </w:pPr>
    </w:p>
    <w:p w14:paraId="029EBC1A">
      <w:pPr>
        <w:autoSpaceDE w:val="0"/>
        <w:autoSpaceDN w:val="0"/>
        <w:adjustRightInd w:val="0"/>
        <w:spacing w:line="360" w:lineRule="auto"/>
        <w:jc w:val="left"/>
        <w:outlineLvl w:val="9"/>
        <w:rPr>
          <w:rFonts w:hint="eastAsia" w:ascii="宋体" w:hAnsi="宋体" w:eastAsia="宋体" w:cs="宋体"/>
          <w:kern w:val="0"/>
          <w:sz w:val="24"/>
          <w:szCs w:val="24"/>
          <w:highlight w:val="none"/>
        </w:rPr>
      </w:pPr>
    </w:p>
    <w:p w14:paraId="01738251">
      <w:pPr>
        <w:autoSpaceDE w:val="0"/>
        <w:autoSpaceDN w:val="0"/>
        <w:adjustRightInd w:val="0"/>
        <w:spacing w:line="360" w:lineRule="auto"/>
        <w:jc w:val="left"/>
        <w:outlineLvl w:val="9"/>
        <w:rPr>
          <w:rFonts w:hint="eastAsia" w:ascii="宋体" w:hAnsi="宋体" w:eastAsia="宋体" w:cs="宋体"/>
          <w:kern w:val="0"/>
          <w:sz w:val="24"/>
          <w:szCs w:val="24"/>
          <w:highlight w:val="none"/>
        </w:rPr>
      </w:pPr>
      <w:bookmarkStart w:id="512" w:name="_Toc311032584"/>
      <w:bookmarkStart w:id="513" w:name="_Toc316896755"/>
      <w:bookmarkStart w:id="514" w:name="_Toc326768876"/>
    </w:p>
    <w:p w14:paraId="59372AED">
      <w:pPr>
        <w:pageBreakBefore/>
        <w:autoSpaceDE w:val="0"/>
        <w:autoSpaceDN w:val="0"/>
        <w:adjustRightInd w:val="0"/>
        <w:spacing w:line="360" w:lineRule="auto"/>
        <w:jc w:val="left"/>
        <w:outlineLvl w:val="9"/>
        <w:rPr>
          <w:rFonts w:hint="eastAsia" w:ascii="宋体" w:hAnsi="宋体" w:eastAsia="宋体" w:cs="宋体"/>
          <w:b/>
          <w:kern w:val="44"/>
          <w:sz w:val="32"/>
          <w:szCs w:val="32"/>
          <w:highlight w:val="none"/>
        </w:rPr>
      </w:pPr>
      <w:bookmarkStart w:id="515" w:name="_Toc104991870"/>
      <w:bookmarkStart w:id="516" w:name="_Toc94107204"/>
      <w:bookmarkStart w:id="517" w:name="_Toc86764083"/>
      <w:bookmarkStart w:id="518" w:name="_Toc142508364"/>
      <w:bookmarkStart w:id="519" w:name="_Toc82182546"/>
      <w:bookmarkStart w:id="520" w:name="_Toc102860069"/>
      <w:bookmarkStart w:id="521" w:name="_Toc102860413"/>
      <w:bookmarkStart w:id="522" w:name="_Toc140596923"/>
      <w:bookmarkStart w:id="523" w:name="_Toc5075"/>
      <w:bookmarkStart w:id="524" w:name="_Toc29910"/>
      <w:bookmarkStart w:id="525" w:name="_Toc24336"/>
      <w:bookmarkStart w:id="526" w:name="_Toc1977723"/>
      <w:bookmarkStart w:id="527" w:name="_Toc7024_WPSOffice_Level2"/>
      <w:bookmarkStart w:id="528" w:name="_Toc533708123"/>
      <w:bookmarkStart w:id="529" w:name="_Toc486167711"/>
      <w:r>
        <w:rPr>
          <w:rFonts w:hint="eastAsia" w:ascii="宋体" w:hAnsi="宋体" w:eastAsia="宋体" w:cs="宋体"/>
          <w:b/>
          <w:kern w:val="44"/>
          <w:sz w:val="32"/>
          <w:szCs w:val="32"/>
          <w:highlight w:val="none"/>
        </w:rPr>
        <w:t>三、供货及/或提供服务过程承诺函格式</w:t>
      </w:r>
      <w:bookmarkEnd w:id="515"/>
      <w:bookmarkEnd w:id="516"/>
      <w:bookmarkEnd w:id="517"/>
      <w:bookmarkEnd w:id="518"/>
      <w:bookmarkEnd w:id="519"/>
      <w:bookmarkEnd w:id="520"/>
      <w:bookmarkEnd w:id="521"/>
      <w:bookmarkEnd w:id="522"/>
      <w:bookmarkEnd w:id="523"/>
      <w:bookmarkEnd w:id="524"/>
      <w:bookmarkEnd w:id="525"/>
    </w:p>
    <w:p w14:paraId="562344F7">
      <w:pPr>
        <w:autoSpaceDE w:val="0"/>
        <w:autoSpaceDN w:val="0"/>
        <w:adjustRightInd w:val="0"/>
        <w:spacing w:line="360" w:lineRule="auto"/>
        <w:jc w:val="center"/>
        <w:outlineLvl w:val="9"/>
        <w:rPr>
          <w:rFonts w:hint="eastAsia" w:ascii="宋体" w:hAnsi="宋体" w:eastAsia="宋体" w:cs="宋体"/>
          <w:b/>
          <w:kern w:val="44"/>
          <w:sz w:val="30"/>
          <w:szCs w:val="30"/>
          <w:highlight w:val="none"/>
        </w:rPr>
      </w:pPr>
      <w:r>
        <w:rPr>
          <w:rFonts w:hint="eastAsia" w:ascii="宋体" w:hAnsi="宋体" w:eastAsia="宋体" w:cs="宋体"/>
          <w:b/>
          <w:kern w:val="44"/>
          <w:sz w:val="30"/>
          <w:szCs w:val="30"/>
          <w:highlight w:val="none"/>
        </w:rPr>
        <w:t>供货及/或提供服务过程承诺函</w:t>
      </w:r>
    </w:p>
    <w:p w14:paraId="45D4C17D">
      <w:pPr>
        <w:autoSpaceDE w:val="0"/>
        <w:autoSpaceDN w:val="0"/>
        <w:adjustRightInd w:val="0"/>
        <w:spacing w:line="360" w:lineRule="auto"/>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致</w:t>
      </w:r>
      <w:r>
        <w:rPr>
          <w:rFonts w:hint="eastAsia" w:ascii="宋体" w:hAnsi="宋体" w:eastAsia="宋体" w:cs="宋体"/>
          <w:kern w:val="0"/>
          <w:szCs w:val="21"/>
          <w:highlight w:val="none"/>
          <w:lang w:eastAsia="zh-CN"/>
        </w:rPr>
        <w:t>东莞市水务环境投资控股集团有限公司</w:t>
      </w:r>
      <w:r>
        <w:rPr>
          <w:rFonts w:hint="eastAsia" w:ascii="宋体" w:hAnsi="宋体" w:eastAsia="宋体" w:cs="宋体"/>
          <w:kern w:val="0"/>
          <w:szCs w:val="21"/>
          <w:highlight w:val="none"/>
        </w:rPr>
        <w:t>：</w:t>
      </w:r>
    </w:p>
    <w:p w14:paraId="14BBDA2F">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我方</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（投标人名称）为招标人公开招标的</w:t>
      </w:r>
      <w:r>
        <w:rPr>
          <w:rFonts w:hint="eastAsia" w:ascii="宋体" w:hAnsi="宋体" w:eastAsia="宋体" w:cs="宋体"/>
          <w:kern w:val="0"/>
          <w:szCs w:val="21"/>
          <w:highlight w:val="none"/>
          <w:lang w:eastAsia="zh-CN"/>
        </w:rPr>
        <w:t>东莞市水务环境投资控股集团有限公司注册发行60亿元公司债承销商采购项目（重新招标）</w:t>
      </w:r>
      <w:r>
        <w:rPr>
          <w:rFonts w:hint="eastAsia" w:ascii="宋体" w:hAnsi="宋体" w:eastAsia="宋体" w:cs="宋体"/>
          <w:kern w:val="0"/>
          <w:szCs w:val="21"/>
          <w:highlight w:val="none"/>
        </w:rPr>
        <w:t>(招标编号：</w:t>
      </w:r>
      <w:r>
        <w:rPr>
          <w:rFonts w:hint="eastAsia" w:ascii="宋体" w:hAnsi="宋体" w:eastAsia="宋体" w:cs="宋体"/>
          <w:szCs w:val="21"/>
          <w:highlight w:val="none"/>
          <w:lang w:val="zh-CN"/>
        </w:rPr>
        <w:t xml:space="preserve">                                 </w:t>
      </w:r>
      <w:r>
        <w:rPr>
          <w:rFonts w:hint="eastAsia" w:ascii="宋体" w:hAnsi="宋体" w:eastAsia="宋体" w:cs="宋体"/>
          <w:kern w:val="0"/>
          <w:szCs w:val="21"/>
          <w:highlight w:val="none"/>
        </w:rPr>
        <w:t>)的投标单位，为确保供货及/或提供服务过程中的人身、财产安全，我方承诺，如我方获得中标资格，将严格按照下列要求开展工作。</w:t>
      </w:r>
    </w:p>
    <w:p w14:paraId="7B688BD7">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1、我方承诺将严格遵守国家、地方政府有关安全生产及劳动保护的法律法规、标准、规定，贯彻执行招标人的各项安全管理规章制度。</w:t>
      </w:r>
    </w:p>
    <w:p w14:paraId="57B2DC56">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2、我方承诺将依法参加工伤保险，为安排至招标人从事本项目的工作人员缴纳保险费，并为从事危险作业的人员办理意外伤害保险。</w:t>
      </w:r>
    </w:p>
    <w:p w14:paraId="55EE1408">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3、我方承诺服从招标人的安全管理，保证作业区域的现场文明安全管理达标，现场临时用电、机器设备、安全防护齐全、完好，并接受和配合招标人的安全监督检查，我方提供到招标人现场作业的所有安全装置、防护设施必须依据经招标人审批后的安全技术方案进行搭设、安装，同时我方无条件保证安全防护设施使用的搭设材料的质量安全，在用于安全防护的物资进场前将有关物资的材质证明报招标人，经招标人确认后方可使用。</w:t>
      </w:r>
    </w:p>
    <w:p w14:paraId="60EAC95E">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4、我方承诺携带进场的机器设备、机具必须是合格产品，并对携带进场的机器设备、机具安全负责管理、维护及检查，对招标人和自查发现的安全隐患落实整改措施。如我方使用不合格机器设备、机具造成事故的，由我方自行承担责任。</w:t>
      </w:r>
    </w:p>
    <w:p w14:paraId="12F006DD">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5、我方人员未经许可不随意到作业区域以外的其它工作场所活动，我方作业人员擅自到作业区域以外的其它工作场所活动，出现人身损害或财产损失的，由我方自行负责一切责任。我方作业人员如需动用或作业涉及到招标人所属设备、电器、管线及其他设施等，承诺事先征得招标人代表的同意，并采取安全防护措施。</w:t>
      </w:r>
    </w:p>
    <w:p w14:paraId="6EE02C37">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6、我方承诺在进行卸货等工作时，严格遵守相关劳动安全规定，并按要求佩戴相关安全劳动防护用具。我方承诺做好安全防护措施，在工作过程中出现的安全事故由我方自行处理并承担全部责任。我方承诺我方人员在招标人场所遵守招标人的一切规章制度和安全条例，服从招标人的监督。我方在提供服务过程中，如因违反招标人相关规章制度、安全条例，或因不服从招标人监督而发生安全事故的，其结果与责任均由我方负责，招标人无须承担任何结果与责任。</w:t>
      </w:r>
    </w:p>
    <w:p w14:paraId="4C9BFC69">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7、我方承诺协助和指导招标人进行货物的储存，对招标人的储存方式、方法、储存数量、仓库的安全设施设备、安全生产规章制度等是否符合国家标准或者国家有关规定提出合理的建议，并进行技术指导。</w:t>
      </w:r>
    </w:p>
    <w:p w14:paraId="6E21FC3B">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8、我方车辆在招标人场所行驶时，将严格遵守厂区道路限行，限速和限重要求，如因我方未遵守前述要求，对厂区/招标人（含其人员）、我方人员、第三方造成损失的，由我方承担赔偿责任。</w:t>
      </w:r>
    </w:p>
    <w:p w14:paraId="00C62672">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9、如我方开展服务项目需进行外出调研或现场作业的，由我方派人负责安全保卫工作，按国家有关规定，对作业的现场人员进行安全防护、劳动保护等，并承担相应的费用。若发生工作人员或第三人人身伤害等事故的，由我方全部承担责任。</w:t>
      </w:r>
    </w:p>
    <w:p w14:paraId="22D22CBB">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10、因我方原因，造成我方损失，由我方自负，给招标人造成财产损失和人员伤害，我方承担全部责任，并全额赔偿招标人。</w:t>
      </w:r>
    </w:p>
    <w:p w14:paraId="0264391A">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11、非因招标人原因，造成我方损失的，招标人无需承担任何责任，由我方自行承担全部责任。</w:t>
      </w:r>
    </w:p>
    <w:p w14:paraId="296A8A76">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12、我方承诺严格遵守法律法规以及招标人的安全管理要求，并接受招标人的安全生产工作协调和监督，积极消除安全隐患。安全管理的基本要求包括但不限于以下条款：</w:t>
      </w:r>
    </w:p>
    <w:p w14:paraId="7D6AA97A">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①禁火区内严禁吸烟、动火。有火灾危险的作业区域，我方承诺配置足够的灭火设施。</w:t>
      </w:r>
    </w:p>
    <w:p w14:paraId="1D469A09">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②我方承诺焊接、气割作业时两瓶距离必须达到5M及以上，气瓶距可能产生火花的电器、设备和其它火源的间距必须达到10M及以上。</w:t>
      </w:r>
    </w:p>
    <w:p w14:paraId="6E132BBD">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③我方承诺不在厂内道路、消防通道内搭建临时建筑或堆放物资。</w:t>
      </w:r>
    </w:p>
    <w:p w14:paraId="22C0E432">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④我方承诺电动工具、电焊机等均具有漏电保护器和相应的安全防护装置。</w:t>
      </w:r>
    </w:p>
    <w:p w14:paraId="2CDE8B0F">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⑤我方承诺用电设施符合要求，杜绝电线乱接、乱拉，刀闸和开关无盖，在电器设施上堆放物品等行为。</w:t>
      </w:r>
    </w:p>
    <w:p w14:paraId="5D2AEF36">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⑥我方承诺防雷、防静电设施及用电设施有良好接地。</w:t>
      </w:r>
    </w:p>
    <w:p w14:paraId="7B2C4086">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⑦我方承诺为从业人员提供符合国家标准或者行业标准的劳动防护用品，并监督、教育从业人员按照使用规则佩戴、使用，防止工伤事故的发生。我方承诺，如发生各类工伤事故，绝不隐瞒不报。发生重伤及重伤以上事故，应及时组织抢救、保护好现场，并立即报告招标人主管领导。</w:t>
      </w:r>
    </w:p>
    <w:p w14:paraId="6FE789A4">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13、我方承诺接受招标人的检查与监督，并主动配合，做好安全工作，凡有违反上述条款的即视为我方违约，招标人有权视情况从货物/服务价款中扣除</w:t>
      </w:r>
      <w:r>
        <w:rPr>
          <w:rFonts w:hint="eastAsia" w:ascii="宋体" w:hAnsi="宋体" w:eastAsia="宋体" w:cs="宋体"/>
          <w:kern w:val="0"/>
          <w:szCs w:val="21"/>
          <w:highlight w:val="none"/>
          <w:lang w:val="en-US" w:eastAsia="zh-CN"/>
        </w:rPr>
        <w:t>2000</w:t>
      </w:r>
      <w:r>
        <w:rPr>
          <w:rFonts w:hint="eastAsia" w:ascii="宋体" w:hAnsi="宋体" w:eastAsia="宋体" w:cs="宋体"/>
          <w:kern w:val="0"/>
          <w:szCs w:val="21"/>
          <w:highlight w:val="none"/>
        </w:rPr>
        <w:t>元/次作为违约金。</w:t>
      </w:r>
    </w:p>
    <w:p w14:paraId="18B6F8CE">
      <w:pPr>
        <w:autoSpaceDE w:val="0"/>
        <w:autoSpaceDN w:val="0"/>
        <w:adjustRightInd w:val="0"/>
        <w:spacing w:line="360" w:lineRule="auto"/>
        <w:ind w:firstLine="420" w:firstLineChars="200"/>
        <w:jc w:val="left"/>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如因我方违反上述条款造成安全生产事故的，我方将承担由此引发的一切责任与后果，如造成招标人损失的，我方将予以足额赔偿，同时，招标人有权没收我方提交的履约担保。</w:t>
      </w:r>
    </w:p>
    <w:p w14:paraId="677A046F">
      <w:pPr>
        <w:autoSpaceDE w:val="0"/>
        <w:autoSpaceDN w:val="0"/>
        <w:adjustRightInd w:val="0"/>
        <w:spacing w:line="360" w:lineRule="auto"/>
        <w:ind w:firstLine="5040"/>
        <w:rPr>
          <w:rFonts w:hint="eastAsia" w:ascii="宋体" w:hAnsi="宋体" w:eastAsia="宋体" w:cs="宋体"/>
          <w:color w:val="auto"/>
          <w:kern w:val="0"/>
          <w:szCs w:val="21"/>
          <w:highlight w:val="none"/>
        </w:rPr>
      </w:pPr>
      <w:bookmarkStart w:id="530" w:name="_Toc1140"/>
      <w:bookmarkStart w:id="531" w:name="_Toc18346"/>
      <w:bookmarkStart w:id="532" w:name="_Toc102860071"/>
      <w:bookmarkStart w:id="533" w:name="_Toc140596925"/>
      <w:bookmarkStart w:id="534" w:name="_Toc104991872"/>
      <w:bookmarkStart w:id="535" w:name="_Toc142508366"/>
      <w:bookmarkStart w:id="536" w:name="_Toc13416"/>
      <w:bookmarkStart w:id="537" w:name="_Toc102860415"/>
      <w:bookmarkStart w:id="538" w:name="_Toc94107206"/>
      <w:r>
        <w:rPr>
          <w:rFonts w:hint="eastAsia" w:ascii="宋体" w:hAnsi="宋体" w:eastAsia="宋体" w:cs="宋体"/>
          <w:color w:val="auto"/>
          <w:kern w:val="0"/>
          <w:szCs w:val="21"/>
          <w:highlight w:val="none"/>
        </w:rPr>
        <w:t xml:space="preserve">                                 </w:t>
      </w:r>
    </w:p>
    <w:p w14:paraId="0EED9B4C">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FDF81B4">
      <w:pPr>
        <w:autoSpaceDE w:val="0"/>
        <w:autoSpaceDN w:val="0"/>
        <w:adjustRightInd w:val="0"/>
        <w:spacing w:line="360" w:lineRule="auto"/>
        <w:ind w:firstLine="4960" w:firstLineChars="2362"/>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法定代表人或其授权代表签名：</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（电子签名）</w:t>
      </w:r>
    </w:p>
    <w:p w14:paraId="004F6CCB">
      <w:pPr>
        <w:autoSpaceDE w:val="0"/>
        <w:autoSpaceDN w:val="0"/>
        <w:adjustRightInd w:val="0"/>
        <w:spacing w:line="360" w:lineRule="auto"/>
        <w:ind w:firstLine="4960" w:firstLineChars="2362"/>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07F53A8B">
      <w:pPr>
        <w:autoSpaceDE w:val="0"/>
        <w:autoSpaceDN w:val="0"/>
        <w:adjustRightInd w:val="0"/>
        <w:spacing w:line="360" w:lineRule="auto"/>
        <w:jc w:val="center"/>
        <w:rPr>
          <w:rFonts w:hint="eastAsia"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说明：由投标人使用投标人的企业数字证书，法定代表人或其授权代表数字证书电子签名。</w:t>
      </w:r>
    </w:p>
    <w:p w14:paraId="0E6C40B6">
      <w:pPr>
        <w:keepNext w:val="0"/>
        <w:keepLines w:val="0"/>
        <w:pageBreakBefore/>
        <w:widowControl w:val="0"/>
        <w:tabs>
          <w:tab w:val="left" w:pos="567"/>
        </w:tabs>
        <w:kinsoku/>
        <w:wordWrap/>
        <w:overflowPunct/>
        <w:topLinePunct w:val="0"/>
        <w:autoSpaceDE w:val="0"/>
        <w:autoSpaceDN w:val="0"/>
        <w:bidi w:val="0"/>
        <w:adjustRightInd w:val="0"/>
        <w:snapToGrid/>
        <w:spacing w:line="360" w:lineRule="auto"/>
        <w:jc w:val="left"/>
        <w:textAlignment w:val="auto"/>
        <w:outlineLvl w:val="9"/>
        <w:rPr>
          <w:rFonts w:hint="eastAsia" w:ascii="宋体" w:hAnsi="宋体" w:eastAsia="宋体" w:cs="宋体"/>
          <w:b/>
          <w:kern w:val="0"/>
          <w:sz w:val="32"/>
          <w:szCs w:val="32"/>
          <w:highlight w:val="none"/>
        </w:rPr>
      </w:pPr>
      <w:r>
        <w:rPr>
          <w:rFonts w:hint="eastAsia" w:ascii="宋体" w:hAnsi="宋体" w:eastAsia="宋体" w:cs="宋体"/>
          <w:b/>
          <w:kern w:val="0"/>
          <w:sz w:val="32"/>
          <w:szCs w:val="32"/>
          <w:highlight w:val="none"/>
          <w:lang w:val="en-US" w:eastAsia="zh-CN"/>
        </w:rPr>
        <w:t>四</w:t>
      </w:r>
      <w:r>
        <w:rPr>
          <w:rFonts w:hint="eastAsia" w:ascii="宋体" w:hAnsi="宋体" w:eastAsia="宋体" w:cs="宋体"/>
          <w:b/>
          <w:kern w:val="0"/>
          <w:sz w:val="32"/>
          <w:szCs w:val="32"/>
          <w:highlight w:val="none"/>
        </w:rPr>
        <w:t>、</w:t>
      </w:r>
      <w:bookmarkEnd w:id="526"/>
      <w:bookmarkEnd w:id="527"/>
      <w:bookmarkEnd w:id="528"/>
      <w:bookmarkEnd w:id="529"/>
      <w:bookmarkEnd w:id="530"/>
      <w:bookmarkEnd w:id="531"/>
      <w:bookmarkEnd w:id="532"/>
      <w:bookmarkEnd w:id="533"/>
      <w:bookmarkEnd w:id="534"/>
      <w:bookmarkEnd w:id="535"/>
      <w:bookmarkEnd w:id="536"/>
      <w:bookmarkEnd w:id="537"/>
      <w:bookmarkEnd w:id="538"/>
      <w:bookmarkStart w:id="539" w:name="_Toc102860074"/>
      <w:bookmarkStart w:id="540" w:name="_Toc23083"/>
      <w:bookmarkStart w:id="541" w:name="_Toc104991875"/>
      <w:bookmarkStart w:id="542" w:name="_Toc140596928"/>
      <w:bookmarkStart w:id="543" w:name="_Toc26516"/>
      <w:bookmarkStart w:id="544" w:name="_Toc1977725"/>
      <w:bookmarkStart w:id="545" w:name="_Toc102860418"/>
      <w:bookmarkStart w:id="546" w:name="_Toc142508369"/>
      <w:bookmarkStart w:id="547" w:name="_Toc6190"/>
      <w:bookmarkStart w:id="548" w:name="_Toc94107209"/>
      <w:bookmarkStart w:id="549" w:name="_Toc486167712"/>
      <w:bookmarkStart w:id="550" w:name="_Toc20759_WPSOffice_Level2"/>
      <w:bookmarkStart w:id="551" w:name="_Toc533708124"/>
      <w:r>
        <w:rPr>
          <w:rFonts w:hint="eastAsia" w:ascii="宋体" w:hAnsi="宋体" w:eastAsia="宋体" w:cs="宋体"/>
          <w:b/>
          <w:kern w:val="0"/>
          <w:sz w:val="32"/>
          <w:szCs w:val="32"/>
          <w:highlight w:val="none"/>
        </w:rPr>
        <w:t>投标人资格证明文件</w:t>
      </w:r>
      <w:bookmarkEnd w:id="539"/>
      <w:bookmarkEnd w:id="540"/>
      <w:bookmarkEnd w:id="541"/>
      <w:bookmarkEnd w:id="542"/>
      <w:bookmarkEnd w:id="543"/>
      <w:bookmarkEnd w:id="544"/>
      <w:bookmarkEnd w:id="545"/>
      <w:bookmarkEnd w:id="546"/>
      <w:bookmarkEnd w:id="547"/>
      <w:bookmarkEnd w:id="548"/>
    </w:p>
    <w:p w14:paraId="1B0E2158">
      <w:pPr>
        <w:tabs>
          <w:tab w:val="left" w:pos="567"/>
        </w:tabs>
        <w:autoSpaceDE w:val="0"/>
        <w:autoSpaceDN w:val="0"/>
        <w:adjustRightInd w:val="0"/>
        <w:spacing w:line="360" w:lineRule="auto"/>
        <w:jc w:val="left"/>
        <w:outlineLvl w:val="9"/>
        <w:rPr>
          <w:rFonts w:hint="eastAsia" w:ascii="宋体" w:hAnsi="宋体" w:eastAsia="宋体" w:cs="宋体"/>
          <w:b/>
          <w:kern w:val="0"/>
          <w:sz w:val="30"/>
          <w:szCs w:val="30"/>
          <w:highlight w:val="none"/>
        </w:rPr>
      </w:pPr>
      <w:bookmarkStart w:id="552" w:name="_Toc104991876"/>
      <w:bookmarkStart w:id="553" w:name="_Toc17358"/>
      <w:bookmarkStart w:id="554" w:name="_Toc25267"/>
      <w:bookmarkStart w:id="555" w:name="_Toc94107210"/>
      <w:bookmarkStart w:id="556" w:name="_Toc142508370"/>
      <w:bookmarkStart w:id="557" w:name="_Toc102860075"/>
      <w:bookmarkStart w:id="558" w:name="_Toc29874"/>
      <w:bookmarkStart w:id="559" w:name="_Toc140596929"/>
      <w:bookmarkStart w:id="560" w:name="_Toc102860419"/>
      <w:bookmarkStart w:id="561" w:name="_Toc1977726"/>
      <w:r>
        <w:rPr>
          <w:rFonts w:hint="eastAsia" w:ascii="宋体" w:hAnsi="宋体" w:eastAsia="宋体" w:cs="宋体"/>
          <w:b/>
          <w:kern w:val="0"/>
          <w:sz w:val="30"/>
          <w:szCs w:val="30"/>
          <w:highlight w:val="none"/>
          <w:lang w:val="en-US" w:eastAsia="zh-CN"/>
        </w:rPr>
        <w:t>4</w:t>
      </w:r>
      <w:r>
        <w:rPr>
          <w:rFonts w:hint="eastAsia" w:ascii="宋体" w:hAnsi="宋体" w:eastAsia="宋体" w:cs="宋体"/>
          <w:b/>
          <w:kern w:val="0"/>
          <w:sz w:val="30"/>
          <w:szCs w:val="30"/>
          <w:highlight w:val="none"/>
        </w:rPr>
        <w:t>.1 多证合一营业执照（或事业单位法人证书）</w:t>
      </w:r>
      <w:r>
        <w:rPr>
          <w:rFonts w:hint="eastAsia" w:ascii="宋体" w:hAnsi="宋体" w:eastAsia="宋体" w:cs="宋体"/>
          <w:b/>
          <w:kern w:val="0"/>
          <w:sz w:val="30"/>
          <w:szCs w:val="30"/>
          <w:highlight w:val="none"/>
          <w:lang w:eastAsia="zh-CN"/>
        </w:rPr>
        <w:t>扫描件</w:t>
      </w:r>
      <w:r>
        <w:rPr>
          <w:rFonts w:hint="eastAsia" w:ascii="宋体" w:hAnsi="宋体" w:eastAsia="宋体" w:cs="宋体"/>
          <w:b/>
          <w:color w:val="000000"/>
          <w:sz w:val="30"/>
          <w:szCs w:val="30"/>
        </w:rPr>
        <w:t>（分支机构投标的，还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bookmarkEnd w:id="552"/>
      <w:bookmarkEnd w:id="553"/>
      <w:bookmarkEnd w:id="554"/>
      <w:bookmarkEnd w:id="555"/>
      <w:bookmarkEnd w:id="556"/>
      <w:bookmarkEnd w:id="557"/>
      <w:bookmarkEnd w:id="558"/>
      <w:bookmarkEnd w:id="559"/>
      <w:bookmarkEnd w:id="560"/>
    </w:p>
    <w:p w14:paraId="3C8B3A29">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3ED93470">
      <w:pPr>
        <w:tabs>
          <w:tab w:val="left" w:pos="567"/>
        </w:tabs>
        <w:autoSpaceDE w:val="0"/>
        <w:autoSpaceDN w:val="0"/>
        <w:adjustRightInd w:val="0"/>
        <w:spacing w:line="360" w:lineRule="auto"/>
        <w:ind w:firstLine="316" w:firstLineChars="150"/>
        <w:jc w:val="left"/>
        <w:outlineLvl w:val="9"/>
        <w:rPr>
          <w:rFonts w:hint="eastAsia" w:ascii="宋体" w:hAnsi="宋体" w:eastAsia="宋体" w:cs="宋体"/>
          <w:b/>
          <w:kern w:val="0"/>
          <w:szCs w:val="21"/>
          <w:highlight w:val="none"/>
        </w:rPr>
        <w:sectPr>
          <w:pgSz w:w="12240" w:h="15840"/>
          <w:pgMar w:top="1191" w:right="1043" w:bottom="1191" w:left="1043" w:header="720" w:footer="720" w:gutter="0"/>
          <w:cols w:space="720" w:num="1"/>
          <w:titlePg/>
          <w:docGrid w:linePitch="326" w:charSpace="0"/>
        </w:sectPr>
      </w:pPr>
    </w:p>
    <w:p w14:paraId="319084A1">
      <w:pPr>
        <w:tabs>
          <w:tab w:val="left" w:pos="567"/>
        </w:tabs>
        <w:autoSpaceDE w:val="0"/>
        <w:autoSpaceDN w:val="0"/>
        <w:adjustRightInd w:val="0"/>
        <w:spacing w:line="360" w:lineRule="auto"/>
        <w:jc w:val="left"/>
        <w:outlineLvl w:val="9"/>
        <w:rPr>
          <w:rFonts w:hint="eastAsia" w:ascii="宋体" w:hAnsi="宋体" w:eastAsia="宋体" w:cs="宋体"/>
          <w:b/>
          <w:kern w:val="0"/>
          <w:sz w:val="30"/>
          <w:szCs w:val="30"/>
          <w:highlight w:val="none"/>
        </w:rPr>
      </w:pPr>
      <w:bookmarkStart w:id="562" w:name="_Toc102860076"/>
      <w:bookmarkStart w:id="563" w:name="_Toc27861"/>
      <w:bookmarkStart w:id="564" w:name="_Toc104991877"/>
      <w:bookmarkStart w:id="565" w:name="_Toc94107211"/>
      <w:bookmarkStart w:id="566" w:name="_Toc140596930"/>
      <w:bookmarkStart w:id="567" w:name="_Toc7756"/>
      <w:bookmarkStart w:id="568" w:name="_Toc142508371"/>
      <w:bookmarkStart w:id="569" w:name="_Toc25013"/>
      <w:bookmarkStart w:id="570" w:name="_Toc102860420"/>
      <w:r>
        <w:rPr>
          <w:rFonts w:hint="eastAsia" w:ascii="宋体" w:hAnsi="宋体" w:eastAsia="宋体" w:cs="宋体"/>
          <w:b/>
          <w:kern w:val="0"/>
          <w:sz w:val="30"/>
          <w:szCs w:val="30"/>
          <w:highlight w:val="none"/>
          <w:lang w:val="en-US" w:eastAsia="zh-CN"/>
        </w:rPr>
        <w:t>4</w:t>
      </w:r>
      <w:r>
        <w:rPr>
          <w:rFonts w:hint="eastAsia" w:ascii="宋体" w:hAnsi="宋体" w:eastAsia="宋体" w:cs="宋体"/>
          <w:b/>
          <w:kern w:val="0"/>
          <w:sz w:val="30"/>
          <w:szCs w:val="30"/>
          <w:highlight w:val="none"/>
        </w:rPr>
        <w:t xml:space="preserve">.2 </w:t>
      </w:r>
      <w:bookmarkEnd w:id="562"/>
      <w:bookmarkEnd w:id="563"/>
      <w:bookmarkEnd w:id="564"/>
      <w:bookmarkEnd w:id="565"/>
      <w:bookmarkEnd w:id="566"/>
      <w:bookmarkEnd w:id="567"/>
      <w:bookmarkEnd w:id="568"/>
      <w:bookmarkEnd w:id="569"/>
      <w:bookmarkEnd w:id="570"/>
      <w:r>
        <w:rPr>
          <w:rFonts w:hint="eastAsia" w:ascii="宋体" w:hAnsi="宋体" w:eastAsia="宋体" w:cs="宋体"/>
          <w:b/>
          <w:color w:val="auto"/>
          <w:kern w:val="0"/>
          <w:sz w:val="30"/>
          <w:szCs w:val="30"/>
          <w:highlight w:val="none"/>
        </w:rPr>
        <w:t>开户许可证原件扫描件（基本存款账户），如投标人企业银行账户开户所在地区已取消企业银行账户许可，投标人应提供基本存款账户开户名称、开户银行、账号、编号等信息及相关备案证明（如有）或其他能证明其为基本存款账户的资料原件扫描件</w:t>
      </w:r>
    </w:p>
    <w:p w14:paraId="34433289">
      <w:pPr>
        <w:tabs>
          <w:tab w:val="left" w:pos="567"/>
        </w:tabs>
        <w:autoSpaceDE w:val="0"/>
        <w:autoSpaceDN w:val="0"/>
        <w:adjustRightInd w:val="0"/>
        <w:spacing w:line="360" w:lineRule="auto"/>
        <w:jc w:val="left"/>
        <w:outlineLvl w:val="9"/>
        <w:rPr>
          <w:rFonts w:hint="eastAsia" w:ascii="宋体" w:hAnsi="宋体" w:eastAsia="宋体" w:cs="宋体"/>
          <w:b/>
          <w:bCs/>
          <w:color w:val="000000"/>
          <w:sz w:val="30"/>
          <w:szCs w:val="30"/>
        </w:rPr>
      </w:pPr>
      <w:r>
        <w:rPr>
          <w:rFonts w:hint="eastAsia" w:ascii="宋体" w:hAnsi="宋体" w:eastAsia="宋体" w:cs="宋体"/>
          <w:b/>
          <w:kern w:val="0"/>
          <w:sz w:val="30"/>
          <w:szCs w:val="30"/>
          <w:highlight w:val="none"/>
        </w:rPr>
        <w:br w:type="page"/>
      </w:r>
      <w:bookmarkStart w:id="571" w:name="_Toc104991878"/>
      <w:bookmarkStart w:id="572" w:name="_Toc7441"/>
      <w:bookmarkStart w:id="573" w:name="_Toc9132"/>
      <w:bookmarkStart w:id="574" w:name="_Toc140596931"/>
      <w:bookmarkStart w:id="575" w:name="_Toc142508372"/>
      <w:bookmarkStart w:id="576" w:name="_Toc94107212"/>
      <w:bookmarkStart w:id="577" w:name="_Toc17499"/>
      <w:bookmarkStart w:id="578" w:name="_Toc102860077"/>
      <w:bookmarkStart w:id="579" w:name="_Toc102860421"/>
      <w:r>
        <w:rPr>
          <w:rFonts w:hint="eastAsia" w:ascii="宋体" w:hAnsi="宋体" w:eastAsia="宋体" w:cs="宋体"/>
          <w:b/>
          <w:kern w:val="0"/>
          <w:sz w:val="30"/>
          <w:szCs w:val="30"/>
          <w:highlight w:val="none"/>
          <w:lang w:val="en-US" w:eastAsia="zh-CN"/>
        </w:rPr>
        <w:t>4</w:t>
      </w:r>
      <w:r>
        <w:rPr>
          <w:rFonts w:hint="eastAsia" w:ascii="宋体" w:hAnsi="宋体" w:eastAsia="宋体" w:cs="宋体"/>
          <w:b/>
          <w:kern w:val="0"/>
          <w:sz w:val="30"/>
          <w:szCs w:val="30"/>
          <w:highlight w:val="none"/>
        </w:rPr>
        <w:t>.3</w:t>
      </w:r>
      <w:r>
        <w:rPr>
          <w:rFonts w:hint="eastAsia" w:ascii="宋体" w:hAnsi="宋体" w:eastAsia="宋体" w:cs="宋体"/>
          <w:b/>
          <w:bCs/>
          <w:color w:val="000000"/>
          <w:sz w:val="30"/>
          <w:szCs w:val="30"/>
        </w:rPr>
        <w:t>公司债主承销商及服务资质（须提供《经营证券期货业务许可证》</w:t>
      </w:r>
      <w:r>
        <w:rPr>
          <w:rFonts w:hint="eastAsia" w:ascii="宋体" w:hAnsi="宋体" w:eastAsia="宋体" w:cs="宋体"/>
          <w:b/>
          <w:bCs/>
          <w:color w:val="000000"/>
          <w:sz w:val="30"/>
          <w:szCs w:val="30"/>
          <w:lang w:eastAsia="zh-CN"/>
        </w:rPr>
        <w:t>扫描件</w:t>
      </w:r>
      <w:r>
        <w:rPr>
          <w:rFonts w:hint="eastAsia" w:ascii="宋体" w:hAnsi="宋体" w:eastAsia="宋体" w:cs="宋体"/>
          <w:b/>
          <w:bCs/>
          <w:color w:val="000000"/>
          <w:sz w:val="30"/>
          <w:szCs w:val="30"/>
        </w:rPr>
        <w:t>）</w:t>
      </w:r>
    </w:p>
    <w:p w14:paraId="563A6FAE">
      <w:pPr>
        <w:tabs>
          <w:tab w:val="left" w:pos="567"/>
        </w:tabs>
        <w:autoSpaceDE w:val="0"/>
        <w:autoSpaceDN w:val="0"/>
        <w:adjustRightInd w:val="0"/>
        <w:spacing w:line="360" w:lineRule="auto"/>
        <w:jc w:val="left"/>
        <w:outlineLvl w:val="9"/>
        <w:rPr>
          <w:rFonts w:hint="eastAsia" w:ascii="宋体" w:hAnsi="宋体" w:eastAsia="宋体" w:cs="宋体"/>
          <w:b/>
          <w:kern w:val="0"/>
          <w:sz w:val="30"/>
          <w:szCs w:val="30"/>
          <w:highlight w:val="none"/>
        </w:rPr>
      </w:pPr>
      <w:r>
        <w:rPr>
          <w:rFonts w:hint="eastAsia" w:ascii="宋体" w:hAnsi="宋体" w:eastAsia="宋体" w:cs="宋体"/>
          <w:b/>
          <w:kern w:val="0"/>
          <w:sz w:val="30"/>
          <w:szCs w:val="30"/>
          <w:highlight w:val="none"/>
        </w:rPr>
        <w:t xml:space="preserve"> </w:t>
      </w:r>
    </w:p>
    <w:p w14:paraId="22DC7E51">
      <w:pPr>
        <w:pageBreakBefore/>
        <w:tabs>
          <w:tab w:val="left" w:pos="567"/>
        </w:tabs>
        <w:autoSpaceDE w:val="0"/>
        <w:autoSpaceDN w:val="0"/>
        <w:adjustRightInd w:val="0"/>
        <w:spacing w:line="360" w:lineRule="auto"/>
        <w:jc w:val="left"/>
        <w:outlineLvl w:val="9"/>
        <w:rPr>
          <w:rFonts w:hint="eastAsia" w:ascii="宋体" w:hAnsi="宋体" w:eastAsia="宋体" w:cs="宋体"/>
          <w:b/>
          <w:kern w:val="0"/>
          <w:szCs w:val="21"/>
          <w:highlight w:val="none"/>
        </w:rPr>
      </w:pPr>
      <w:r>
        <w:rPr>
          <w:rFonts w:hint="eastAsia" w:ascii="宋体" w:hAnsi="宋体" w:eastAsia="宋体" w:cs="宋体"/>
          <w:b/>
          <w:kern w:val="0"/>
          <w:sz w:val="30"/>
          <w:szCs w:val="30"/>
          <w:highlight w:val="none"/>
          <w:lang w:val="en-US" w:eastAsia="zh-CN"/>
        </w:rPr>
        <w:t>4.4</w:t>
      </w:r>
      <w:r>
        <w:rPr>
          <w:rFonts w:hint="eastAsia" w:ascii="宋体" w:hAnsi="宋体" w:eastAsia="宋体" w:cs="宋体"/>
          <w:b/>
          <w:kern w:val="0"/>
          <w:sz w:val="30"/>
          <w:szCs w:val="30"/>
          <w:highlight w:val="none"/>
        </w:rPr>
        <w:t>法定代表人身份证明书原件、法定代表人授权书原件格式（法定代表人投标时只需提供法定代表人身份证明书，委托他人为投标代表或签署投标文件时需同时提供法定代表人授权书）</w:t>
      </w:r>
      <w:bookmarkEnd w:id="571"/>
      <w:bookmarkEnd w:id="572"/>
      <w:bookmarkEnd w:id="573"/>
      <w:bookmarkEnd w:id="574"/>
      <w:bookmarkEnd w:id="575"/>
      <w:bookmarkEnd w:id="576"/>
      <w:bookmarkEnd w:id="577"/>
      <w:bookmarkEnd w:id="578"/>
      <w:bookmarkEnd w:id="579"/>
    </w:p>
    <w:p w14:paraId="4F0D425C">
      <w:pPr>
        <w:spacing w:before="120" w:after="120" w:line="360" w:lineRule="auto"/>
        <w:ind w:firstLine="426" w:firstLineChars="202"/>
        <w:outlineLvl w:val="9"/>
        <w:rPr>
          <w:rFonts w:hint="eastAsia" w:ascii="宋体" w:hAnsi="宋体" w:eastAsia="宋体" w:cs="宋体"/>
          <w:b/>
          <w:szCs w:val="24"/>
          <w:highlight w:val="none"/>
        </w:rPr>
      </w:pPr>
      <w:r>
        <w:rPr>
          <w:rFonts w:hint="eastAsia" w:ascii="宋体" w:hAnsi="宋体" w:eastAsia="宋体" w:cs="宋体"/>
          <w:b/>
          <w:szCs w:val="24"/>
          <w:highlight w:val="none"/>
        </w:rPr>
        <w:t>（1）法定代表人身份证明书格式</w:t>
      </w:r>
      <w:bookmarkEnd w:id="549"/>
      <w:bookmarkEnd w:id="550"/>
      <w:bookmarkEnd w:id="551"/>
      <w:bookmarkEnd w:id="561"/>
    </w:p>
    <w:p w14:paraId="0C107E71">
      <w:pPr>
        <w:spacing w:before="120" w:after="120" w:line="360" w:lineRule="auto"/>
        <w:ind w:firstLine="608" w:firstLineChars="202"/>
        <w:jc w:val="center"/>
        <w:outlineLvl w:val="4"/>
        <w:rPr>
          <w:rFonts w:hint="eastAsia" w:ascii="宋体" w:hAnsi="宋体" w:eastAsia="宋体" w:cs="宋体"/>
          <w:b/>
          <w:bCs/>
          <w:color w:val="auto"/>
          <w:sz w:val="30"/>
          <w:szCs w:val="30"/>
          <w:highlight w:val="none"/>
        </w:rPr>
      </w:pPr>
      <w:bookmarkStart w:id="580" w:name="_Toc11033_WPSOffice_Level3"/>
      <w:r>
        <w:rPr>
          <w:rFonts w:hint="eastAsia" w:ascii="宋体" w:hAnsi="宋体" w:eastAsia="宋体" w:cs="宋体"/>
          <w:b/>
          <w:color w:val="auto"/>
          <w:sz w:val="30"/>
          <w:szCs w:val="30"/>
          <w:highlight w:val="none"/>
        </w:rPr>
        <w:t>法定代</w:t>
      </w:r>
      <w:bookmarkStart w:id="581" w:name="_Toc45995270"/>
      <w:bookmarkStart w:id="582" w:name="_Toc36971359"/>
      <w:r>
        <w:rPr>
          <w:rFonts w:hint="eastAsia" w:ascii="宋体" w:hAnsi="宋体" w:eastAsia="宋体" w:cs="宋体"/>
          <w:b/>
          <w:color w:val="auto"/>
          <w:sz w:val="30"/>
          <w:szCs w:val="30"/>
          <w:highlight w:val="none"/>
        </w:rPr>
        <w:t>表人身份证明书</w:t>
      </w:r>
      <w:bookmarkEnd w:id="580"/>
    </w:p>
    <w:bookmarkEnd w:id="581"/>
    <w:bookmarkEnd w:id="582"/>
    <w:p w14:paraId="12F1CB3D">
      <w:pPr>
        <w:spacing w:before="120" w:after="120" w:line="360" w:lineRule="auto"/>
        <w:ind w:firstLine="42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先生／女士：现任我单位</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职务，为法定代表人，特此证明。</w:t>
      </w:r>
    </w:p>
    <w:p w14:paraId="79E621E4">
      <w:pPr>
        <w:spacing w:before="120" w:after="120" w:line="360" w:lineRule="auto"/>
        <w:ind w:firstLine="424" w:firstLineChars="202"/>
        <w:rPr>
          <w:rFonts w:hint="eastAsia" w:ascii="宋体" w:hAnsi="宋体" w:eastAsia="宋体" w:cs="宋体"/>
          <w:color w:val="auto"/>
          <w:szCs w:val="24"/>
          <w:highlight w:val="none"/>
        </w:rPr>
      </w:pPr>
      <w:r>
        <w:rPr>
          <w:rFonts w:hint="eastAsia" w:ascii="宋体" w:hAnsi="宋体" w:eastAsia="宋体" w:cs="宋体"/>
          <w:color w:val="auto"/>
          <w:szCs w:val="24"/>
          <w:highlight w:val="none"/>
        </w:rPr>
        <w:t>有效日期：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签发日期：</w:t>
      </w:r>
      <w:r>
        <w:rPr>
          <w:rFonts w:hint="eastAsia" w:ascii="宋体" w:hAnsi="宋体" w:eastAsia="宋体" w:cs="宋体"/>
          <w:color w:val="auto"/>
          <w:szCs w:val="24"/>
          <w:highlight w:val="none"/>
          <w:u w:val="single"/>
        </w:rPr>
        <w:t xml:space="preserve">           </w:t>
      </w:r>
    </w:p>
    <w:p w14:paraId="4B93F997">
      <w:pPr>
        <w:spacing w:before="120" w:after="120" w:line="360" w:lineRule="auto"/>
        <w:ind w:firstLine="424" w:firstLineChars="202"/>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附：代表人性别：</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 年龄：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身份证号码：</w:t>
      </w:r>
      <w:r>
        <w:rPr>
          <w:rFonts w:hint="eastAsia" w:ascii="宋体" w:hAnsi="宋体" w:eastAsia="宋体" w:cs="宋体"/>
          <w:color w:val="auto"/>
          <w:szCs w:val="24"/>
          <w:highlight w:val="none"/>
          <w:u w:val="single"/>
        </w:rPr>
        <w:t xml:space="preserve">            </w:t>
      </w:r>
    </w:p>
    <w:p w14:paraId="077932FF">
      <w:pPr>
        <w:spacing w:before="120" w:after="120" w:line="360" w:lineRule="auto"/>
        <w:ind w:firstLine="424" w:firstLineChars="202"/>
        <w:rPr>
          <w:rFonts w:hint="eastAsia" w:ascii="宋体" w:hAnsi="宋体" w:eastAsia="宋体" w:cs="宋体"/>
          <w:color w:val="auto"/>
          <w:szCs w:val="24"/>
          <w:highlight w:val="none"/>
        </w:rPr>
      </w:pPr>
      <w:r>
        <w:rPr>
          <w:rFonts w:hint="eastAsia" w:ascii="宋体" w:hAnsi="宋体" w:eastAsia="宋体" w:cs="宋体"/>
          <w:color w:val="auto"/>
          <w:szCs w:val="24"/>
          <w:highlight w:val="none"/>
        </w:rPr>
        <w:t>营业执照号码：</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经济性质： </w:t>
      </w:r>
    </w:p>
    <w:p w14:paraId="01BA1880">
      <w:pPr>
        <w:spacing w:before="120" w:after="120" w:line="360" w:lineRule="auto"/>
        <w:ind w:firstLine="424" w:firstLineChars="202"/>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主营（产）：</w:t>
      </w:r>
    </w:p>
    <w:p w14:paraId="38C1FB89">
      <w:pPr>
        <w:spacing w:before="120" w:after="120" w:line="360" w:lineRule="auto"/>
        <w:ind w:firstLine="424" w:firstLineChars="202"/>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兼营（产）：</w:t>
      </w:r>
    </w:p>
    <w:p w14:paraId="7796B752">
      <w:pPr>
        <w:spacing w:before="120" w:after="120" w:line="360" w:lineRule="auto"/>
        <w:ind w:firstLine="424" w:firstLineChars="202"/>
        <w:rPr>
          <w:rFonts w:hint="eastAsia" w:ascii="宋体" w:hAnsi="宋体" w:eastAsia="宋体" w:cs="宋体"/>
          <w:color w:val="auto"/>
          <w:szCs w:val="24"/>
          <w:highlight w:val="none"/>
        </w:rPr>
      </w:pPr>
      <w:r>
        <w:rPr>
          <w:rFonts w:hint="eastAsia" w:ascii="宋体" w:hAnsi="宋体" w:eastAsia="宋体" w:cs="宋体"/>
          <w:color w:val="auto"/>
          <w:szCs w:val="24"/>
          <w:highlight w:val="none"/>
        </w:rPr>
        <w:t>附 法定代表人身份证原件扫描件</w:t>
      </w:r>
    </w:p>
    <w:p w14:paraId="17E7628D">
      <w:pPr>
        <w:snapToGrid w:val="0"/>
        <w:spacing w:line="360" w:lineRule="auto"/>
        <w:ind w:firstLine="3465" w:firstLineChars="1650"/>
        <w:rPr>
          <w:rFonts w:hint="eastAsia" w:ascii="宋体" w:hAnsi="宋体" w:eastAsia="宋体" w:cs="宋体"/>
          <w:color w:val="auto"/>
          <w:kern w:val="3"/>
          <w:szCs w:val="24"/>
          <w:highlight w:val="none"/>
        </w:rPr>
      </w:pPr>
    </w:p>
    <w:p w14:paraId="2AAAB0F2">
      <w:pPr>
        <w:snapToGrid w:val="0"/>
        <w:spacing w:line="360" w:lineRule="auto"/>
        <w:ind w:firstLine="3465" w:firstLineChars="1650"/>
        <w:rPr>
          <w:rFonts w:hint="eastAsia" w:ascii="宋体" w:hAnsi="宋体" w:eastAsia="宋体" w:cs="宋体"/>
          <w:color w:val="auto"/>
          <w:kern w:val="3"/>
          <w:szCs w:val="24"/>
          <w:highlight w:val="none"/>
          <w:u w:val="single"/>
        </w:rPr>
      </w:pPr>
      <w:r>
        <w:rPr>
          <w:rFonts w:hint="eastAsia" w:ascii="宋体" w:hAnsi="宋体" w:eastAsia="宋体" w:cs="宋体"/>
          <w:color w:val="auto"/>
          <w:kern w:val="3"/>
          <w:szCs w:val="24"/>
          <w:highlight w:val="none"/>
        </w:rPr>
        <w:t>投 标 人：</w:t>
      </w:r>
      <w:r>
        <w:rPr>
          <w:rFonts w:hint="eastAsia" w:ascii="宋体" w:hAnsi="宋体" w:eastAsia="宋体" w:cs="宋体"/>
          <w:color w:val="auto"/>
          <w:kern w:val="3"/>
          <w:szCs w:val="24"/>
          <w:highlight w:val="none"/>
          <w:u w:val="single"/>
        </w:rPr>
        <w:t xml:space="preserve">             </w:t>
      </w:r>
      <w:r>
        <w:rPr>
          <w:rFonts w:hint="eastAsia" w:ascii="宋体" w:hAnsi="宋体" w:eastAsia="宋体" w:cs="宋体"/>
          <w:color w:val="auto"/>
          <w:szCs w:val="21"/>
          <w:highlight w:val="none"/>
          <w:u w:val="single"/>
        </w:rPr>
        <w:t>（企业数字证书电子签名）</w:t>
      </w:r>
    </w:p>
    <w:p w14:paraId="65ED155D">
      <w:pPr>
        <w:spacing w:before="120" w:after="120" w:line="360" w:lineRule="auto"/>
        <w:ind w:left="340" w:leftChars="162" w:firstLine="474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   年   月   日</w:t>
      </w:r>
    </w:p>
    <w:p w14:paraId="762BCE1D">
      <w:pPr>
        <w:autoSpaceDE w:val="0"/>
        <w:autoSpaceDN w:val="0"/>
        <w:adjustRightInd w:val="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65408" behindDoc="0" locked="0" layoutInCell="1" allowOverlap="1">
                <wp:simplePos x="0" y="0"/>
                <wp:positionH relativeFrom="column">
                  <wp:posOffset>61595</wp:posOffset>
                </wp:positionH>
                <wp:positionV relativeFrom="paragraph">
                  <wp:posOffset>109220</wp:posOffset>
                </wp:positionV>
                <wp:extent cx="2790825" cy="1962150"/>
                <wp:effectExtent l="4445" t="5080" r="5080" b="1397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5626F8EE"/>
                          <w:p w14:paraId="2DC75388"/>
                          <w:p w14:paraId="06BAAF29"/>
                          <w:p w14:paraId="589F18FE"/>
                          <w:p w14:paraId="5E3F007E">
                            <w:pPr>
                              <w:jc w:val="center"/>
                              <w:rPr>
                                <w:szCs w:val="21"/>
                              </w:rPr>
                            </w:pPr>
                            <w:r>
                              <w:rPr>
                                <w:rFonts w:hint="eastAsia"/>
                                <w:szCs w:val="21"/>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65408;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j1YWXYAAAACAEAAA8AAAAAAAAAAQAgAAAAIgAA&#10;AGRycy9kb3ducmV2LnhtbFBLAQIUABQAAAAIAIdO4kD5BGLAQQIAAIgEAAAOAAAAAAAAAAEAIAAA&#10;ACcBAABkcnMvZTJvRG9jLnhtbFBLBQYAAAAABgAGAFkBAADaBQAAAAA=&#10;">
                <v:fill on="t" focussize="0,0"/>
                <v:stroke color="#000000" miterlimit="8" joinstyle="miter"/>
                <v:imagedata o:title=""/>
                <o:lock v:ext="edit" aspectratio="f"/>
                <v:textbox>
                  <w:txbxContent>
                    <w:p w14:paraId="5626F8EE"/>
                    <w:p w14:paraId="2DC75388"/>
                    <w:p w14:paraId="06BAAF29"/>
                    <w:p w14:paraId="589F18FE"/>
                    <w:p w14:paraId="5E3F007E">
                      <w:pPr>
                        <w:jc w:val="center"/>
                        <w:rPr>
                          <w:szCs w:val="21"/>
                        </w:rPr>
                      </w:pPr>
                      <w:r>
                        <w:rPr>
                          <w:rFonts w:hint="eastAsia"/>
                          <w:szCs w:val="21"/>
                        </w:rPr>
                        <w:t>法定代表人身份证正面</w:t>
                      </w:r>
                    </w:p>
                  </w:txbxContent>
                </v:textbox>
              </v:shape>
            </w:pict>
          </mc:Fallback>
        </mc:AlternateContent>
      </w: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64384" behindDoc="0" locked="0" layoutInCell="1" allowOverlap="1">
                <wp:simplePos x="0" y="0"/>
                <wp:positionH relativeFrom="column">
                  <wp:posOffset>3128645</wp:posOffset>
                </wp:positionH>
                <wp:positionV relativeFrom="paragraph">
                  <wp:posOffset>109220</wp:posOffset>
                </wp:positionV>
                <wp:extent cx="2790825" cy="1962150"/>
                <wp:effectExtent l="4445" t="5080" r="5080" b="1397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5DE06FAF"/>
                          <w:p w14:paraId="5870560D"/>
                          <w:p w14:paraId="295E0824"/>
                          <w:p w14:paraId="72BF3D2E"/>
                          <w:p w14:paraId="7523F419">
                            <w:pPr>
                              <w:jc w:val="center"/>
                              <w:rPr>
                                <w:szCs w:val="21"/>
                              </w:rPr>
                            </w:pPr>
                            <w:r>
                              <w:rPr>
                                <w:rFonts w:hint="eastAsia"/>
                                <w:szCs w:val="21"/>
                              </w:rPr>
                              <w:t>法定代表人身份证反面</w:t>
                            </w:r>
                          </w:p>
                          <w:p w14:paraId="02F21AF2">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6.35pt;margin-top:8.6pt;height:154.5pt;width:219.75pt;z-index:251664384;mso-width-relative:page;mso-height-relative:page;" fillcolor="#FFFFFF" filled="t" stroked="t" coordsize="21600,21600" o:gfxdata="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UEWTR2QAAAAoBAAAPAAAAAAAAAAEAIAAAACIA&#10;AABkcnMvZG93bnJldi54bWxQSwECFAAUAAAACACHTuJADlLddUECAACIBAAADgAAAAAAAAABACAA&#10;AAAoAQAAZHJzL2Uyb0RvYy54bWxQSwUGAAAAAAYABgBZAQAA2wUAAAAA&#10;">
                <v:fill on="t" focussize="0,0"/>
                <v:stroke color="#000000" miterlimit="8" joinstyle="miter"/>
                <v:imagedata o:title=""/>
                <o:lock v:ext="edit" aspectratio="f"/>
                <v:textbox>
                  <w:txbxContent>
                    <w:p w14:paraId="5DE06FAF"/>
                    <w:p w14:paraId="5870560D"/>
                    <w:p w14:paraId="295E0824"/>
                    <w:p w14:paraId="72BF3D2E"/>
                    <w:p w14:paraId="7523F419">
                      <w:pPr>
                        <w:jc w:val="center"/>
                        <w:rPr>
                          <w:szCs w:val="21"/>
                        </w:rPr>
                      </w:pPr>
                      <w:r>
                        <w:rPr>
                          <w:rFonts w:hint="eastAsia"/>
                          <w:szCs w:val="21"/>
                        </w:rPr>
                        <w:t>法定代表人身份证反面</w:t>
                      </w:r>
                    </w:p>
                    <w:p w14:paraId="02F21AF2">
                      <w:pPr>
                        <w:jc w:val="center"/>
                        <w:rPr>
                          <w:szCs w:val="21"/>
                        </w:rPr>
                      </w:pPr>
                    </w:p>
                  </w:txbxContent>
                </v:textbox>
              </v:shape>
            </w:pict>
          </mc:Fallback>
        </mc:AlternateContent>
      </w:r>
      <w:r>
        <w:rPr>
          <w:rFonts w:hint="eastAsia" w:ascii="宋体" w:hAnsi="宋体" w:eastAsia="宋体" w:cs="宋体"/>
          <w:color w:val="auto"/>
          <w:kern w:val="0"/>
          <w:sz w:val="24"/>
          <w:szCs w:val="24"/>
          <w:highlight w:val="none"/>
        </w:rPr>
        <mc:AlternateContent>
          <mc:Choice Requires="wps">
            <w:drawing>
              <wp:anchor distT="0" distB="0" distL="114300" distR="114300" simplePos="0" relativeHeight="251663360" behindDoc="0" locked="0" layoutInCell="1" allowOverlap="1">
                <wp:simplePos x="0" y="0"/>
                <wp:positionH relativeFrom="column">
                  <wp:posOffset>61595</wp:posOffset>
                </wp:positionH>
                <wp:positionV relativeFrom="paragraph">
                  <wp:posOffset>109220</wp:posOffset>
                </wp:positionV>
                <wp:extent cx="2790825" cy="1962150"/>
                <wp:effectExtent l="4445" t="5080" r="5080" b="1397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790825" cy="1962150"/>
                        </a:xfrm>
                        <a:prstGeom prst="rect">
                          <a:avLst/>
                        </a:prstGeom>
                        <a:solidFill>
                          <a:srgbClr val="FFFFFF"/>
                        </a:solidFill>
                        <a:ln w="9525">
                          <a:solidFill>
                            <a:srgbClr val="000000"/>
                          </a:solidFill>
                          <a:miter lim="800000"/>
                        </a:ln>
                      </wps:spPr>
                      <wps:txbx>
                        <w:txbxContent>
                          <w:p w14:paraId="7359BE96"/>
                          <w:p w14:paraId="4B04005E"/>
                          <w:p w14:paraId="1E20A547"/>
                          <w:p w14:paraId="1620B849"/>
                          <w:p w14:paraId="519203F0">
                            <w:pPr>
                              <w:jc w:val="center"/>
                            </w:pPr>
                            <w:r>
                              <w:rPr>
                                <w:rFonts w:hint="eastAsia"/>
                              </w:rPr>
                              <w:t>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5pt;margin-top:8.6pt;height:154.5pt;width:219.75pt;z-index:251663360;mso-width-relative:page;mso-height-relative:page;" fillcolor="#FFFFFF" filled="t" stroked="t" coordsize="21600,21600" o:gfxdata="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PVhZdgAAAAIAQAADwAAAAAAAAABACAAAAAiAAAA&#10;ZHJzL2Rvd25yZXYueG1sUEsBAhQAFAAAAAgAh07iQFavbXBAAgAAiAQAAA4AAAAAAAAAAQAgAAAA&#10;JwEAAGRycy9lMm9Eb2MueG1sUEsFBgAAAAAGAAYAWQEAANkFAAAAAA==&#10;">
                <v:fill on="t" focussize="0,0"/>
                <v:stroke color="#000000" miterlimit="8" joinstyle="miter"/>
                <v:imagedata o:title=""/>
                <o:lock v:ext="edit" aspectratio="f"/>
                <v:textbox>
                  <w:txbxContent>
                    <w:p w14:paraId="7359BE96"/>
                    <w:p w14:paraId="4B04005E"/>
                    <w:p w14:paraId="1E20A547"/>
                    <w:p w14:paraId="1620B849"/>
                    <w:p w14:paraId="519203F0">
                      <w:pPr>
                        <w:jc w:val="center"/>
                      </w:pPr>
                      <w:r>
                        <w:rPr>
                          <w:rFonts w:hint="eastAsia"/>
                        </w:rPr>
                        <w:t>身份证正面</w:t>
                      </w:r>
                    </w:p>
                  </w:txbxContent>
                </v:textbox>
              </v:shape>
            </w:pict>
          </mc:Fallback>
        </mc:AlternateContent>
      </w:r>
    </w:p>
    <w:p w14:paraId="2E0DBAA6">
      <w:pPr>
        <w:autoSpaceDE w:val="0"/>
        <w:autoSpaceDN w:val="0"/>
        <w:adjustRightInd w:val="0"/>
        <w:jc w:val="left"/>
        <w:rPr>
          <w:rFonts w:hint="eastAsia" w:ascii="宋体" w:hAnsi="宋体" w:eastAsia="宋体" w:cs="宋体"/>
          <w:color w:val="auto"/>
          <w:kern w:val="0"/>
          <w:sz w:val="24"/>
          <w:szCs w:val="24"/>
          <w:highlight w:val="none"/>
        </w:rPr>
      </w:pPr>
    </w:p>
    <w:p w14:paraId="4CCF75C3">
      <w:pPr>
        <w:autoSpaceDE w:val="0"/>
        <w:autoSpaceDN w:val="0"/>
        <w:adjustRightInd w:val="0"/>
        <w:jc w:val="left"/>
        <w:rPr>
          <w:rFonts w:hint="eastAsia" w:ascii="宋体" w:hAnsi="宋体" w:eastAsia="宋体" w:cs="宋体"/>
          <w:color w:val="auto"/>
          <w:kern w:val="0"/>
          <w:sz w:val="24"/>
          <w:szCs w:val="24"/>
          <w:highlight w:val="none"/>
        </w:rPr>
      </w:pPr>
    </w:p>
    <w:p w14:paraId="1BA83126">
      <w:pPr>
        <w:autoSpaceDE w:val="0"/>
        <w:autoSpaceDN w:val="0"/>
        <w:adjustRightInd w:val="0"/>
        <w:jc w:val="left"/>
        <w:rPr>
          <w:rFonts w:hint="eastAsia" w:ascii="宋体" w:hAnsi="宋体" w:eastAsia="宋体" w:cs="宋体"/>
          <w:color w:val="auto"/>
          <w:kern w:val="0"/>
          <w:sz w:val="24"/>
          <w:szCs w:val="24"/>
          <w:highlight w:val="none"/>
        </w:rPr>
      </w:pPr>
    </w:p>
    <w:p w14:paraId="4D63A002">
      <w:pPr>
        <w:autoSpaceDE w:val="0"/>
        <w:autoSpaceDN w:val="0"/>
        <w:adjustRightInd w:val="0"/>
        <w:jc w:val="left"/>
        <w:rPr>
          <w:rFonts w:hint="eastAsia" w:ascii="宋体" w:hAnsi="宋体" w:eastAsia="宋体" w:cs="宋体"/>
          <w:color w:val="auto"/>
          <w:kern w:val="0"/>
          <w:sz w:val="24"/>
          <w:szCs w:val="24"/>
          <w:highlight w:val="none"/>
        </w:rPr>
      </w:pPr>
    </w:p>
    <w:p w14:paraId="67957F30">
      <w:pPr>
        <w:autoSpaceDE w:val="0"/>
        <w:autoSpaceDN w:val="0"/>
        <w:adjustRightInd w:val="0"/>
        <w:jc w:val="left"/>
        <w:rPr>
          <w:rFonts w:hint="eastAsia" w:ascii="宋体" w:hAnsi="宋体" w:eastAsia="宋体" w:cs="宋体"/>
          <w:color w:val="auto"/>
          <w:kern w:val="0"/>
          <w:sz w:val="24"/>
          <w:szCs w:val="24"/>
          <w:highlight w:val="none"/>
        </w:rPr>
      </w:pPr>
    </w:p>
    <w:p w14:paraId="7404A174">
      <w:pPr>
        <w:autoSpaceDE w:val="0"/>
        <w:autoSpaceDN w:val="0"/>
        <w:adjustRightInd w:val="0"/>
        <w:jc w:val="left"/>
        <w:rPr>
          <w:rFonts w:hint="eastAsia" w:ascii="宋体" w:hAnsi="宋体" w:eastAsia="宋体" w:cs="宋体"/>
          <w:color w:val="auto"/>
          <w:kern w:val="0"/>
          <w:sz w:val="24"/>
          <w:szCs w:val="24"/>
          <w:highlight w:val="none"/>
        </w:rPr>
      </w:pPr>
    </w:p>
    <w:p w14:paraId="33AC618E">
      <w:pPr>
        <w:autoSpaceDE w:val="0"/>
        <w:autoSpaceDN w:val="0"/>
        <w:adjustRightInd w:val="0"/>
        <w:jc w:val="left"/>
        <w:rPr>
          <w:rFonts w:hint="eastAsia" w:ascii="宋体" w:hAnsi="宋体" w:eastAsia="宋体" w:cs="宋体"/>
          <w:color w:val="auto"/>
          <w:kern w:val="0"/>
          <w:sz w:val="24"/>
          <w:szCs w:val="24"/>
          <w:highlight w:val="none"/>
        </w:rPr>
      </w:pPr>
    </w:p>
    <w:p w14:paraId="7E2EA8C0">
      <w:pPr>
        <w:autoSpaceDE w:val="0"/>
        <w:autoSpaceDN w:val="0"/>
        <w:adjustRightInd w:val="0"/>
        <w:jc w:val="left"/>
        <w:rPr>
          <w:rFonts w:hint="eastAsia" w:ascii="宋体" w:hAnsi="宋体" w:eastAsia="宋体" w:cs="宋体"/>
          <w:color w:val="auto"/>
          <w:kern w:val="0"/>
          <w:sz w:val="24"/>
          <w:szCs w:val="24"/>
          <w:highlight w:val="none"/>
        </w:rPr>
      </w:pPr>
    </w:p>
    <w:p w14:paraId="32E49E41">
      <w:pPr>
        <w:autoSpaceDE w:val="0"/>
        <w:autoSpaceDN w:val="0"/>
        <w:adjustRightInd w:val="0"/>
        <w:jc w:val="left"/>
        <w:rPr>
          <w:rFonts w:hint="eastAsia" w:ascii="宋体" w:hAnsi="宋体" w:eastAsia="宋体" w:cs="宋体"/>
          <w:color w:val="auto"/>
          <w:kern w:val="0"/>
          <w:sz w:val="24"/>
          <w:szCs w:val="24"/>
          <w:highlight w:val="none"/>
        </w:rPr>
      </w:pPr>
    </w:p>
    <w:p w14:paraId="2293D92E">
      <w:pPr>
        <w:autoSpaceDE w:val="0"/>
        <w:autoSpaceDN w:val="0"/>
        <w:adjustRightInd w:val="0"/>
        <w:jc w:val="left"/>
        <w:rPr>
          <w:rFonts w:hint="eastAsia" w:ascii="宋体" w:hAnsi="宋体" w:eastAsia="宋体" w:cs="宋体"/>
          <w:b/>
          <w:color w:val="auto"/>
          <w:kern w:val="0"/>
          <w:szCs w:val="21"/>
          <w:highlight w:val="none"/>
        </w:rPr>
      </w:pPr>
    </w:p>
    <w:p w14:paraId="7F5FE3F3">
      <w:pPr>
        <w:autoSpaceDE w:val="0"/>
        <w:autoSpaceDN w:val="0"/>
        <w:adjustRightInd w:val="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注：法定代表人身份证须在有效期限内。</w:t>
      </w:r>
    </w:p>
    <w:p w14:paraId="0A5B1167">
      <w:pPr>
        <w:autoSpaceDE w:val="0"/>
        <w:autoSpaceDN w:val="0"/>
        <w:adjustRightInd w:val="0"/>
        <w:jc w:val="left"/>
        <w:rPr>
          <w:rFonts w:hint="eastAsia" w:ascii="宋体" w:hAnsi="宋体" w:eastAsia="宋体" w:cs="宋体"/>
          <w:color w:val="auto"/>
          <w:kern w:val="0"/>
          <w:szCs w:val="21"/>
          <w:highlight w:val="none"/>
        </w:rPr>
      </w:pPr>
    </w:p>
    <w:p w14:paraId="45F093FD">
      <w:pPr>
        <w:autoSpaceDE w:val="0"/>
        <w:autoSpaceDN w:val="0"/>
        <w:adjustRightInd w:val="0"/>
        <w:jc w:val="left"/>
        <w:outlineLvl w:val="9"/>
        <w:rPr>
          <w:rFonts w:hint="eastAsia" w:ascii="宋体" w:hAnsi="宋体" w:eastAsia="宋体" w:cs="宋体"/>
          <w:b/>
          <w:kern w:val="0"/>
          <w:szCs w:val="21"/>
          <w:highlight w:val="none"/>
        </w:rPr>
      </w:pPr>
      <w:r>
        <w:rPr>
          <w:rFonts w:hint="eastAsia" w:ascii="宋体" w:hAnsi="宋体" w:eastAsia="宋体" w:cs="宋体"/>
          <w:b/>
          <w:bCs/>
          <w:color w:val="auto"/>
          <w:kern w:val="0"/>
          <w:szCs w:val="21"/>
          <w:highlight w:val="none"/>
        </w:rPr>
        <w:t>说明：由投标人使用投标人的企业数字证书电子签名。</w:t>
      </w:r>
    </w:p>
    <w:p w14:paraId="77173189">
      <w:pPr>
        <w:autoSpaceDE w:val="0"/>
        <w:autoSpaceDN w:val="0"/>
        <w:adjustRightInd w:val="0"/>
        <w:jc w:val="left"/>
        <w:outlineLvl w:val="9"/>
        <w:rPr>
          <w:rFonts w:hint="eastAsia" w:ascii="宋体" w:hAnsi="宋体" w:eastAsia="宋体" w:cs="宋体"/>
          <w:kern w:val="0"/>
          <w:szCs w:val="21"/>
          <w:highlight w:val="none"/>
        </w:rPr>
      </w:pPr>
    </w:p>
    <w:p w14:paraId="70CCA545">
      <w:pPr>
        <w:spacing w:before="120" w:after="120" w:line="360" w:lineRule="auto"/>
        <w:ind w:firstLine="424" w:firstLineChars="202"/>
        <w:outlineLvl w:val="9"/>
        <w:rPr>
          <w:rFonts w:hint="eastAsia" w:ascii="宋体" w:hAnsi="宋体" w:eastAsia="宋体" w:cs="宋体"/>
          <w:b/>
          <w:kern w:val="0"/>
          <w:szCs w:val="21"/>
          <w:highlight w:val="none"/>
        </w:rPr>
      </w:pPr>
      <w:r>
        <w:rPr>
          <w:rFonts w:hint="eastAsia" w:ascii="宋体" w:hAnsi="宋体" w:eastAsia="宋体" w:cs="宋体"/>
          <w:szCs w:val="24"/>
          <w:highlight w:val="none"/>
          <w:lang w:val="zh-CN"/>
        </w:rPr>
        <w:br w:type="page"/>
      </w:r>
      <w:bookmarkEnd w:id="512"/>
      <w:bookmarkEnd w:id="513"/>
      <w:bookmarkEnd w:id="514"/>
      <w:bookmarkStart w:id="583" w:name="_Toc1977727"/>
      <w:bookmarkStart w:id="584" w:name="_Toc6240_WPSOffice_Level2"/>
      <w:bookmarkStart w:id="585" w:name="_Toc486167713"/>
      <w:bookmarkStart w:id="586" w:name="_Toc533708125"/>
      <w:r>
        <w:rPr>
          <w:rFonts w:hint="eastAsia" w:ascii="宋体" w:hAnsi="宋体" w:eastAsia="宋体" w:cs="宋体"/>
          <w:b/>
          <w:szCs w:val="24"/>
          <w:highlight w:val="none"/>
        </w:rPr>
        <w:t>（2）法定代表人授权书格式</w:t>
      </w:r>
      <w:bookmarkEnd w:id="583"/>
      <w:bookmarkEnd w:id="584"/>
      <w:bookmarkEnd w:id="585"/>
      <w:bookmarkEnd w:id="586"/>
    </w:p>
    <w:p w14:paraId="7039CB9F">
      <w:pPr>
        <w:autoSpaceDE w:val="0"/>
        <w:autoSpaceDN w:val="0"/>
        <w:adjustRightInd w:val="0"/>
        <w:spacing w:line="360" w:lineRule="auto"/>
        <w:jc w:val="center"/>
        <w:outlineLvl w:val="9"/>
        <w:rPr>
          <w:rFonts w:hint="eastAsia" w:ascii="宋体" w:hAnsi="宋体" w:eastAsia="宋体" w:cs="宋体"/>
          <w:b/>
          <w:bCs/>
          <w:sz w:val="30"/>
          <w:szCs w:val="30"/>
          <w:highlight w:val="none"/>
          <w:lang w:val="zh-CN"/>
        </w:rPr>
      </w:pPr>
    </w:p>
    <w:p w14:paraId="14A894BF">
      <w:pPr>
        <w:autoSpaceDE w:val="0"/>
        <w:autoSpaceDN w:val="0"/>
        <w:adjustRightInd w:val="0"/>
        <w:spacing w:line="360" w:lineRule="auto"/>
        <w:jc w:val="center"/>
        <w:outlineLvl w:val="9"/>
        <w:rPr>
          <w:rFonts w:hint="eastAsia" w:ascii="宋体" w:hAnsi="宋体" w:eastAsia="宋体" w:cs="宋体"/>
          <w:b/>
          <w:bCs/>
          <w:sz w:val="30"/>
          <w:szCs w:val="30"/>
          <w:highlight w:val="none"/>
          <w:lang w:val="zh-CN"/>
        </w:rPr>
      </w:pPr>
      <w:bookmarkStart w:id="587" w:name="_Toc29146_WPSOffice_Level3"/>
      <w:r>
        <w:rPr>
          <w:rFonts w:hint="eastAsia" w:ascii="宋体" w:hAnsi="宋体" w:eastAsia="宋体" w:cs="宋体"/>
          <w:b/>
          <w:bCs/>
          <w:sz w:val="30"/>
          <w:szCs w:val="30"/>
          <w:highlight w:val="none"/>
          <w:lang w:val="zh-CN"/>
        </w:rPr>
        <w:t>法定代表人授权书</w:t>
      </w:r>
      <w:bookmarkEnd w:id="587"/>
    </w:p>
    <w:p w14:paraId="5A7E967A">
      <w:pPr>
        <w:autoSpaceDE w:val="0"/>
        <w:autoSpaceDN w:val="0"/>
        <w:adjustRightInd w:val="0"/>
        <w:spacing w:line="360" w:lineRule="auto"/>
        <w:jc w:val="center"/>
        <w:outlineLvl w:val="9"/>
        <w:rPr>
          <w:rFonts w:hint="eastAsia" w:ascii="宋体" w:hAnsi="宋体" w:eastAsia="宋体" w:cs="宋体"/>
          <w:szCs w:val="28"/>
          <w:highlight w:val="none"/>
          <w:lang w:val="zh-CN"/>
        </w:rPr>
      </w:pPr>
    </w:p>
    <w:p w14:paraId="19377550">
      <w:pPr>
        <w:spacing w:before="120" w:after="120" w:line="360" w:lineRule="auto"/>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致：东莞市水务环境投资控股集团有限公司</w:t>
      </w:r>
    </w:p>
    <w:p w14:paraId="69AA2C0F">
      <w:pPr>
        <w:spacing w:before="120" w:after="120" w:line="360" w:lineRule="auto"/>
        <w:ind w:firstLine="630" w:firstLineChars="300"/>
        <w:outlineLvl w:val="9"/>
        <w:rPr>
          <w:rFonts w:hint="eastAsia" w:ascii="宋体" w:hAnsi="宋体" w:eastAsia="宋体" w:cs="宋体"/>
          <w:szCs w:val="21"/>
          <w:highlight w:val="none"/>
        </w:rPr>
      </w:pPr>
      <w:r>
        <w:rPr>
          <w:rFonts w:hint="eastAsia" w:ascii="宋体" w:hAnsi="宋体" w:eastAsia="宋体" w:cs="宋体"/>
          <w:szCs w:val="24"/>
          <w:highlight w:val="none"/>
          <w:lang w:val="zh-CN"/>
        </w:rPr>
        <w:t>本授权书声明：注册于</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（投标人地址）的</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（投标人名称）在下面签字或盖私章的</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（法定代表人姓名、职务、身份证号码）代表本公司授权在下面签字或盖私章的</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（被授权人的姓名、职务、身份证号码）为本公司的合法代表人，签署</w:t>
      </w:r>
      <w:r>
        <w:rPr>
          <w:rFonts w:hint="eastAsia" w:ascii="宋体" w:hAnsi="宋体" w:eastAsia="宋体" w:cs="宋体"/>
          <w:szCs w:val="21"/>
          <w:highlight w:val="none"/>
          <w:u w:val="single"/>
          <w:lang w:eastAsia="zh-CN"/>
        </w:rPr>
        <w:t>东莞市水务环境投资控股集团有限公司注册发行60亿元公司债承销商采购项目（重新招标）</w:t>
      </w:r>
      <w:r>
        <w:rPr>
          <w:rFonts w:hint="eastAsia" w:ascii="宋体" w:hAnsi="宋体" w:eastAsia="宋体" w:cs="宋体"/>
          <w:szCs w:val="21"/>
          <w:highlight w:val="none"/>
          <w:lang w:val="zh-CN"/>
        </w:rPr>
        <w:t>（招标编号：</w:t>
      </w:r>
      <w:r>
        <w:rPr>
          <w:rFonts w:hint="eastAsia" w:ascii="宋体" w:hAnsi="宋体" w:eastAsia="宋体" w:cs="宋体"/>
          <w:szCs w:val="21"/>
          <w:highlight w:val="none"/>
          <w:u w:val="single"/>
          <w:lang w:val="zh-CN"/>
        </w:rPr>
        <w:t xml:space="preserve">                                 </w:t>
      </w:r>
      <w:r>
        <w:rPr>
          <w:rFonts w:hint="eastAsia" w:ascii="宋体" w:hAnsi="宋体" w:eastAsia="宋体" w:cs="宋体"/>
          <w:szCs w:val="21"/>
          <w:highlight w:val="none"/>
          <w:lang w:val="zh-CN"/>
        </w:rPr>
        <w:t>）的投标文件，</w:t>
      </w:r>
      <w:r>
        <w:rPr>
          <w:rFonts w:hint="eastAsia" w:ascii="宋体" w:hAnsi="宋体" w:eastAsia="宋体" w:cs="宋体"/>
          <w:szCs w:val="21"/>
          <w:highlight w:val="none"/>
        </w:rPr>
        <w:t>代表我公司</w:t>
      </w:r>
      <w:r>
        <w:rPr>
          <w:rFonts w:hint="eastAsia" w:ascii="宋体" w:hAnsi="宋体" w:eastAsia="宋体" w:cs="宋体"/>
          <w:szCs w:val="24"/>
          <w:highlight w:val="none"/>
          <w:lang w:val="zh-CN"/>
        </w:rPr>
        <w:t>递交投标文件、参与开标会、代表我公司应评标委员会的要求对投标文件进行澄清、进行合同谈判和签署合同，以我公司的名义处理一切与之有关的事宜，</w:t>
      </w:r>
      <w:r>
        <w:rPr>
          <w:rFonts w:hint="eastAsia" w:ascii="宋体" w:hAnsi="宋体" w:eastAsia="宋体" w:cs="宋体"/>
          <w:szCs w:val="21"/>
          <w:highlight w:val="none"/>
        </w:rPr>
        <w:t>我承认代理人全权代表我所签署的本项目投标文件的内容及</w:t>
      </w:r>
      <w:r>
        <w:rPr>
          <w:rFonts w:hint="eastAsia" w:ascii="宋体" w:hAnsi="宋体" w:eastAsia="宋体" w:cs="宋体"/>
          <w:szCs w:val="24"/>
          <w:highlight w:val="none"/>
          <w:lang w:val="zh-CN"/>
        </w:rPr>
        <w:t>所进行的上述活动。</w:t>
      </w:r>
    </w:p>
    <w:p w14:paraId="52EE0525">
      <w:pPr>
        <w:spacing w:before="120" w:after="120" w:line="360" w:lineRule="auto"/>
        <w:ind w:firstLine="420" w:firstLineChars="200"/>
        <w:outlineLvl w:val="9"/>
        <w:rPr>
          <w:rFonts w:hint="eastAsia" w:ascii="宋体" w:hAnsi="宋体" w:eastAsia="宋体" w:cs="宋体"/>
          <w:szCs w:val="21"/>
          <w:highlight w:val="none"/>
        </w:rPr>
      </w:pPr>
      <w:r>
        <w:rPr>
          <w:rFonts w:hint="eastAsia" w:ascii="宋体" w:hAnsi="宋体" w:eastAsia="宋体" w:cs="宋体"/>
          <w:szCs w:val="24"/>
          <w:highlight w:val="none"/>
          <w:lang w:val="zh-CN"/>
        </w:rPr>
        <w:t>本授权书于</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年</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月</w:t>
      </w:r>
      <w:r>
        <w:rPr>
          <w:rFonts w:hint="eastAsia" w:ascii="宋体" w:hAnsi="宋体" w:eastAsia="宋体" w:cs="宋体"/>
          <w:szCs w:val="24"/>
          <w:highlight w:val="none"/>
          <w:u w:val="single"/>
          <w:lang w:val="zh-CN"/>
        </w:rPr>
        <w:t xml:space="preserve">     </w:t>
      </w:r>
      <w:r>
        <w:rPr>
          <w:rFonts w:hint="eastAsia" w:ascii="宋体" w:hAnsi="宋体" w:eastAsia="宋体" w:cs="宋体"/>
          <w:szCs w:val="24"/>
          <w:highlight w:val="none"/>
          <w:lang w:val="zh-CN"/>
        </w:rPr>
        <w:t>日签字生效，有效期至投标文件失效期止，</w:t>
      </w:r>
      <w:r>
        <w:rPr>
          <w:rFonts w:hint="eastAsia" w:ascii="宋体" w:hAnsi="宋体" w:eastAsia="宋体" w:cs="宋体"/>
          <w:szCs w:val="21"/>
          <w:highlight w:val="none"/>
        </w:rPr>
        <w:t>代理人无转委托权，</w:t>
      </w:r>
      <w:r>
        <w:rPr>
          <w:rFonts w:hint="eastAsia" w:ascii="宋体" w:hAnsi="宋体" w:eastAsia="宋体" w:cs="宋体"/>
          <w:szCs w:val="24"/>
          <w:highlight w:val="none"/>
          <w:lang w:val="zh-CN"/>
        </w:rPr>
        <w:t>特此声明。</w:t>
      </w:r>
    </w:p>
    <w:p w14:paraId="1E4896DB">
      <w:pPr>
        <w:spacing w:before="120" w:after="120" w:line="360" w:lineRule="auto"/>
        <w:ind w:left="348" w:leftChars="136" w:hanging="62"/>
        <w:outlineLvl w:val="9"/>
        <w:rPr>
          <w:rFonts w:hint="eastAsia" w:ascii="宋体" w:hAnsi="宋体" w:eastAsia="宋体" w:cs="宋体"/>
          <w:szCs w:val="24"/>
          <w:highlight w:val="none"/>
        </w:rPr>
      </w:pPr>
    </w:p>
    <w:p w14:paraId="20CB5CF3">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  标  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（企业数字证书电子签名）</w:t>
      </w:r>
    </w:p>
    <w:p w14:paraId="51A78D44">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投标人地址：</w:t>
      </w:r>
    </w:p>
    <w:p w14:paraId="0BBB89DA">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法定代表人：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2A356A9E">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5ADC35DF">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w:t>
      </w:r>
      <w:r>
        <w:rPr>
          <w:rFonts w:hint="eastAsia" w:ascii="宋体" w:hAnsi="宋体" w:eastAsia="宋体" w:cs="宋体"/>
          <w:color w:val="auto"/>
          <w:szCs w:val="24"/>
          <w:highlight w:val="none"/>
          <w:u w:val="single"/>
          <w:lang w:val="en-US" w:eastAsia="zh-CN"/>
        </w:rPr>
        <w:t xml:space="preserve">         </w:t>
      </w:r>
      <w:r>
        <w:rPr>
          <w:rFonts w:hint="eastAsia" w:ascii="宋体" w:hAnsi="宋体" w:eastAsia="宋体" w:cs="宋体"/>
          <w:color w:val="auto"/>
          <w:szCs w:val="24"/>
          <w:highlight w:val="none"/>
          <w:lang w:val="zh-CN"/>
        </w:rPr>
        <w:t>（电子签名）</w:t>
      </w:r>
    </w:p>
    <w:p w14:paraId="5992046C">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职　　　务：</w:t>
      </w:r>
    </w:p>
    <w:p w14:paraId="076ACA8D">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被授权人联系手机：</w:t>
      </w:r>
    </w:p>
    <w:p w14:paraId="19582E2C">
      <w:pPr>
        <w:spacing w:before="120" w:after="120" w:line="360" w:lineRule="auto"/>
        <w:ind w:left="4200" w:leftChars="2000" w:firstLine="425"/>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电 子 邮 箱：</w:t>
      </w:r>
    </w:p>
    <w:p w14:paraId="1473A6F4">
      <w:pPr>
        <w:pStyle w:val="34"/>
        <w:widowControl w:val="0"/>
        <w:snapToGrid w:val="0"/>
        <w:spacing w:before="0" w:beforeAutospacing="0" w:after="0" w:afterAutospacing="0" w:line="360" w:lineRule="auto"/>
        <w:jc w:val="center"/>
        <w:rPr>
          <w:rFonts w:hint="eastAsia" w:ascii="宋体" w:hAnsi="宋体" w:eastAsia="宋体" w:cs="宋体"/>
          <w:b/>
          <w:color w:val="auto"/>
          <w:sz w:val="21"/>
          <w:szCs w:val="21"/>
          <w:highlight w:val="none"/>
          <w:lang w:bidi="ar"/>
        </w:rPr>
      </w:pPr>
    </w:p>
    <w:p w14:paraId="55F32C89">
      <w:pPr>
        <w:widowControl/>
        <w:autoSpaceDE w:val="0"/>
        <w:autoSpaceDN w:val="0"/>
        <w:spacing w:before="120" w:after="120" w:line="360" w:lineRule="auto"/>
        <w:ind w:right="781" w:rightChars="372" w:firstLine="422" w:firstLineChars="200"/>
        <w:textAlignment w:val="bottom"/>
        <w:outlineLvl w:val="9"/>
        <w:rPr>
          <w:rFonts w:hint="eastAsia" w:ascii="宋体" w:hAnsi="宋体" w:eastAsia="宋体" w:cs="宋体"/>
          <w:szCs w:val="24"/>
          <w:highlight w:val="none"/>
          <w:lang w:eastAsia="zh-CN"/>
        </w:rPr>
      </w:pPr>
      <w:r>
        <w:rPr>
          <w:rFonts w:hint="eastAsia" w:ascii="宋体" w:hAnsi="宋体" w:eastAsia="宋体" w:cs="宋体"/>
          <w:b/>
          <w:bCs/>
          <w:color w:val="auto"/>
          <w:sz w:val="21"/>
          <w:szCs w:val="21"/>
          <w:highlight w:val="none"/>
          <w:u w:val="single"/>
          <w:lang w:bidi="ar"/>
        </w:rPr>
        <w:t>说明：由投标人使用投标人的企业数字证书，法定代表人</w:t>
      </w:r>
      <w:r>
        <w:rPr>
          <w:rFonts w:hint="eastAsia" w:ascii="宋体" w:hAnsi="宋体" w:eastAsia="宋体" w:cs="宋体"/>
          <w:b/>
          <w:bCs/>
          <w:color w:val="auto"/>
          <w:sz w:val="21"/>
          <w:szCs w:val="21"/>
          <w:highlight w:val="none"/>
          <w:u w:val="single"/>
          <w:lang w:eastAsia="zh-CN" w:bidi="ar"/>
        </w:rPr>
        <w:t>、</w:t>
      </w:r>
      <w:r>
        <w:rPr>
          <w:rFonts w:hint="eastAsia" w:ascii="宋体" w:hAnsi="宋体" w:eastAsia="宋体" w:cs="宋体"/>
          <w:b/>
          <w:bCs/>
          <w:color w:val="auto"/>
          <w:sz w:val="21"/>
          <w:szCs w:val="21"/>
          <w:highlight w:val="none"/>
          <w:u w:val="single"/>
          <w:lang w:bidi="ar"/>
        </w:rPr>
        <w:t>其授权代表数字证书电子签名。</w:t>
      </w:r>
      <w:r>
        <w:rPr>
          <w:rFonts w:hint="eastAsia" w:ascii="宋体" w:hAnsi="宋体" w:eastAsia="宋体" w:cs="宋体"/>
          <w:szCs w:val="24"/>
          <w:highlight w:val="none"/>
          <w:lang w:val="zh-CN"/>
        </w:rPr>
        <w:br w:type="page"/>
      </w:r>
      <w:r>
        <w:rPr>
          <w:rFonts w:hint="eastAsia" w:ascii="宋体" w:hAnsi="宋体" w:eastAsia="宋体" w:cs="宋体"/>
          <w:szCs w:val="24"/>
          <w:highlight w:val="none"/>
        </w:rPr>
        <w:t>附 法定代表人、被授权人身份证</w:t>
      </w:r>
      <w:r>
        <w:rPr>
          <w:rFonts w:hint="eastAsia" w:ascii="宋体" w:hAnsi="宋体" w:eastAsia="宋体" w:cs="宋体"/>
          <w:szCs w:val="24"/>
          <w:highlight w:val="none"/>
          <w:lang w:eastAsia="zh-CN"/>
        </w:rPr>
        <w:t>扫描件</w:t>
      </w:r>
    </w:p>
    <w:p w14:paraId="27EA03D4">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r>
        <w:rPr>
          <w:rFonts w:hint="eastAsia" w:ascii="宋体" w:hAnsi="宋体" w:eastAsia="宋体" w:cs="宋体"/>
          <w:szCs w:val="21"/>
          <w:highlight w:val="none"/>
        </w:rPr>
        <mc:AlternateContent>
          <mc:Choice Requires="wps">
            <w:drawing>
              <wp:anchor distT="0" distB="0" distL="114300" distR="114300" simplePos="0" relativeHeight="251661312" behindDoc="0" locked="0" layoutInCell="1" allowOverlap="1">
                <wp:simplePos x="0" y="0"/>
                <wp:positionH relativeFrom="column">
                  <wp:posOffset>3366770</wp:posOffset>
                </wp:positionH>
                <wp:positionV relativeFrom="paragraph">
                  <wp:posOffset>69850</wp:posOffset>
                </wp:positionV>
                <wp:extent cx="2790825" cy="1762125"/>
                <wp:effectExtent l="9525" t="9525" r="9525" b="952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2832651F"/>
                          <w:p w14:paraId="0ACB9F4F"/>
                          <w:p w14:paraId="41ACB794"/>
                          <w:p w14:paraId="2541AAEB"/>
                          <w:p w14:paraId="21AC996B">
                            <w:pPr>
                              <w:jc w:val="center"/>
                              <w:rPr>
                                <w:rFonts w:hAnsi="宋体"/>
                              </w:rPr>
                            </w:pPr>
                            <w:r>
                              <w:rPr>
                                <w:rFonts w:hint="eastAsia" w:hAnsi="宋体"/>
                              </w:rPr>
                              <w:t>法定代表人身份证反面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5.5pt;height:138.75pt;width:219.75pt;z-index:251661312;mso-width-relative:page;mso-height-relative:page;" fillcolor="#FFFFFF" filled="t" stroked="t" coordsize="21600,21600" o:gfxdata="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EQPedkAAAAKAQAADwAAAAAAAAABACAAAAAiAAAA&#10;ZHJzL2Rvd25yZXYueG1sUEsBAhQAFAAAAAgAh07iQA997Fg/AgAAiAQAAA4AAAAAAAAAAQAgAAAA&#10;KAEAAGRycy9lMm9Eb2MueG1sUEsFBgAAAAAGAAYAWQEAANkFAAAAAA==&#10;">
                <v:fill on="t" focussize="0,0"/>
                <v:stroke color="#000000" miterlimit="8" joinstyle="miter"/>
                <v:imagedata o:title=""/>
                <o:lock v:ext="edit" aspectratio="f"/>
                <v:textbox>
                  <w:txbxContent>
                    <w:p w14:paraId="2832651F"/>
                    <w:p w14:paraId="0ACB9F4F"/>
                    <w:p w14:paraId="41ACB794"/>
                    <w:p w14:paraId="2541AAEB"/>
                    <w:p w14:paraId="21AC996B">
                      <w:pPr>
                        <w:jc w:val="center"/>
                        <w:rPr>
                          <w:rFonts w:hAnsi="宋体"/>
                        </w:rPr>
                      </w:pPr>
                      <w:r>
                        <w:rPr>
                          <w:rFonts w:hint="eastAsia" w:hAnsi="宋体"/>
                        </w:rPr>
                        <w:t>法定代表人身份证反面</w:t>
                      </w:r>
                    </w:p>
                  </w:txbxContent>
                </v:textbox>
              </v:shape>
            </w:pict>
          </mc:Fallback>
        </mc:AlternateContent>
      </w:r>
      <w:r>
        <w:rPr>
          <w:rFonts w:hint="eastAsia" w:ascii="宋体" w:hAnsi="宋体" w:eastAsia="宋体" w:cs="宋体"/>
          <w:szCs w:val="21"/>
          <w:highlight w:val="none"/>
        </w:rPr>
        <mc:AlternateContent>
          <mc:Choice Requires="wps">
            <w:drawing>
              <wp:anchor distT="0" distB="0" distL="114300" distR="114300" simplePos="0" relativeHeight="251659264" behindDoc="0" locked="0" layoutInCell="1" allowOverlap="1">
                <wp:simplePos x="0" y="0"/>
                <wp:positionH relativeFrom="column">
                  <wp:posOffset>309245</wp:posOffset>
                </wp:positionH>
                <wp:positionV relativeFrom="paragraph">
                  <wp:posOffset>69850</wp:posOffset>
                </wp:positionV>
                <wp:extent cx="2790825" cy="1762125"/>
                <wp:effectExtent l="9525" t="9525" r="9525" b="952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790825" cy="1762125"/>
                        </a:xfrm>
                        <a:prstGeom prst="rect">
                          <a:avLst/>
                        </a:prstGeom>
                        <a:solidFill>
                          <a:srgbClr val="FFFFFF"/>
                        </a:solidFill>
                        <a:ln w="9525">
                          <a:solidFill>
                            <a:srgbClr val="000000"/>
                          </a:solidFill>
                          <a:miter lim="800000"/>
                        </a:ln>
                      </wps:spPr>
                      <wps:txbx>
                        <w:txbxContent>
                          <w:p w14:paraId="7D0B20CE"/>
                          <w:p w14:paraId="46178913"/>
                          <w:p w14:paraId="578B1FA2"/>
                          <w:p w14:paraId="441F5AD0"/>
                          <w:p w14:paraId="607D393F">
                            <w:pPr>
                              <w:jc w:val="center"/>
                              <w:rPr>
                                <w:rFonts w:hAnsi="宋体"/>
                              </w:rPr>
                            </w:pPr>
                            <w:r>
                              <w:rPr>
                                <w:rFonts w:hint="eastAsia" w:hAnsi="宋体"/>
                              </w:rPr>
                              <w:t>法定代表人身份证正面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5.5pt;height:138.75pt;width:219.75pt;z-index:251659264;mso-width-relative:page;mso-height-relative:page;" fillcolor="#FFFFFF" filled="t" stroked="t" coordsize="21600,21600" o:gfxdata="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iu+XY2AAAAAkBAAAPAAAAAAAAAAEAIAAAACIAAABk&#10;cnMvZG93bnJldi54bWxQSwECFAAUAAAACACHTuJASNEy5j8CAACIBAAADgAAAAAAAAABACAAAAAn&#10;AQAAZHJzL2Uyb0RvYy54bWxQSwUGAAAAAAYABgBZAQAA2AUAAAAA&#10;">
                <v:fill on="t" focussize="0,0"/>
                <v:stroke color="#000000" miterlimit="8" joinstyle="miter"/>
                <v:imagedata o:title=""/>
                <o:lock v:ext="edit" aspectratio="f"/>
                <v:textbox>
                  <w:txbxContent>
                    <w:p w14:paraId="7D0B20CE"/>
                    <w:p w14:paraId="46178913"/>
                    <w:p w14:paraId="578B1FA2"/>
                    <w:p w14:paraId="441F5AD0"/>
                    <w:p w14:paraId="607D393F">
                      <w:pPr>
                        <w:jc w:val="center"/>
                        <w:rPr>
                          <w:rFonts w:hAnsi="宋体"/>
                        </w:rPr>
                      </w:pPr>
                      <w:r>
                        <w:rPr>
                          <w:rFonts w:hint="eastAsia" w:hAnsi="宋体"/>
                        </w:rPr>
                        <w:t>法定代表人身份证正面</w:t>
                      </w:r>
                    </w:p>
                  </w:txbxContent>
                </v:textbox>
              </v:shape>
            </w:pict>
          </mc:Fallback>
        </mc:AlternateContent>
      </w:r>
    </w:p>
    <w:p w14:paraId="3649908E">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2A241786">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56D3A157">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4DDF873E">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2FCDCA20">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1ED65E90">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3011F62D">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2F46FF9B">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68F6E3DF">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r>
        <w:rPr>
          <w:rFonts w:hint="eastAsia" w:ascii="宋体" w:hAnsi="宋体" w:eastAsia="宋体" w:cs="宋体"/>
          <w:szCs w:val="21"/>
          <w:highlight w:val="none"/>
        </w:rPr>
        <mc:AlternateContent>
          <mc:Choice Requires="wps">
            <w:drawing>
              <wp:anchor distT="0" distB="0" distL="114300" distR="114300" simplePos="0" relativeHeight="251662336" behindDoc="0" locked="0" layoutInCell="1" allowOverlap="1">
                <wp:simplePos x="0" y="0"/>
                <wp:positionH relativeFrom="column">
                  <wp:posOffset>3366770</wp:posOffset>
                </wp:positionH>
                <wp:positionV relativeFrom="paragraph">
                  <wp:posOffset>102235</wp:posOffset>
                </wp:positionV>
                <wp:extent cx="2743200" cy="1771650"/>
                <wp:effectExtent l="9525" t="13970" r="9525"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59F8FA91"/>
                          <w:p w14:paraId="6D1699CD">
                            <w:pPr>
                              <w:jc w:val="center"/>
                              <w:rPr>
                                <w:rFonts w:hAnsi="宋体"/>
                                <w:color w:val="FF0000"/>
                              </w:rPr>
                            </w:pPr>
                          </w:p>
                          <w:p w14:paraId="07618E1C">
                            <w:pPr>
                              <w:jc w:val="center"/>
                              <w:rPr>
                                <w:rFonts w:hAnsi="宋体"/>
                                <w:color w:val="FF0000"/>
                              </w:rPr>
                            </w:pPr>
                          </w:p>
                          <w:p w14:paraId="415C3697">
                            <w:pPr>
                              <w:jc w:val="center"/>
                              <w:rPr>
                                <w:rFonts w:hAnsi="宋体"/>
                                <w:color w:val="FF0000"/>
                              </w:rPr>
                            </w:pPr>
                          </w:p>
                          <w:p w14:paraId="1BFC31A5">
                            <w:pPr>
                              <w:jc w:val="center"/>
                            </w:pPr>
                            <w:r>
                              <w:rPr>
                                <w:rFonts w:hint="eastAsia" w:hAnsi="宋体"/>
                              </w:rPr>
                              <w:t>被授权人身份证反面</w:t>
                            </w:r>
                          </w:p>
                          <w:p w14:paraId="36FA27FB"/>
                          <w:p w14:paraId="5ED812C5"/>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5.1pt;margin-top:8.05pt;height:139.5pt;width:216pt;z-index:251662336;mso-width-relative:page;mso-height-relative:page;" fillcolor="#FFFFFF" filled="t" stroked="t" coordsize="21600,21600" o:gfxdata="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YHyI9kAAAAKAQAADwAAAAAAAAABACAAAAAi&#10;AAAAZHJzL2Rvd25yZXYueG1sUEsBAhQAFAAAAAgAh07iQDsUtmVCAgAAiAQAAA4AAAAAAAAAAQAg&#10;AAAAKAEAAGRycy9lMm9Eb2MueG1sUEsFBgAAAAAGAAYAWQEAANwFAAAAAA==&#10;">
                <v:fill on="t" focussize="0,0"/>
                <v:stroke color="#000000" miterlimit="8" joinstyle="miter"/>
                <v:imagedata o:title=""/>
                <o:lock v:ext="edit" aspectratio="f"/>
                <v:textbox>
                  <w:txbxContent>
                    <w:p w14:paraId="59F8FA91"/>
                    <w:p w14:paraId="6D1699CD">
                      <w:pPr>
                        <w:jc w:val="center"/>
                        <w:rPr>
                          <w:rFonts w:hAnsi="宋体"/>
                          <w:color w:val="FF0000"/>
                        </w:rPr>
                      </w:pPr>
                    </w:p>
                    <w:p w14:paraId="07618E1C">
                      <w:pPr>
                        <w:jc w:val="center"/>
                        <w:rPr>
                          <w:rFonts w:hAnsi="宋体"/>
                          <w:color w:val="FF0000"/>
                        </w:rPr>
                      </w:pPr>
                    </w:p>
                    <w:p w14:paraId="415C3697">
                      <w:pPr>
                        <w:jc w:val="center"/>
                        <w:rPr>
                          <w:rFonts w:hAnsi="宋体"/>
                          <w:color w:val="FF0000"/>
                        </w:rPr>
                      </w:pPr>
                    </w:p>
                    <w:p w14:paraId="1BFC31A5">
                      <w:pPr>
                        <w:jc w:val="center"/>
                      </w:pPr>
                      <w:r>
                        <w:rPr>
                          <w:rFonts w:hint="eastAsia" w:hAnsi="宋体"/>
                        </w:rPr>
                        <w:t>被授权人身份证反面</w:t>
                      </w:r>
                    </w:p>
                    <w:p w14:paraId="36FA27FB"/>
                    <w:p w14:paraId="5ED812C5"/>
                  </w:txbxContent>
                </v:textbox>
              </v:shape>
            </w:pict>
          </mc:Fallback>
        </mc:AlternateContent>
      </w:r>
      <w:r>
        <w:rPr>
          <w:rFonts w:hint="eastAsia" w:ascii="宋体" w:hAnsi="宋体" w:eastAsia="宋体" w:cs="宋体"/>
          <w:szCs w:val="21"/>
          <w:highlight w:val="none"/>
        </w:rPr>
        <mc:AlternateContent>
          <mc:Choice Requires="wps">
            <w:drawing>
              <wp:anchor distT="0" distB="0" distL="114300" distR="114300" simplePos="0" relativeHeight="251660288" behindDoc="0" locked="0" layoutInCell="1" allowOverlap="1">
                <wp:simplePos x="0" y="0"/>
                <wp:positionH relativeFrom="column">
                  <wp:posOffset>309245</wp:posOffset>
                </wp:positionH>
                <wp:positionV relativeFrom="paragraph">
                  <wp:posOffset>102235</wp:posOffset>
                </wp:positionV>
                <wp:extent cx="2743200" cy="1771650"/>
                <wp:effectExtent l="9525" t="13970" r="9525" b="508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43200" cy="1771650"/>
                        </a:xfrm>
                        <a:prstGeom prst="rect">
                          <a:avLst/>
                        </a:prstGeom>
                        <a:solidFill>
                          <a:srgbClr val="FFFFFF"/>
                        </a:solidFill>
                        <a:ln w="9525">
                          <a:solidFill>
                            <a:srgbClr val="000000"/>
                          </a:solidFill>
                          <a:miter lim="800000"/>
                        </a:ln>
                      </wps:spPr>
                      <wps:txbx>
                        <w:txbxContent>
                          <w:p w14:paraId="3B0AA173"/>
                          <w:p w14:paraId="2E80ED5F">
                            <w:pPr>
                              <w:jc w:val="center"/>
                              <w:rPr>
                                <w:rFonts w:hAnsi="宋体"/>
                                <w:color w:val="FF0000"/>
                              </w:rPr>
                            </w:pPr>
                          </w:p>
                          <w:p w14:paraId="236587A2">
                            <w:pPr>
                              <w:jc w:val="center"/>
                              <w:rPr>
                                <w:rFonts w:hAnsi="宋体"/>
                                <w:color w:val="FF0000"/>
                              </w:rPr>
                            </w:pPr>
                          </w:p>
                          <w:p w14:paraId="65FA1644">
                            <w:pPr>
                              <w:jc w:val="center"/>
                              <w:rPr>
                                <w:rFonts w:hAnsi="宋体"/>
                                <w:color w:val="FF0000"/>
                              </w:rPr>
                            </w:pPr>
                          </w:p>
                          <w:p w14:paraId="08C523DF">
                            <w:pPr>
                              <w:jc w:val="center"/>
                            </w:pPr>
                            <w:r>
                              <w:rPr>
                                <w:rFonts w:hint="eastAsia" w:hAnsi="宋体"/>
                              </w:rPr>
                              <w:t>被授权人身份证正面</w:t>
                            </w:r>
                          </w:p>
                          <w:p w14:paraId="6F81E7CD"/>
                          <w:p w14:paraId="50C9E104"/>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4.35pt;margin-top:8.05pt;height:139.5pt;width:216pt;z-index:251660288;mso-width-relative:page;mso-height-relative:page;" fillcolor="#FFFFFF" filled="t" stroked="t" coordsize="21600,21600" o:gfxdata="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LFRAn2AAAAAkBAAAPAAAAAAAAAAEAIAAA&#10;ACIAAABkcnMvZG93bnJldi54bWxQSwECFAAUAAAACACHTuJAY+kGYEUCAACIBAAADgAAAAAAAAAB&#10;ACAAAAAnAQAAZHJzL2Uyb0RvYy54bWxQSwUGAAAAAAYABgBZAQAA3gUAAAAA&#10;">
                <v:fill on="t" focussize="0,0"/>
                <v:stroke color="#000000" miterlimit="8" joinstyle="miter"/>
                <v:imagedata o:title=""/>
                <o:lock v:ext="edit" aspectratio="f"/>
                <v:textbox>
                  <w:txbxContent>
                    <w:p w14:paraId="3B0AA173"/>
                    <w:p w14:paraId="2E80ED5F">
                      <w:pPr>
                        <w:jc w:val="center"/>
                        <w:rPr>
                          <w:rFonts w:hAnsi="宋体"/>
                          <w:color w:val="FF0000"/>
                        </w:rPr>
                      </w:pPr>
                    </w:p>
                    <w:p w14:paraId="236587A2">
                      <w:pPr>
                        <w:jc w:val="center"/>
                        <w:rPr>
                          <w:rFonts w:hAnsi="宋体"/>
                          <w:color w:val="FF0000"/>
                        </w:rPr>
                      </w:pPr>
                    </w:p>
                    <w:p w14:paraId="65FA1644">
                      <w:pPr>
                        <w:jc w:val="center"/>
                        <w:rPr>
                          <w:rFonts w:hAnsi="宋体"/>
                          <w:color w:val="FF0000"/>
                        </w:rPr>
                      </w:pPr>
                    </w:p>
                    <w:p w14:paraId="08C523DF">
                      <w:pPr>
                        <w:jc w:val="center"/>
                      </w:pPr>
                      <w:r>
                        <w:rPr>
                          <w:rFonts w:hint="eastAsia" w:hAnsi="宋体"/>
                        </w:rPr>
                        <w:t>被授权人身份证正面</w:t>
                      </w:r>
                    </w:p>
                    <w:p w14:paraId="6F81E7CD"/>
                    <w:p w14:paraId="50C9E104"/>
                  </w:txbxContent>
                </v:textbox>
              </v:shape>
            </w:pict>
          </mc:Fallback>
        </mc:AlternateContent>
      </w:r>
    </w:p>
    <w:p w14:paraId="32BF83C7">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0774DE8D">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05085DA6">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4B347D97">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04A8A6DA">
      <w:pPr>
        <w:widowControl/>
        <w:autoSpaceDE w:val="0"/>
        <w:autoSpaceDN w:val="0"/>
        <w:spacing w:before="120" w:after="120" w:line="360" w:lineRule="auto"/>
        <w:ind w:right="781" w:rightChars="372" w:firstLine="420" w:firstLineChars="200"/>
        <w:textAlignment w:val="bottom"/>
        <w:outlineLvl w:val="9"/>
        <w:rPr>
          <w:rFonts w:hint="eastAsia" w:ascii="宋体" w:hAnsi="宋体" w:eastAsia="宋体" w:cs="宋体"/>
          <w:szCs w:val="24"/>
          <w:highlight w:val="none"/>
        </w:rPr>
      </w:pPr>
    </w:p>
    <w:p w14:paraId="27F6379C">
      <w:pPr>
        <w:widowControl/>
        <w:autoSpaceDE w:val="0"/>
        <w:autoSpaceDN w:val="0"/>
        <w:spacing w:before="120" w:after="120" w:line="360" w:lineRule="auto"/>
        <w:ind w:right="781" w:rightChars="372" w:firstLine="422" w:firstLineChars="200"/>
        <w:textAlignment w:val="bottom"/>
        <w:outlineLvl w:val="9"/>
        <w:rPr>
          <w:rFonts w:hint="eastAsia" w:ascii="宋体" w:hAnsi="宋体" w:eastAsia="宋体" w:cs="宋体"/>
          <w:b/>
          <w:szCs w:val="24"/>
          <w:highlight w:val="none"/>
        </w:rPr>
        <w:sectPr>
          <w:footerReference r:id="rId6" w:type="first"/>
          <w:footerReference r:id="rId5" w:type="default"/>
          <w:pgSz w:w="12240" w:h="15840"/>
          <w:pgMar w:top="1191" w:right="1043" w:bottom="1191" w:left="1043" w:header="720" w:footer="720" w:gutter="0"/>
          <w:cols w:space="720" w:num="1"/>
          <w:titlePg/>
          <w:docGrid w:linePitch="326" w:charSpace="0"/>
        </w:sectPr>
      </w:pPr>
      <w:r>
        <w:rPr>
          <w:rFonts w:hint="eastAsia" w:ascii="宋体" w:hAnsi="宋体" w:eastAsia="宋体" w:cs="宋体"/>
          <w:b/>
          <w:szCs w:val="24"/>
          <w:highlight w:val="none"/>
        </w:rPr>
        <w:t>注：上述所附身份证应在有效期限内。</w:t>
      </w:r>
    </w:p>
    <w:p w14:paraId="41FDE693">
      <w:pPr>
        <w:pageBreakBefore/>
        <w:spacing w:line="360" w:lineRule="auto"/>
        <w:outlineLvl w:val="9"/>
        <w:rPr>
          <w:rFonts w:hint="eastAsia" w:ascii="宋体" w:hAnsi="宋体" w:eastAsia="宋体" w:cs="宋体"/>
          <w:b/>
          <w:color w:val="000000"/>
          <w:sz w:val="30"/>
          <w:szCs w:val="30"/>
          <w:highlight w:val="none"/>
        </w:rPr>
      </w:pPr>
      <w:bookmarkStart w:id="588" w:name="_Toc15716"/>
      <w:bookmarkStart w:id="589" w:name="_Toc12400"/>
      <w:bookmarkStart w:id="590" w:name="_Toc32328"/>
      <w:bookmarkStart w:id="591" w:name="_Toc140596933"/>
      <w:bookmarkStart w:id="592" w:name="_Toc94107214"/>
      <w:bookmarkStart w:id="593" w:name="_Toc1977730"/>
      <w:bookmarkStart w:id="594" w:name="_Toc142508373"/>
      <w:bookmarkStart w:id="595" w:name="_Toc104991880"/>
      <w:r>
        <w:rPr>
          <w:rFonts w:hint="eastAsia" w:ascii="宋体" w:hAnsi="宋体" w:eastAsia="宋体" w:cs="宋体"/>
          <w:b/>
          <w:kern w:val="0"/>
          <w:sz w:val="30"/>
          <w:szCs w:val="30"/>
          <w:highlight w:val="none"/>
          <w:lang w:val="en-US" w:eastAsia="zh-CN"/>
        </w:rPr>
        <w:t>4</w:t>
      </w:r>
      <w:r>
        <w:rPr>
          <w:rFonts w:hint="eastAsia" w:ascii="宋体" w:hAnsi="宋体" w:eastAsia="宋体" w:cs="宋体"/>
          <w:b/>
          <w:kern w:val="0"/>
          <w:sz w:val="30"/>
          <w:szCs w:val="30"/>
          <w:highlight w:val="none"/>
        </w:rPr>
        <w:t>.</w:t>
      </w:r>
      <w:r>
        <w:rPr>
          <w:rFonts w:hint="eastAsia" w:ascii="宋体" w:hAnsi="宋体" w:eastAsia="宋体" w:cs="宋体"/>
          <w:b/>
          <w:kern w:val="0"/>
          <w:sz w:val="30"/>
          <w:szCs w:val="30"/>
          <w:highlight w:val="none"/>
          <w:lang w:val="en-US" w:eastAsia="zh-CN"/>
        </w:rPr>
        <w:t>5</w:t>
      </w:r>
      <w:r>
        <w:rPr>
          <w:rFonts w:hint="eastAsia" w:ascii="宋体" w:hAnsi="宋体" w:eastAsia="宋体" w:cs="宋体"/>
          <w:b/>
          <w:kern w:val="0"/>
          <w:sz w:val="30"/>
          <w:szCs w:val="30"/>
          <w:highlight w:val="none"/>
        </w:rPr>
        <w:t xml:space="preserve"> </w:t>
      </w:r>
      <w:r>
        <w:rPr>
          <w:rFonts w:hint="eastAsia" w:ascii="宋体" w:hAnsi="宋体" w:eastAsia="宋体" w:cs="宋体"/>
          <w:b/>
          <w:bCs/>
          <w:color w:val="000000"/>
          <w:kern w:val="2"/>
          <w:sz w:val="32"/>
          <w:szCs w:val="32"/>
          <w:highlight w:val="none"/>
        </w:rPr>
        <w:t>资格业绩</w:t>
      </w:r>
      <w:r>
        <w:rPr>
          <w:rFonts w:hint="eastAsia" w:ascii="宋体" w:hAnsi="宋体" w:eastAsia="宋体" w:cs="宋体"/>
          <w:b/>
          <w:bCs/>
          <w:color w:val="000000"/>
          <w:sz w:val="32"/>
          <w:szCs w:val="32"/>
          <w:highlight w:val="none"/>
        </w:rPr>
        <w:t>【投标人提供一份</w:t>
      </w:r>
      <w:r>
        <w:rPr>
          <w:rFonts w:hint="eastAsia" w:ascii="宋体" w:hAnsi="宋体" w:eastAsia="宋体" w:cs="宋体"/>
          <w:b/>
          <w:bCs/>
          <w:color w:val="000000"/>
          <w:sz w:val="32"/>
          <w:szCs w:val="32"/>
          <w:highlight w:val="none"/>
          <w:lang w:val="en-US" w:eastAsia="zh-CN"/>
        </w:rPr>
        <w:t>2022</w:t>
      </w:r>
      <w:r>
        <w:rPr>
          <w:rFonts w:hint="eastAsia" w:ascii="宋体" w:hAnsi="宋体" w:eastAsia="宋体" w:cs="宋体"/>
          <w:b/>
          <w:bCs/>
          <w:color w:val="000000"/>
          <w:sz w:val="32"/>
          <w:szCs w:val="32"/>
          <w:highlight w:val="none"/>
        </w:rPr>
        <w:t>年</w:t>
      </w:r>
      <w:r>
        <w:rPr>
          <w:rFonts w:hint="eastAsia" w:ascii="宋体" w:hAnsi="宋体" w:eastAsia="宋体" w:cs="宋体"/>
          <w:b/>
          <w:bCs/>
          <w:color w:val="000000"/>
          <w:sz w:val="32"/>
          <w:szCs w:val="32"/>
          <w:highlight w:val="none"/>
          <w:lang w:val="en-US" w:eastAsia="zh-CN"/>
        </w:rPr>
        <w:t>1</w:t>
      </w:r>
      <w:r>
        <w:rPr>
          <w:rFonts w:hint="eastAsia" w:ascii="宋体" w:hAnsi="宋体" w:eastAsia="宋体" w:cs="宋体"/>
          <w:b/>
          <w:bCs/>
          <w:color w:val="000000"/>
          <w:sz w:val="32"/>
          <w:szCs w:val="32"/>
          <w:highlight w:val="none"/>
        </w:rPr>
        <w:t>月</w:t>
      </w:r>
      <w:r>
        <w:rPr>
          <w:rFonts w:hint="eastAsia" w:ascii="宋体" w:hAnsi="宋体" w:eastAsia="宋体" w:cs="宋体"/>
          <w:b/>
          <w:bCs/>
          <w:color w:val="000000"/>
          <w:sz w:val="32"/>
          <w:szCs w:val="32"/>
          <w:highlight w:val="none"/>
          <w:lang w:val="en-US" w:eastAsia="zh-CN"/>
        </w:rPr>
        <w:t>1</w:t>
      </w:r>
      <w:r>
        <w:rPr>
          <w:rFonts w:hint="eastAsia" w:ascii="宋体" w:hAnsi="宋体" w:eastAsia="宋体" w:cs="宋体"/>
          <w:b/>
          <w:bCs/>
          <w:color w:val="000000"/>
          <w:sz w:val="32"/>
          <w:szCs w:val="32"/>
          <w:highlight w:val="none"/>
        </w:rPr>
        <w:t>日以来</w:t>
      </w:r>
      <w:r>
        <w:rPr>
          <w:rFonts w:hint="eastAsia" w:ascii="宋体" w:hAnsi="宋体" w:eastAsia="宋体" w:cs="宋体"/>
          <w:b/>
          <w:bCs/>
          <w:color w:val="000000"/>
          <w:sz w:val="32"/>
          <w:szCs w:val="32"/>
          <w:highlight w:val="none"/>
          <w:lang w:val="en-US" w:eastAsia="zh-CN"/>
        </w:rPr>
        <w:t>担任主承销商发行企业3年期公司债的业绩</w:t>
      </w:r>
      <w:r>
        <w:rPr>
          <w:rFonts w:hint="eastAsia" w:ascii="宋体" w:hAnsi="宋体" w:eastAsia="宋体" w:cs="宋体"/>
          <w:b/>
          <w:bCs/>
          <w:color w:val="000000"/>
          <w:sz w:val="32"/>
          <w:szCs w:val="32"/>
          <w:highlight w:val="none"/>
        </w:rPr>
        <w:t>（合同签订日期为</w:t>
      </w:r>
      <w:r>
        <w:rPr>
          <w:rFonts w:hint="eastAsia" w:ascii="宋体" w:hAnsi="宋体" w:eastAsia="宋体" w:cs="宋体"/>
          <w:b/>
          <w:bCs/>
          <w:color w:val="000000"/>
          <w:sz w:val="32"/>
          <w:szCs w:val="32"/>
          <w:highlight w:val="none"/>
          <w:lang w:val="en-US" w:eastAsia="zh-CN"/>
        </w:rPr>
        <w:t>2022</w:t>
      </w:r>
      <w:r>
        <w:rPr>
          <w:rFonts w:hint="eastAsia" w:ascii="宋体" w:hAnsi="宋体" w:eastAsia="宋体" w:cs="宋体"/>
          <w:b/>
          <w:bCs/>
          <w:color w:val="000000"/>
          <w:sz w:val="32"/>
          <w:szCs w:val="32"/>
          <w:highlight w:val="none"/>
        </w:rPr>
        <w:t>年</w:t>
      </w:r>
      <w:r>
        <w:rPr>
          <w:rFonts w:hint="eastAsia" w:ascii="宋体" w:hAnsi="宋体" w:eastAsia="宋体" w:cs="宋体"/>
          <w:b/>
          <w:bCs/>
          <w:color w:val="000000"/>
          <w:sz w:val="32"/>
          <w:szCs w:val="32"/>
          <w:highlight w:val="none"/>
          <w:lang w:val="en-US" w:eastAsia="zh-CN"/>
        </w:rPr>
        <w:t>1</w:t>
      </w:r>
      <w:r>
        <w:rPr>
          <w:rFonts w:hint="eastAsia" w:ascii="宋体" w:hAnsi="宋体" w:eastAsia="宋体" w:cs="宋体"/>
          <w:b/>
          <w:bCs/>
          <w:color w:val="000000"/>
          <w:sz w:val="32"/>
          <w:szCs w:val="32"/>
          <w:highlight w:val="none"/>
        </w:rPr>
        <w:t>月</w:t>
      </w:r>
      <w:r>
        <w:rPr>
          <w:rFonts w:hint="eastAsia" w:ascii="宋体" w:hAnsi="宋体" w:eastAsia="宋体" w:cs="宋体"/>
          <w:b/>
          <w:bCs/>
          <w:color w:val="000000"/>
          <w:sz w:val="32"/>
          <w:szCs w:val="32"/>
          <w:highlight w:val="none"/>
          <w:lang w:val="en-US" w:eastAsia="zh-CN"/>
        </w:rPr>
        <w:t>1</w:t>
      </w:r>
      <w:r>
        <w:rPr>
          <w:rFonts w:hint="eastAsia" w:ascii="宋体" w:hAnsi="宋体" w:eastAsia="宋体" w:cs="宋体"/>
          <w:b/>
          <w:bCs/>
          <w:color w:val="000000"/>
          <w:sz w:val="32"/>
          <w:szCs w:val="32"/>
          <w:highlight w:val="none"/>
        </w:rPr>
        <w:t>日或以后）</w:t>
      </w:r>
      <w:bookmarkEnd w:id="588"/>
      <w:bookmarkEnd w:id="589"/>
      <w:bookmarkEnd w:id="590"/>
      <w:r>
        <w:rPr>
          <w:rFonts w:hint="eastAsia" w:ascii="宋体" w:hAnsi="宋体" w:eastAsia="宋体" w:cs="宋体"/>
          <w:b/>
          <w:bCs/>
          <w:color w:val="000000"/>
          <w:sz w:val="32"/>
          <w:szCs w:val="32"/>
          <w:highlight w:val="none"/>
        </w:rPr>
        <w:t>】</w:t>
      </w:r>
    </w:p>
    <w:p w14:paraId="486EF483">
      <w:pPr>
        <w:spacing w:line="360" w:lineRule="auto"/>
        <w:outlineLvl w:val="9"/>
        <w:rPr>
          <w:rFonts w:hint="eastAsia" w:ascii="宋体" w:hAnsi="宋体" w:eastAsia="宋体" w:cs="宋体"/>
          <w:b/>
          <w:color w:val="FF0000"/>
          <w:szCs w:val="21"/>
          <w:highlight w:val="none"/>
          <w:lang w:val="zh-CN"/>
        </w:rPr>
      </w:pP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723"/>
        <w:gridCol w:w="1050"/>
        <w:gridCol w:w="1051"/>
        <w:gridCol w:w="1053"/>
        <w:gridCol w:w="1053"/>
        <w:gridCol w:w="1053"/>
        <w:gridCol w:w="1226"/>
        <w:gridCol w:w="1053"/>
        <w:gridCol w:w="864"/>
      </w:tblGrid>
      <w:tr w14:paraId="1BBFB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1627" w:hRule="exact"/>
          <w:jc w:val="center"/>
        </w:trPr>
        <w:tc>
          <w:tcPr>
            <w:tcW w:w="396" w:type="pct"/>
            <w:noWrap w:val="0"/>
            <w:vAlign w:val="center"/>
          </w:tcPr>
          <w:p w14:paraId="7FA6C099">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575" w:type="pct"/>
            <w:noWrap w:val="0"/>
            <w:vAlign w:val="center"/>
          </w:tcPr>
          <w:p w14:paraId="7981A092">
            <w:pPr>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证券简称</w:t>
            </w:r>
          </w:p>
        </w:tc>
        <w:tc>
          <w:tcPr>
            <w:tcW w:w="575" w:type="pct"/>
            <w:noWrap w:val="0"/>
            <w:vAlign w:val="center"/>
          </w:tcPr>
          <w:p w14:paraId="25651E87">
            <w:pPr>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合同签订时间</w:t>
            </w:r>
          </w:p>
        </w:tc>
        <w:tc>
          <w:tcPr>
            <w:tcW w:w="576" w:type="pct"/>
            <w:noWrap w:val="0"/>
            <w:vAlign w:val="center"/>
          </w:tcPr>
          <w:p w14:paraId="603EA546">
            <w:pPr>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发行日期</w:t>
            </w:r>
          </w:p>
        </w:tc>
        <w:tc>
          <w:tcPr>
            <w:tcW w:w="576" w:type="pct"/>
            <w:noWrap w:val="0"/>
            <w:vAlign w:val="center"/>
          </w:tcPr>
          <w:p w14:paraId="23E98881">
            <w:pPr>
              <w:jc w:val="center"/>
              <w:rPr>
                <w:rFonts w:hint="eastAsia" w:ascii="宋体" w:hAnsi="宋体" w:eastAsia="宋体" w:cs="宋体"/>
                <w:b/>
                <w:bCs/>
                <w:color w:val="auto"/>
                <w:sz w:val="21"/>
                <w:szCs w:val="21"/>
                <w:highlight w:val="none"/>
              </w:rPr>
            </w:pPr>
            <w:r>
              <w:rPr>
                <w:rFonts w:hint="eastAsia" w:ascii="宋体" w:hAnsi="宋体" w:eastAsia="宋体" w:cs="宋体"/>
                <w:b/>
                <w:bCs/>
                <w:kern w:val="2"/>
                <w:sz w:val="21"/>
                <w:szCs w:val="21"/>
                <w:lang w:val="zh-CN"/>
              </w:rPr>
              <w:t>债券期限（年）</w:t>
            </w:r>
          </w:p>
        </w:tc>
        <w:tc>
          <w:tcPr>
            <w:tcW w:w="576" w:type="pct"/>
            <w:noWrap w:val="0"/>
            <w:vAlign w:val="center"/>
          </w:tcPr>
          <w:p w14:paraId="237A5D57">
            <w:pPr>
              <w:jc w:val="center"/>
              <w:rPr>
                <w:rFonts w:hint="eastAsia" w:ascii="宋体" w:hAnsi="宋体" w:eastAsia="宋体" w:cs="宋体"/>
                <w:b/>
                <w:bCs/>
                <w:color w:val="auto"/>
                <w:sz w:val="21"/>
                <w:szCs w:val="21"/>
                <w:highlight w:val="none"/>
              </w:rPr>
            </w:pPr>
            <w:r>
              <w:rPr>
                <w:rFonts w:hint="eastAsia" w:ascii="宋体" w:hAnsi="宋体" w:eastAsia="宋体" w:cs="宋体"/>
                <w:b/>
                <w:bCs/>
                <w:kern w:val="2"/>
                <w:sz w:val="21"/>
                <w:szCs w:val="21"/>
                <w:lang w:val="zh-CN"/>
              </w:rPr>
              <w:t>实际发行金额（亿元）</w:t>
            </w:r>
          </w:p>
        </w:tc>
        <w:tc>
          <w:tcPr>
            <w:tcW w:w="671" w:type="pct"/>
            <w:noWrap w:val="0"/>
            <w:vAlign w:val="center"/>
          </w:tcPr>
          <w:p w14:paraId="53AD6DAB">
            <w:pPr>
              <w:jc w:val="center"/>
              <w:rPr>
                <w:rFonts w:hint="eastAsia" w:ascii="宋体" w:hAnsi="宋体" w:eastAsia="宋体" w:cs="宋体"/>
                <w:b/>
                <w:bCs/>
                <w:color w:val="auto"/>
                <w:sz w:val="21"/>
                <w:szCs w:val="21"/>
                <w:highlight w:val="none"/>
              </w:rPr>
            </w:pPr>
            <w:r>
              <w:rPr>
                <w:rFonts w:hint="eastAsia" w:ascii="宋体" w:hAnsi="宋体" w:eastAsia="宋体" w:cs="宋体"/>
                <w:b/>
                <w:bCs/>
                <w:kern w:val="2"/>
                <w:sz w:val="21"/>
                <w:szCs w:val="21"/>
              </w:rPr>
              <w:t>主承销商</w:t>
            </w:r>
          </w:p>
        </w:tc>
        <w:tc>
          <w:tcPr>
            <w:tcW w:w="576" w:type="pct"/>
            <w:noWrap w:val="0"/>
            <w:vAlign w:val="center"/>
          </w:tcPr>
          <w:p w14:paraId="62A12F5C">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业主联系人及电话</w:t>
            </w:r>
          </w:p>
        </w:tc>
        <w:tc>
          <w:tcPr>
            <w:tcW w:w="473" w:type="pct"/>
            <w:noWrap w:val="0"/>
            <w:vAlign w:val="center"/>
          </w:tcPr>
          <w:p w14:paraId="5DC5F6C1">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p>
        </w:tc>
      </w:tr>
      <w:tr w14:paraId="127B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96" w:type="pct"/>
            <w:noWrap w:val="0"/>
            <w:vAlign w:val="center"/>
          </w:tcPr>
          <w:p w14:paraId="0BC474A0">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575" w:type="pct"/>
            <w:noWrap w:val="0"/>
            <w:vAlign w:val="center"/>
          </w:tcPr>
          <w:p w14:paraId="2186EB5B">
            <w:pPr>
              <w:jc w:val="center"/>
              <w:rPr>
                <w:rFonts w:hint="eastAsia" w:ascii="宋体" w:hAnsi="宋体" w:eastAsia="宋体" w:cs="宋体"/>
                <w:color w:val="auto"/>
                <w:sz w:val="21"/>
                <w:szCs w:val="21"/>
                <w:highlight w:val="none"/>
              </w:rPr>
            </w:pPr>
          </w:p>
        </w:tc>
        <w:tc>
          <w:tcPr>
            <w:tcW w:w="575" w:type="pct"/>
            <w:noWrap w:val="0"/>
            <w:vAlign w:val="center"/>
          </w:tcPr>
          <w:p w14:paraId="617ADFFF">
            <w:pPr>
              <w:jc w:val="center"/>
              <w:rPr>
                <w:rFonts w:hint="eastAsia" w:ascii="宋体" w:hAnsi="宋体" w:eastAsia="宋体" w:cs="宋体"/>
                <w:color w:val="auto"/>
                <w:sz w:val="21"/>
                <w:szCs w:val="21"/>
                <w:highlight w:val="none"/>
              </w:rPr>
            </w:pPr>
          </w:p>
        </w:tc>
        <w:tc>
          <w:tcPr>
            <w:tcW w:w="576" w:type="pct"/>
            <w:noWrap w:val="0"/>
            <w:vAlign w:val="center"/>
          </w:tcPr>
          <w:p w14:paraId="5019375F">
            <w:pPr>
              <w:jc w:val="center"/>
              <w:rPr>
                <w:rFonts w:hint="eastAsia" w:ascii="宋体" w:hAnsi="宋体" w:eastAsia="宋体" w:cs="宋体"/>
                <w:color w:val="auto"/>
                <w:sz w:val="21"/>
                <w:szCs w:val="21"/>
                <w:highlight w:val="none"/>
              </w:rPr>
            </w:pPr>
          </w:p>
        </w:tc>
        <w:tc>
          <w:tcPr>
            <w:tcW w:w="576" w:type="pct"/>
            <w:noWrap w:val="0"/>
            <w:vAlign w:val="center"/>
          </w:tcPr>
          <w:p w14:paraId="2691DADB">
            <w:pPr>
              <w:jc w:val="center"/>
              <w:rPr>
                <w:rFonts w:hint="eastAsia" w:ascii="宋体" w:hAnsi="宋体" w:eastAsia="宋体" w:cs="宋体"/>
                <w:color w:val="auto"/>
                <w:sz w:val="21"/>
                <w:szCs w:val="21"/>
                <w:highlight w:val="none"/>
              </w:rPr>
            </w:pPr>
          </w:p>
        </w:tc>
        <w:tc>
          <w:tcPr>
            <w:tcW w:w="576" w:type="pct"/>
            <w:noWrap w:val="0"/>
            <w:vAlign w:val="center"/>
          </w:tcPr>
          <w:p w14:paraId="1CEF29C5">
            <w:pPr>
              <w:jc w:val="center"/>
              <w:rPr>
                <w:rFonts w:hint="eastAsia" w:ascii="宋体" w:hAnsi="宋体" w:eastAsia="宋体" w:cs="宋体"/>
                <w:color w:val="auto"/>
                <w:sz w:val="21"/>
                <w:szCs w:val="21"/>
                <w:highlight w:val="none"/>
              </w:rPr>
            </w:pPr>
          </w:p>
        </w:tc>
        <w:tc>
          <w:tcPr>
            <w:tcW w:w="671" w:type="pct"/>
            <w:noWrap w:val="0"/>
            <w:vAlign w:val="center"/>
          </w:tcPr>
          <w:p w14:paraId="1E47526F">
            <w:pPr>
              <w:jc w:val="center"/>
              <w:rPr>
                <w:rFonts w:hint="eastAsia" w:ascii="宋体" w:hAnsi="宋体" w:eastAsia="宋体" w:cs="宋体"/>
                <w:color w:val="auto"/>
                <w:sz w:val="21"/>
                <w:szCs w:val="21"/>
                <w:highlight w:val="none"/>
              </w:rPr>
            </w:pPr>
          </w:p>
        </w:tc>
        <w:tc>
          <w:tcPr>
            <w:tcW w:w="576" w:type="pct"/>
            <w:noWrap w:val="0"/>
            <w:vAlign w:val="center"/>
          </w:tcPr>
          <w:p w14:paraId="336D4CE1">
            <w:pPr>
              <w:jc w:val="center"/>
              <w:rPr>
                <w:rFonts w:hint="eastAsia" w:ascii="宋体" w:hAnsi="宋体" w:eastAsia="宋体" w:cs="宋体"/>
                <w:color w:val="auto"/>
                <w:sz w:val="21"/>
                <w:szCs w:val="21"/>
                <w:highlight w:val="none"/>
              </w:rPr>
            </w:pPr>
          </w:p>
        </w:tc>
        <w:tc>
          <w:tcPr>
            <w:tcW w:w="473" w:type="pct"/>
            <w:noWrap w:val="0"/>
            <w:vAlign w:val="center"/>
          </w:tcPr>
          <w:p w14:paraId="3F5B909D">
            <w:pPr>
              <w:jc w:val="center"/>
              <w:rPr>
                <w:rFonts w:hint="eastAsia" w:ascii="宋体" w:hAnsi="宋体" w:eastAsia="宋体" w:cs="宋体"/>
                <w:color w:val="auto"/>
                <w:sz w:val="21"/>
                <w:szCs w:val="21"/>
                <w:highlight w:val="none"/>
              </w:rPr>
            </w:pPr>
          </w:p>
        </w:tc>
      </w:tr>
      <w:tr w14:paraId="67A06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cantSplit/>
          <w:trHeight w:val="760" w:hRule="exact"/>
          <w:jc w:val="center"/>
        </w:trPr>
        <w:tc>
          <w:tcPr>
            <w:tcW w:w="396" w:type="pct"/>
            <w:noWrap w:val="0"/>
            <w:vAlign w:val="center"/>
          </w:tcPr>
          <w:p w14:paraId="09031B5A">
            <w:pPr>
              <w:jc w:val="center"/>
              <w:rPr>
                <w:rFonts w:hint="eastAsia" w:ascii="宋体" w:hAnsi="宋体" w:eastAsia="宋体" w:cs="宋体"/>
                <w:color w:val="auto"/>
                <w:sz w:val="21"/>
                <w:szCs w:val="21"/>
                <w:highlight w:val="none"/>
              </w:rPr>
            </w:pPr>
            <w:r>
              <w:rPr>
                <w:rFonts w:ascii="宋体" w:hAnsi="宋体" w:eastAsia="宋体" w:cs="Courier New"/>
                <w:color w:val="auto"/>
                <w:kern w:val="0"/>
                <w:szCs w:val="21"/>
                <w:highlight w:val="none"/>
              </w:rPr>
              <w:t>…</w:t>
            </w:r>
          </w:p>
        </w:tc>
        <w:tc>
          <w:tcPr>
            <w:tcW w:w="575" w:type="pct"/>
            <w:noWrap w:val="0"/>
            <w:vAlign w:val="center"/>
          </w:tcPr>
          <w:p w14:paraId="5AB739C2">
            <w:pPr>
              <w:jc w:val="center"/>
              <w:rPr>
                <w:rFonts w:hint="eastAsia" w:ascii="宋体" w:hAnsi="宋体" w:eastAsia="宋体" w:cs="宋体"/>
                <w:color w:val="auto"/>
                <w:sz w:val="21"/>
                <w:szCs w:val="21"/>
                <w:highlight w:val="none"/>
              </w:rPr>
            </w:pPr>
          </w:p>
        </w:tc>
        <w:tc>
          <w:tcPr>
            <w:tcW w:w="575" w:type="pct"/>
            <w:noWrap w:val="0"/>
            <w:vAlign w:val="center"/>
          </w:tcPr>
          <w:p w14:paraId="05179D64">
            <w:pPr>
              <w:jc w:val="center"/>
              <w:rPr>
                <w:rFonts w:hint="eastAsia" w:ascii="宋体" w:hAnsi="宋体" w:eastAsia="宋体" w:cs="宋体"/>
                <w:color w:val="auto"/>
                <w:sz w:val="21"/>
                <w:szCs w:val="21"/>
                <w:highlight w:val="none"/>
              </w:rPr>
            </w:pPr>
          </w:p>
        </w:tc>
        <w:tc>
          <w:tcPr>
            <w:tcW w:w="576" w:type="pct"/>
            <w:noWrap w:val="0"/>
            <w:vAlign w:val="center"/>
          </w:tcPr>
          <w:p w14:paraId="4715E289">
            <w:pPr>
              <w:jc w:val="center"/>
              <w:rPr>
                <w:rFonts w:hint="eastAsia" w:ascii="宋体" w:hAnsi="宋体" w:eastAsia="宋体" w:cs="宋体"/>
                <w:color w:val="auto"/>
                <w:sz w:val="21"/>
                <w:szCs w:val="21"/>
                <w:highlight w:val="none"/>
              </w:rPr>
            </w:pPr>
          </w:p>
        </w:tc>
        <w:tc>
          <w:tcPr>
            <w:tcW w:w="576" w:type="pct"/>
            <w:noWrap w:val="0"/>
            <w:vAlign w:val="center"/>
          </w:tcPr>
          <w:p w14:paraId="3BCE3DA2">
            <w:pPr>
              <w:jc w:val="center"/>
              <w:rPr>
                <w:rFonts w:hint="eastAsia" w:ascii="宋体" w:hAnsi="宋体" w:eastAsia="宋体" w:cs="宋体"/>
                <w:color w:val="auto"/>
                <w:sz w:val="21"/>
                <w:szCs w:val="21"/>
                <w:highlight w:val="none"/>
              </w:rPr>
            </w:pPr>
          </w:p>
        </w:tc>
        <w:tc>
          <w:tcPr>
            <w:tcW w:w="576" w:type="pct"/>
            <w:noWrap w:val="0"/>
            <w:vAlign w:val="center"/>
          </w:tcPr>
          <w:p w14:paraId="35830227">
            <w:pPr>
              <w:jc w:val="center"/>
              <w:rPr>
                <w:rFonts w:hint="eastAsia" w:ascii="宋体" w:hAnsi="宋体" w:eastAsia="宋体" w:cs="宋体"/>
                <w:color w:val="auto"/>
                <w:sz w:val="21"/>
                <w:szCs w:val="21"/>
                <w:highlight w:val="none"/>
              </w:rPr>
            </w:pPr>
          </w:p>
        </w:tc>
        <w:tc>
          <w:tcPr>
            <w:tcW w:w="671" w:type="pct"/>
            <w:noWrap w:val="0"/>
            <w:vAlign w:val="center"/>
          </w:tcPr>
          <w:p w14:paraId="1838ACD3">
            <w:pPr>
              <w:jc w:val="center"/>
              <w:rPr>
                <w:rFonts w:hint="eastAsia" w:ascii="宋体" w:hAnsi="宋体" w:eastAsia="宋体" w:cs="宋体"/>
                <w:color w:val="auto"/>
                <w:sz w:val="21"/>
                <w:szCs w:val="21"/>
                <w:highlight w:val="none"/>
              </w:rPr>
            </w:pPr>
          </w:p>
        </w:tc>
        <w:tc>
          <w:tcPr>
            <w:tcW w:w="576" w:type="pct"/>
            <w:noWrap w:val="0"/>
            <w:vAlign w:val="center"/>
          </w:tcPr>
          <w:p w14:paraId="1828598C">
            <w:pPr>
              <w:jc w:val="center"/>
              <w:rPr>
                <w:rFonts w:hint="eastAsia" w:ascii="宋体" w:hAnsi="宋体" w:eastAsia="宋体" w:cs="宋体"/>
                <w:color w:val="auto"/>
                <w:sz w:val="21"/>
                <w:szCs w:val="21"/>
                <w:highlight w:val="none"/>
              </w:rPr>
            </w:pPr>
          </w:p>
        </w:tc>
        <w:tc>
          <w:tcPr>
            <w:tcW w:w="473" w:type="pct"/>
            <w:noWrap w:val="0"/>
            <w:vAlign w:val="center"/>
          </w:tcPr>
          <w:p w14:paraId="5B2824A0">
            <w:pPr>
              <w:jc w:val="center"/>
              <w:rPr>
                <w:rFonts w:hint="eastAsia" w:ascii="宋体" w:hAnsi="宋体" w:eastAsia="宋体" w:cs="宋体"/>
                <w:color w:val="auto"/>
                <w:sz w:val="21"/>
                <w:szCs w:val="21"/>
                <w:highlight w:val="none"/>
              </w:rPr>
            </w:pPr>
          </w:p>
        </w:tc>
      </w:tr>
    </w:tbl>
    <w:p w14:paraId="046BC2E3">
      <w:pPr>
        <w:spacing w:line="360" w:lineRule="auto"/>
        <w:ind w:left="424" w:hanging="424" w:hangingChars="201"/>
        <w:outlineLvl w:val="9"/>
        <w:rPr>
          <w:rFonts w:hint="eastAsia" w:ascii="宋体" w:hAnsi="宋体" w:eastAsia="宋体" w:cs="宋体"/>
          <w:b/>
          <w:color w:val="auto"/>
          <w:szCs w:val="21"/>
          <w:highlight w:val="none"/>
          <w:lang w:val="zh-CN"/>
        </w:rPr>
      </w:pPr>
    </w:p>
    <w:p w14:paraId="5FB520D8">
      <w:pPr>
        <w:spacing w:line="360" w:lineRule="auto"/>
        <w:ind w:left="424" w:hanging="424" w:hangingChars="201"/>
        <w:outlineLvl w:val="9"/>
        <w:rPr>
          <w:rFonts w:hint="eastAsia" w:ascii="宋体" w:hAnsi="宋体" w:eastAsia="宋体" w:cs="宋体"/>
          <w:b/>
          <w:bCs w:val="0"/>
          <w:color w:val="auto"/>
          <w:szCs w:val="21"/>
          <w:highlight w:val="none"/>
          <w:lang w:val="zh-CN"/>
        </w:rPr>
      </w:pPr>
      <w:r>
        <w:rPr>
          <w:rFonts w:hint="eastAsia" w:ascii="宋体" w:hAnsi="宋体" w:eastAsia="宋体" w:cs="宋体"/>
          <w:b/>
          <w:bCs w:val="0"/>
          <w:color w:val="auto"/>
          <w:szCs w:val="21"/>
          <w:highlight w:val="none"/>
          <w:lang w:val="zh-CN"/>
        </w:rPr>
        <w:t>资格业绩证明材料提交要求：</w:t>
      </w:r>
    </w:p>
    <w:p w14:paraId="32266B3E">
      <w:pPr>
        <w:spacing w:line="360" w:lineRule="auto"/>
        <w:ind w:left="422" w:hanging="422" w:hangingChars="201"/>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val="zh-CN"/>
        </w:rPr>
        <w:t>）业绩须附合同扫描件；</w:t>
      </w:r>
    </w:p>
    <w:p w14:paraId="193934F4">
      <w:pPr>
        <w:spacing w:line="360" w:lineRule="auto"/>
        <w:ind w:left="422" w:hanging="422" w:hangingChars="201"/>
        <w:rPr>
          <w:rFonts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val="zh-CN"/>
        </w:rPr>
        <w:t>）若合同无法反映资格条件（</w:t>
      </w:r>
      <w:r>
        <w:rPr>
          <w:rFonts w:hint="eastAsia" w:ascii="宋体" w:hAnsi="宋体" w:eastAsia="宋体" w:cs="宋体"/>
          <w:color w:val="auto"/>
          <w:szCs w:val="21"/>
          <w:highlight w:val="none"/>
          <w:lang w:val="zh-CN" w:eastAsia="zh-CN"/>
        </w:rPr>
        <w:t>主承销商</w:t>
      </w:r>
      <w:r>
        <w:rPr>
          <w:rFonts w:hint="eastAsia" w:ascii="宋体" w:hAnsi="宋体" w:eastAsia="宋体" w:cs="宋体"/>
          <w:color w:val="auto"/>
          <w:szCs w:val="21"/>
          <w:highlight w:val="none"/>
          <w:lang w:val="zh-CN"/>
        </w:rPr>
        <w:t>为投标人、合同签订日期为202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val="zh-CN"/>
        </w:rPr>
        <w:t>年1月1日或以后、合同</w:t>
      </w:r>
      <w:r>
        <w:rPr>
          <w:rFonts w:hint="eastAsia" w:ascii="宋体" w:hAnsi="宋体" w:eastAsia="宋体" w:cs="宋体"/>
          <w:color w:val="auto"/>
          <w:szCs w:val="21"/>
          <w:highlight w:val="none"/>
          <w:lang w:val="en-US" w:eastAsia="zh-CN"/>
        </w:rPr>
        <w:t>服务内容为发行企业3年期公司债</w:t>
      </w:r>
      <w:r>
        <w:rPr>
          <w:rFonts w:hint="eastAsia" w:ascii="宋体" w:hAnsi="宋体" w:eastAsia="宋体" w:cs="宋体"/>
          <w:color w:val="auto"/>
          <w:szCs w:val="21"/>
          <w:highlight w:val="none"/>
          <w:lang w:val="zh-CN"/>
        </w:rPr>
        <w:t>）的，还需提供</w:t>
      </w:r>
      <w:r>
        <w:rPr>
          <w:rFonts w:hint="eastAsia" w:ascii="宋体" w:hAnsi="宋体" w:eastAsia="宋体" w:cs="宋体"/>
          <w:color w:val="auto"/>
          <w:szCs w:val="21"/>
          <w:highlight w:val="none"/>
          <w:lang w:val="en-US" w:eastAsia="zh-CN"/>
        </w:rPr>
        <w:t>服务</w:t>
      </w:r>
      <w:r>
        <w:rPr>
          <w:rFonts w:hint="eastAsia" w:ascii="宋体" w:hAnsi="宋体" w:eastAsia="宋体" w:cs="宋体"/>
          <w:color w:val="auto"/>
          <w:szCs w:val="21"/>
          <w:highlight w:val="none"/>
          <w:lang w:val="zh-CN"/>
        </w:rPr>
        <w:t>购买方出具的书面补充说明文件扫描件作为辅助证明（补充说明文件扫描件能显示购买方公章）；</w:t>
      </w:r>
    </w:p>
    <w:p w14:paraId="31AD9D12">
      <w:pPr>
        <w:tabs>
          <w:tab w:val="left" w:pos="567"/>
        </w:tabs>
        <w:autoSpaceDE w:val="0"/>
        <w:autoSpaceDN w:val="0"/>
        <w:adjustRightInd w:val="0"/>
        <w:spacing w:line="360" w:lineRule="auto"/>
        <w:jc w:val="left"/>
        <w:outlineLvl w:val="9"/>
        <w:rPr>
          <w:rFonts w:hint="eastAsia" w:ascii="宋体" w:hAnsi="宋体" w:eastAsia="宋体" w:cs="宋体"/>
          <w:b/>
          <w:bCs w:val="0"/>
          <w:color w:val="auto"/>
          <w:kern w:val="0"/>
          <w:sz w:val="30"/>
          <w:szCs w:val="30"/>
          <w:highlight w:val="none"/>
          <w:lang w:val="en-US" w:eastAsia="zh-CN"/>
        </w:rPr>
      </w:pPr>
      <w:bookmarkStart w:id="596" w:name="_Toc9088"/>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lang w:val="zh-CN"/>
        </w:rPr>
        <w:t>）</w:t>
      </w:r>
      <w:r>
        <w:rPr>
          <w:rFonts w:hint="eastAsia" w:ascii="宋体" w:hAnsi="宋体" w:eastAsia="宋体" w:cs="宋体"/>
          <w:b/>
          <w:bCs w:val="0"/>
          <w:color w:val="auto"/>
          <w:szCs w:val="21"/>
          <w:highlight w:val="none"/>
          <w:lang w:val="en-US" w:eastAsia="zh-CN"/>
        </w:rPr>
        <w:t>说明：</w:t>
      </w:r>
      <w:r>
        <w:rPr>
          <w:rFonts w:hint="eastAsia" w:ascii="宋体" w:hAnsi="宋体" w:eastAsia="宋体" w:cs="宋体"/>
          <w:b/>
          <w:bCs w:val="0"/>
          <w:color w:val="auto"/>
          <w:sz w:val="21"/>
          <w:szCs w:val="21"/>
        </w:rPr>
        <w:t>3年期包含</w:t>
      </w:r>
      <w:r>
        <w:rPr>
          <w:rFonts w:hint="eastAsia" w:ascii="宋体" w:hAnsi="宋体" w:eastAsia="宋体" w:cs="宋体"/>
          <w:b/>
          <w:bCs w:val="0"/>
          <w:color w:val="auto"/>
          <w:kern w:val="2"/>
          <w:sz w:val="21"/>
          <w:szCs w:val="21"/>
          <w:lang w:val="zh-CN"/>
        </w:rPr>
        <w:t>3年、3+2年、3+3+1年、3+N年；</w:t>
      </w:r>
    </w:p>
    <w:p w14:paraId="5A170A28">
      <w:pPr>
        <w:spacing w:line="360" w:lineRule="auto"/>
        <w:ind w:left="422" w:hanging="424" w:hangingChars="201"/>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lang w:val="zh-CN"/>
        </w:rPr>
        <w:t>）未按上述要求在此格式下提供证明材料的业绩，或在此格式下所附材料无法证明符合资格要求的业绩，按无效投标文件处理。</w:t>
      </w:r>
      <w:bookmarkEnd w:id="596"/>
    </w:p>
    <w:p w14:paraId="21FF48C2">
      <w:pPr>
        <w:outlineLvl w:val="9"/>
        <w:rPr>
          <w:rFonts w:hint="eastAsia" w:ascii="宋体" w:hAnsi="宋体" w:eastAsia="宋体" w:cs="宋体"/>
          <w:b/>
          <w:kern w:val="0"/>
          <w:sz w:val="30"/>
          <w:szCs w:val="30"/>
          <w:highlight w:val="none"/>
        </w:rPr>
      </w:pPr>
      <w:r>
        <w:rPr>
          <w:rFonts w:hint="eastAsia" w:ascii="宋体" w:hAnsi="宋体" w:eastAsia="宋体" w:cs="宋体"/>
          <w:b/>
          <w:kern w:val="0"/>
          <w:sz w:val="30"/>
          <w:szCs w:val="30"/>
          <w:highlight w:val="none"/>
        </w:rPr>
        <w:br w:type="page"/>
      </w:r>
    </w:p>
    <w:p w14:paraId="232381F8">
      <w:pPr>
        <w:autoSpaceDE/>
        <w:autoSpaceDN/>
        <w:adjustRightInd/>
        <w:spacing w:line="240" w:lineRule="auto"/>
        <w:jc w:val="left"/>
        <w:outlineLvl w:val="9"/>
        <w:rPr>
          <w:rFonts w:hint="eastAsia" w:ascii="宋体" w:hAnsi="宋体" w:eastAsia="宋体" w:cs="宋体"/>
          <w:b/>
          <w:bCs/>
          <w:sz w:val="32"/>
          <w:szCs w:val="32"/>
          <w:highlight w:val="none"/>
          <w:lang w:val="zh-CN"/>
        </w:rPr>
      </w:pPr>
      <w:bookmarkStart w:id="597" w:name="_Toc21843"/>
      <w:bookmarkStart w:id="598" w:name="_Toc8121"/>
      <w:bookmarkStart w:id="599" w:name="_Toc7508"/>
      <w:r>
        <w:rPr>
          <w:rFonts w:hint="eastAsia" w:ascii="宋体" w:hAnsi="宋体" w:eastAsia="宋体" w:cs="宋体"/>
          <w:b/>
          <w:kern w:val="0"/>
          <w:sz w:val="30"/>
          <w:szCs w:val="30"/>
          <w:highlight w:val="none"/>
          <w:lang w:val="en-US" w:eastAsia="zh-CN"/>
        </w:rPr>
        <w:t xml:space="preserve">4.6 </w:t>
      </w:r>
      <w:r>
        <w:rPr>
          <w:rFonts w:hint="eastAsia" w:ascii="宋体" w:hAnsi="宋体" w:eastAsia="宋体" w:cs="宋体"/>
          <w:b/>
          <w:kern w:val="0"/>
          <w:sz w:val="30"/>
          <w:szCs w:val="30"/>
          <w:highlight w:val="none"/>
        </w:rPr>
        <w:t>最近3年投标人牵涉的其他（失信和违法）处罚说明格式</w:t>
      </w:r>
      <w:bookmarkEnd w:id="591"/>
      <w:bookmarkEnd w:id="592"/>
      <w:bookmarkEnd w:id="593"/>
      <w:bookmarkEnd w:id="594"/>
      <w:bookmarkEnd w:id="595"/>
      <w:bookmarkEnd w:id="597"/>
      <w:bookmarkEnd w:id="598"/>
      <w:bookmarkEnd w:id="599"/>
    </w:p>
    <w:p w14:paraId="1EBAA506">
      <w:pPr>
        <w:autoSpaceDE w:val="0"/>
        <w:autoSpaceDN w:val="0"/>
        <w:adjustRightInd w:val="0"/>
        <w:spacing w:line="360" w:lineRule="auto"/>
        <w:jc w:val="center"/>
        <w:outlineLvl w:val="9"/>
        <w:rPr>
          <w:rFonts w:hint="eastAsia" w:ascii="宋体" w:hAnsi="宋体" w:eastAsia="宋体" w:cs="宋体"/>
          <w:kern w:val="0"/>
          <w:sz w:val="24"/>
          <w:szCs w:val="24"/>
          <w:highlight w:val="none"/>
        </w:rPr>
      </w:pPr>
      <w:r>
        <w:rPr>
          <w:rFonts w:hint="eastAsia" w:ascii="宋体" w:hAnsi="宋体" w:eastAsia="宋体" w:cs="宋体"/>
          <w:b/>
          <w:kern w:val="0"/>
          <w:sz w:val="30"/>
          <w:szCs w:val="30"/>
          <w:highlight w:val="none"/>
        </w:rPr>
        <w:t>最近3年投标人牵涉的其他（失信和违法）</w:t>
      </w:r>
      <w:r>
        <w:rPr>
          <w:rFonts w:hint="eastAsia" w:ascii="宋体" w:hAnsi="宋体" w:eastAsia="宋体" w:cs="宋体"/>
          <w:b/>
          <w:bCs/>
          <w:sz w:val="32"/>
          <w:szCs w:val="32"/>
          <w:highlight w:val="none"/>
          <w:lang w:val="zh-CN"/>
        </w:rPr>
        <w:t>处罚说明</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417"/>
        <w:gridCol w:w="2268"/>
        <w:gridCol w:w="1276"/>
      </w:tblGrid>
      <w:tr w14:paraId="2C352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253" w:type="dxa"/>
            <w:vAlign w:val="center"/>
          </w:tcPr>
          <w:p w14:paraId="102172BD">
            <w:pPr>
              <w:autoSpaceDE w:val="0"/>
              <w:autoSpaceDN w:val="0"/>
              <w:adjustRightInd w:val="0"/>
              <w:spacing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 xml:space="preserve">         事项名称</w:t>
            </w:r>
          </w:p>
        </w:tc>
        <w:tc>
          <w:tcPr>
            <w:tcW w:w="1417" w:type="dxa"/>
            <w:vAlign w:val="center"/>
          </w:tcPr>
          <w:p w14:paraId="1C6C4273">
            <w:pPr>
              <w:autoSpaceDE w:val="0"/>
              <w:autoSpaceDN w:val="0"/>
              <w:adjustRightInd w:val="0"/>
              <w:spacing w:line="360" w:lineRule="auto"/>
              <w:jc w:val="center"/>
              <w:rPr>
                <w:rFonts w:ascii="宋体" w:hAnsi="宋体" w:eastAsia="宋体" w:cs="宋体"/>
                <w:kern w:val="0"/>
                <w:szCs w:val="21"/>
                <w:highlight w:val="none"/>
              </w:rPr>
            </w:pPr>
            <w:r>
              <w:rPr>
                <w:rFonts w:hint="eastAsia" w:ascii="宋体" w:hAnsi="宋体" w:eastAsia="宋体" w:cs="宋体"/>
                <w:kern w:val="0"/>
                <w:szCs w:val="21"/>
                <w:highlight w:val="none"/>
              </w:rPr>
              <w:t>认定时间</w:t>
            </w:r>
          </w:p>
        </w:tc>
        <w:tc>
          <w:tcPr>
            <w:tcW w:w="2268" w:type="dxa"/>
          </w:tcPr>
          <w:p w14:paraId="7C2F041E">
            <w:pPr>
              <w:autoSpaceDE w:val="0"/>
              <w:autoSpaceDN w:val="0"/>
              <w:adjustRightInd w:val="0"/>
              <w:spacing w:line="360" w:lineRule="auto"/>
              <w:jc w:val="center"/>
              <w:rPr>
                <w:rFonts w:ascii="宋体" w:hAnsi="宋体" w:eastAsia="宋体" w:cs="宋体"/>
                <w:kern w:val="0"/>
                <w:szCs w:val="21"/>
                <w:highlight w:val="none"/>
              </w:rPr>
            </w:pPr>
            <w:r>
              <w:rPr>
                <w:rFonts w:hint="eastAsia" w:ascii="宋体" w:hAnsi="宋体" w:eastAsia="宋体" w:cs="宋体"/>
                <w:kern w:val="0"/>
                <w:szCs w:val="21"/>
                <w:highlight w:val="none"/>
              </w:rPr>
              <w:t>处罚期届满异常名录信息失效时间</w:t>
            </w:r>
          </w:p>
        </w:tc>
        <w:tc>
          <w:tcPr>
            <w:tcW w:w="1276" w:type="dxa"/>
            <w:vAlign w:val="center"/>
          </w:tcPr>
          <w:p w14:paraId="2C44BBC3">
            <w:pPr>
              <w:autoSpaceDE w:val="0"/>
              <w:autoSpaceDN w:val="0"/>
              <w:adjustRightInd w:val="0"/>
              <w:spacing w:line="360" w:lineRule="auto"/>
              <w:jc w:val="center"/>
              <w:rPr>
                <w:rFonts w:ascii="宋体" w:hAnsi="宋体" w:eastAsia="宋体" w:cs="宋体"/>
                <w:kern w:val="0"/>
                <w:szCs w:val="21"/>
                <w:highlight w:val="none"/>
              </w:rPr>
            </w:pPr>
            <w:r>
              <w:rPr>
                <w:rFonts w:hint="eastAsia" w:ascii="宋体" w:hAnsi="宋体" w:eastAsia="宋体" w:cs="宋体"/>
                <w:kern w:val="0"/>
                <w:szCs w:val="21"/>
                <w:highlight w:val="none"/>
              </w:rPr>
              <w:t>备注</w:t>
            </w:r>
          </w:p>
        </w:tc>
      </w:tr>
      <w:tr w14:paraId="0D8B2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4253" w:type="dxa"/>
            <w:vAlign w:val="center"/>
          </w:tcPr>
          <w:p w14:paraId="6FA32C43">
            <w:pPr>
              <w:autoSpaceDE w:val="0"/>
              <w:autoSpaceDN w:val="0"/>
              <w:adjustRightInd w:val="0"/>
              <w:spacing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是否被认定为失信被执行人</w:t>
            </w:r>
          </w:p>
        </w:tc>
        <w:tc>
          <w:tcPr>
            <w:tcW w:w="1417" w:type="dxa"/>
            <w:vAlign w:val="center"/>
          </w:tcPr>
          <w:p w14:paraId="6A500AE8">
            <w:pPr>
              <w:autoSpaceDE w:val="0"/>
              <w:autoSpaceDN w:val="0"/>
              <w:adjustRightInd w:val="0"/>
              <w:spacing w:line="360" w:lineRule="auto"/>
              <w:jc w:val="center"/>
              <w:rPr>
                <w:rFonts w:ascii="宋体" w:hAnsi="宋体" w:eastAsia="宋体" w:cs="宋体"/>
                <w:kern w:val="0"/>
                <w:szCs w:val="21"/>
                <w:highlight w:val="none"/>
              </w:rPr>
            </w:pPr>
          </w:p>
        </w:tc>
        <w:tc>
          <w:tcPr>
            <w:tcW w:w="2268" w:type="dxa"/>
            <w:vAlign w:val="center"/>
          </w:tcPr>
          <w:p w14:paraId="66FE059A">
            <w:pPr>
              <w:autoSpaceDE w:val="0"/>
              <w:autoSpaceDN w:val="0"/>
              <w:adjustRightInd w:val="0"/>
              <w:spacing w:line="360" w:lineRule="auto"/>
              <w:jc w:val="center"/>
              <w:rPr>
                <w:rFonts w:ascii="宋体" w:hAnsi="宋体" w:eastAsia="宋体" w:cs="宋体"/>
                <w:kern w:val="0"/>
                <w:szCs w:val="21"/>
                <w:highlight w:val="none"/>
              </w:rPr>
            </w:pPr>
          </w:p>
        </w:tc>
        <w:tc>
          <w:tcPr>
            <w:tcW w:w="1276" w:type="dxa"/>
            <w:vAlign w:val="center"/>
          </w:tcPr>
          <w:p w14:paraId="5D0F4038">
            <w:pPr>
              <w:autoSpaceDE w:val="0"/>
              <w:autoSpaceDN w:val="0"/>
              <w:adjustRightInd w:val="0"/>
              <w:spacing w:line="360" w:lineRule="auto"/>
              <w:jc w:val="center"/>
              <w:rPr>
                <w:rFonts w:ascii="宋体" w:hAnsi="宋体" w:eastAsia="宋体" w:cs="宋体"/>
                <w:kern w:val="0"/>
                <w:szCs w:val="21"/>
                <w:highlight w:val="none"/>
              </w:rPr>
            </w:pPr>
          </w:p>
        </w:tc>
      </w:tr>
      <w:tr w14:paraId="2C239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253" w:type="dxa"/>
            <w:vAlign w:val="center"/>
          </w:tcPr>
          <w:p w14:paraId="210122B7">
            <w:pPr>
              <w:autoSpaceDE w:val="0"/>
              <w:autoSpaceDN w:val="0"/>
              <w:adjustRightInd w:val="0"/>
              <w:spacing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是否被认定为重大税收违法失信主体</w:t>
            </w:r>
          </w:p>
        </w:tc>
        <w:tc>
          <w:tcPr>
            <w:tcW w:w="1417" w:type="dxa"/>
            <w:vAlign w:val="center"/>
          </w:tcPr>
          <w:p w14:paraId="2E370865">
            <w:pPr>
              <w:autoSpaceDE w:val="0"/>
              <w:autoSpaceDN w:val="0"/>
              <w:adjustRightInd w:val="0"/>
              <w:spacing w:line="360" w:lineRule="auto"/>
              <w:jc w:val="center"/>
              <w:rPr>
                <w:rFonts w:ascii="宋体" w:hAnsi="宋体" w:eastAsia="宋体" w:cs="宋体"/>
                <w:kern w:val="0"/>
                <w:szCs w:val="21"/>
                <w:highlight w:val="none"/>
              </w:rPr>
            </w:pPr>
          </w:p>
        </w:tc>
        <w:tc>
          <w:tcPr>
            <w:tcW w:w="2268" w:type="dxa"/>
            <w:vAlign w:val="center"/>
          </w:tcPr>
          <w:p w14:paraId="0B59C382">
            <w:pPr>
              <w:autoSpaceDE w:val="0"/>
              <w:autoSpaceDN w:val="0"/>
              <w:adjustRightInd w:val="0"/>
              <w:spacing w:line="360" w:lineRule="auto"/>
              <w:jc w:val="center"/>
              <w:rPr>
                <w:rFonts w:ascii="宋体" w:hAnsi="宋体" w:eastAsia="宋体" w:cs="宋体"/>
                <w:kern w:val="0"/>
                <w:szCs w:val="21"/>
                <w:highlight w:val="none"/>
              </w:rPr>
            </w:pPr>
          </w:p>
        </w:tc>
        <w:tc>
          <w:tcPr>
            <w:tcW w:w="1276" w:type="dxa"/>
            <w:vAlign w:val="center"/>
          </w:tcPr>
          <w:p w14:paraId="4A96DFB2">
            <w:pPr>
              <w:autoSpaceDE w:val="0"/>
              <w:autoSpaceDN w:val="0"/>
              <w:adjustRightInd w:val="0"/>
              <w:spacing w:line="360" w:lineRule="auto"/>
              <w:jc w:val="center"/>
              <w:rPr>
                <w:rFonts w:ascii="宋体" w:hAnsi="宋体" w:eastAsia="宋体" w:cs="宋体"/>
                <w:kern w:val="0"/>
                <w:szCs w:val="21"/>
                <w:highlight w:val="none"/>
              </w:rPr>
            </w:pPr>
          </w:p>
        </w:tc>
      </w:tr>
      <w:tr w14:paraId="48493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13F6C5D1">
            <w:pPr>
              <w:autoSpaceDE w:val="0"/>
              <w:autoSpaceDN w:val="0"/>
              <w:adjustRightInd w:val="0"/>
              <w:spacing w:line="360" w:lineRule="auto"/>
              <w:jc w:val="left"/>
              <w:rPr>
                <w:rFonts w:ascii="宋体" w:hAnsi="宋体" w:eastAsia="宋体" w:cs="宋体"/>
                <w:kern w:val="0"/>
                <w:szCs w:val="21"/>
                <w:highlight w:val="none"/>
              </w:rPr>
            </w:pPr>
            <w:r>
              <w:rPr>
                <w:rFonts w:hint="eastAsia" w:ascii="宋体" w:hAnsi="宋体" w:eastAsia="宋体" w:cs="宋体"/>
                <w:kern w:val="0"/>
                <w:szCs w:val="21"/>
                <w:highlight w:val="none"/>
              </w:rPr>
              <w:t>是否被认定为</w:t>
            </w:r>
            <w:r>
              <w:rPr>
                <w:rFonts w:hint="eastAsia" w:ascii="宋体" w:hAnsi="宋体" w:eastAsia="宋体" w:cs="宋体"/>
                <w:color w:val="auto"/>
                <w:kern w:val="0"/>
                <w:szCs w:val="21"/>
                <w:highlight w:val="none"/>
                <w:lang w:val="en-US" w:eastAsia="zh-CN"/>
              </w:rPr>
              <w:t>政府采购</w:t>
            </w:r>
            <w:r>
              <w:rPr>
                <w:rFonts w:hint="eastAsia" w:ascii="宋体" w:hAnsi="宋体" w:eastAsia="宋体" w:cs="宋体"/>
                <w:kern w:val="0"/>
                <w:szCs w:val="21"/>
                <w:highlight w:val="none"/>
              </w:rPr>
              <w:t>严重违法失信行为记录名单</w:t>
            </w:r>
          </w:p>
        </w:tc>
        <w:tc>
          <w:tcPr>
            <w:tcW w:w="1417" w:type="dxa"/>
            <w:vAlign w:val="center"/>
          </w:tcPr>
          <w:p w14:paraId="6AFFE6B3">
            <w:pPr>
              <w:autoSpaceDE w:val="0"/>
              <w:autoSpaceDN w:val="0"/>
              <w:adjustRightInd w:val="0"/>
              <w:spacing w:line="360" w:lineRule="auto"/>
              <w:jc w:val="center"/>
              <w:rPr>
                <w:rFonts w:ascii="宋体" w:hAnsi="宋体" w:eastAsia="宋体" w:cs="宋体"/>
                <w:kern w:val="0"/>
                <w:szCs w:val="21"/>
                <w:highlight w:val="none"/>
              </w:rPr>
            </w:pPr>
          </w:p>
        </w:tc>
        <w:tc>
          <w:tcPr>
            <w:tcW w:w="2268" w:type="dxa"/>
            <w:vAlign w:val="center"/>
          </w:tcPr>
          <w:p w14:paraId="416ED26B">
            <w:pPr>
              <w:autoSpaceDE w:val="0"/>
              <w:autoSpaceDN w:val="0"/>
              <w:adjustRightInd w:val="0"/>
              <w:spacing w:line="360" w:lineRule="auto"/>
              <w:jc w:val="center"/>
              <w:rPr>
                <w:rFonts w:ascii="宋体" w:hAnsi="宋体" w:eastAsia="宋体" w:cs="宋体"/>
                <w:kern w:val="0"/>
                <w:szCs w:val="21"/>
                <w:highlight w:val="none"/>
              </w:rPr>
            </w:pPr>
          </w:p>
        </w:tc>
        <w:tc>
          <w:tcPr>
            <w:tcW w:w="1276" w:type="dxa"/>
            <w:vAlign w:val="center"/>
          </w:tcPr>
          <w:p w14:paraId="62BC04B8">
            <w:pPr>
              <w:autoSpaceDE w:val="0"/>
              <w:autoSpaceDN w:val="0"/>
              <w:adjustRightInd w:val="0"/>
              <w:spacing w:line="360" w:lineRule="auto"/>
              <w:jc w:val="center"/>
              <w:rPr>
                <w:rFonts w:ascii="宋体" w:hAnsi="宋体" w:eastAsia="宋体" w:cs="宋体"/>
                <w:kern w:val="0"/>
                <w:szCs w:val="21"/>
                <w:highlight w:val="none"/>
              </w:rPr>
            </w:pPr>
          </w:p>
        </w:tc>
      </w:tr>
      <w:tr w14:paraId="5E5FB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12FD72C8">
            <w:pPr>
              <w:autoSpaceDE w:val="0"/>
              <w:autoSpaceDN w:val="0"/>
              <w:adjustRightInd w:val="0"/>
              <w:spacing w:line="360" w:lineRule="auto"/>
              <w:jc w:val="left"/>
              <w:rPr>
                <w:rFonts w:hint="eastAsia" w:ascii="宋体" w:hAnsi="宋体" w:eastAsia="宋体" w:cs="宋体"/>
                <w:kern w:val="0"/>
                <w:szCs w:val="21"/>
                <w:highlight w:val="none"/>
              </w:rPr>
            </w:pPr>
            <w:r>
              <w:rPr>
                <w:rFonts w:hint="eastAsia" w:ascii="宋体" w:hAnsi="宋体" w:eastAsia="宋体" w:cs="宋体"/>
                <w:sz w:val="21"/>
                <w:szCs w:val="21"/>
              </w:rPr>
              <w:t>目前是否被监管机构暂停承销公司债业务</w:t>
            </w:r>
            <w:r>
              <w:rPr>
                <w:rFonts w:hint="eastAsia" w:ascii="宋体" w:hAnsi="宋体" w:eastAsia="宋体" w:cs="宋体"/>
                <w:color w:val="000000"/>
                <w:sz w:val="21"/>
                <w:szCs w:val="21"/>
              </w:rPr>
              <w:t>的处罚</w:t>
            </w:r>
          </w:p>
        </w:tc>
        <w:tc>
          <w:tcPr>
            <w:tcW w:w="1417" w:type="dxa"/>
            <w:vAlign w:val="center"/>
          </w:tcPr>
          <w:p w14:paraId="2CF9E2F7">
            <w:pPr>
              <w:autoSpaceDE w:val="0"/>
              <w:autoSpaceDN w:val="0"/>
              <w:adjustRightInd w:val="0"/>
              <w:spacing w:line="360" w:lineRule="auto"/>
              <w:jc w:val="center"/>
              <w:rPr>
                <w:rFonts w:ascii="宋体" w:hAnsi="宋体" w:eastAsia="宋体" w:cs="宋体"/>
                <w:kern w:val="0"/>
                <w:szCs w:val="21"/>
                <w:highlight w:val="none"/>
              </w:rPr>
            </w:pPr>
          </w:p>
        </w:tc>
        <w:tc>
          <w:tcPr>
            <w:tcW w:w="2268" w:type="dxa"/>
            <w:vAlign w:val="center"/>
          </w:tcPr>
          <w:p w14:paraId="6D4F4FCC">
            <w:pPr>
              <w:autoSpaceDE w:val="0"/>
              <w:autoSpaceDN w:val="0"/>
              <w:adjustRightInd w:val="0"/>
              <w:spacing w:line="360" w:lineRule="auto"/>
              <w:jc w:val="center"/>
              <w:rPr>
                <w:rFonts w:ascii="宋体" w:hAnsi="宋体" w:eastAsia="宋体" w:cs="宋体"/>
                <w:kern w:val="0"/>
                <w:szCs w:val="21"/>
                <w:highlight w:val="none"/>
              </w:rPr>
            </w:pPr>
          </w:p>
        </w:tc>
        <w:tc>
          <w:tcPr>
            <w:tcW w:w="1276" w:type="dxa"/>
            <w:vAlign w:val="center"/>
          </w:tcPr>
          <w:p w14:paraId="64769D80">
            <w:pPr>
              <w:autoSpaceDE w:val="0"/>
              <w:autoSpaceDN w:val="0"/>
              <w:adjustRightInd w:val="0"/>
              <w:spacing w:line="360" w:lineRule="auto"/>
              <w:jc w:val="center"/>
              <w:rPr>
                <w:rFonts w:ascii="宋体" w:hAnsi="宋体" w:eastAsia="宋体" w:cs="宋体"/>
                <w:kern w:val="0"/>
                <w:szCs w:val="21"/>
                <w:highlight w:val="none"/>
              </w:rPr>
            </w:pPr>
          </w:p>
        </w:tc>
      </w:tr>
      <w:tr w14:paraId="70833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253" w:type="dxa"/>
            <w:vAlign w:val="center"/>
          </w:tcPr>
          <w:p w14:paraId="280E7C4A">
            <w:pPr>
              <w:autoSpaceDE w:val="0"/>
              <w:autoSpaceDN w:val="0"/>
              <w:adjustRightInd w:val="0"/>
              <w:spacing w:line="360" w:lineRule="auto"/>
              <w:jc w:val="left"/>
              <w:rPr>
                <w:rFonts w:hint="eastAsia" w:ascii="宋体" w:hAnsi="宋体" w:eastAsia="宋体" w:cs="宋体"/>
                <w:kern w:val="0"/>
                <w:szCs w:val="21"/>
                <w:highlight w:val="none"/>
              </w:rPr>
            </w:pPr>
            <w:r>
              <w:rPr>
                <w:rFonts w:hint="eastAsia" w:ascii="宋体" w:hAnsi="宋体" w:eastAsia="宋体" w:cs="宋体"/>
                <w:sz w:val="21"/>
                <w:szCs w:val="21"/>
              </w:rPr>
              <w:t>是否有未结案的因承销业务或其他业务而被监管机构立案调查事项</w:t>
            </w:r>
          </w:p>
        </w:tc>
        <w:tc>
          <w:tcPr>
            <w:tcW w:w="1417" w:type="dxa"/>
            <w:vAlign w:val="center"/>
          </w:tcPr>
          <w:p w14:paraId="6E88CB46">
            <w:pPr>
              <w:autoSpaceDE w:val="0"/>
              <w:autoSpaceDN w:val="0"/>
              <w:adjustRightInd w:val="0"/>
              <w:spacing w:line="360" w:lineRule="auto"/>
              <w:jc w:val="center"/>
              <w:rPr>
                <w:rFonts w:ascii="宋体" w:hAnsi="宋体" w:eastAsia="宋体" w:cs="宋体"/>
                <w:kern w:val="0"/>
                <w:szCs w:val="21"/>
                <w:highlight w:val="none"/>
              </w:rPr>
            </w:pPr>
          </w:p>
        </w:tc>
        <w:tc>
          <w:tcPr>
            <w:tcW w:w="2268" w:type="dxa"/>
            <w:vAlign w:val="center"/>
          </w:tcPr>
          <w:p w14:paraId="78BEC343">
            <w:pPr>
              <w:autoSpaceDE w:val="0"/>
              <w:autoSpaceDN w:val="0"/>
              <w:adjustRightInd w:val="0"/>
              <w:spacing w:line="360" w:lineRule="auto"/>
              <w:jc w:val="center"/>
              <w:rPr>
                <w:rFonts w:ascii="宋体" w:hAnsi="宋体" w:eastAsia="宋体" w:cs="宋体"/>
                <w:kern w:val="0"/>
                <w:szCs w:val="21"/>
                <w:highlight w:val="none"/>
              </w:rPr>
            </w:pPr>
          </w:p>
        </w:tc>
        <w:tc>
          <w:tcPr>
            <w:tcW w:w="1276" w:type="dxa"/>
            <w:vAlign w:val="center"/>
          </w:tcPr>
          <w:p w14:paraId="72A356B8">
            <w:pPr>
              <w:autoSpaceDE w:val="0"/>
              <w:autoSpaceDN w:val="0"/>
              <w:adjustRightInd w:val="0"/>
              <w:spacing w:line="360" w:lineRule="auto"/>
              <w:jc w:val="center"/>
              <w:rPr>
                <w:rFonts w:ascii="宋体" w:hAnsi="宋体" w:eastAsia="宋体" w:cs="宋体"/>
                <w:kern w:val="0"/>
                <w:szCs w:val="21"/>
                <w:highlight w:val="none"/>
              </w:rPr>
            </w:pPr>
          </w:p>
        </w:tc>
      </w:tr>
    </w:tbl>
    <w:p w14:paraId="2825399D">
      <w:pPr>
        <w:autoSpaceDE w:val="0"/>
        <w:autoSpaceDN w:val="0"/>
        <w:adjustRightInd w:val="0"/>
        <w:spacing w:line="360" w:lineRule="auto"/>
        <w:jc w:val="left"/>
        <w:outlineLvl w:val="9"/>
        <w:rPr>
          <w:rFonts w:hint="eastAsia" w:ascii="宋体" w:hAnsi="宋体" w:eastAsia="宋体" w:cs="宋体"/>
          <w:kern w:val="0"/>
          <w:szCs w:val="21"/>
          <w:highlight w:val="none"/>
        </w:rPr>
      </w:pPr>
    </w:p>
    <w:p w14:paraId="734F1D04">
      <w:pPr>
        <w:autoSpaceDE w:val="0"/>
        <w:autoSpaceDN w:val="0"/>
        <w:adjustRightInd w:val="0"/>
        <w:spacing w:line="360" w:lineRule="auto"/>
        <w:jc w:val="left"/>
        <w:outlineLvl w:val="9"/>
        <w:rPr>
          <w:rFonts w:hint="eastAsia" w:ascii="宋体" w:hAnsi="宋体" w:eastAsia="宋体" w:cs="宋体"/>
          <w:szCs w:val="21"/>
          <w:highlight w:val="none"/>
          <w:lang w:val="zh-CN"/>
        </w:rPr>
      </w:pPr>
      <w:r>
        <w:rPr>
          <w:rFonts w:hint="eastAsia" w:ascii="宋体" w:hAnsi="宋体" w:eastAsia="宋体" w:cs="宋体"/>
          <w:kern w:val="0"/>
          <w:szCs w:val="21"/>
          <w:highlight w:val="none"/>
        </w:rPr>
        <w:t>备注：根据投标人及其不具有独立法人资格的分支机构的实际情况自行编写，无相关事项的，在 “认定时间”列填“无”；若受到相关处罚的应附处罚相关材料</w:t>
      </w:r>
      <w:r>
        <w:rPr>
          <w:rFonts w:hint="eastAsia" w:ascii="宋体" w:hAnsi="宋体" w:eastAsia="宋体" w:cs="宋体"/>
          <w:kern w:val="0"/>
          <w:szCs w:val="21"/>
          <w:highlight w:val="none"/>
          <w:lang w:eastAsia="zh-CN"/>
        </w:rPr>
        <w:t>扫描件</w:t>
      </w:r>
      <w:r>
        <w:rPr>
          <w:rFonts w:hint="eastAsia" w:ascii="宋体" w:hAnsi="宋体" w:eastAsia="宋体" w:cs="宋体"/>
          <w:kern w:val="0"/>
          <w:szCs w:val="21"/>
          <w:highlight w:val="none"/>
        </w:rPr>
        <w:t>；若出现相关处罚的处罚期满,但处罚公示没有及时更新的情况,投标人须提供相关材料(</w:t>
      </w:r>
      <w:r>
        <w:rPr>
          <w:rFonts w:hint="eastAsia" w:ascii="宋体" w:hAnsi="宋体" w:eastAsia="宋体" w:cs="宋体"/>
          <w:kern w:val="0"/>
          <w:szCs w:val="21"/>
          <w:highlight w:val="none"/>
          <w:lang w:eastAsia="zh-CN"/>
        </w:rPr>
        <w:t>扫描件</w:t>
      </w:r>
      <w:r>
        <w:rPr>
          <w:rFonts w:hint="eastAsia" w:ascii="宋体" w:hAnsi="宋体" w:eastAsia="宋体" w:cs="宋体"/>
          <w:kern w:val="0"/>
          <w:szCs w:val="21"/>
          <w:highlight w:val="none"/>
        </w:rPr>
        <w:t>)佐证，需原件备查</w:t>
      </w:r>
      <w:r>
        <w:rPr>
          <w:rFonts w:hint="eastAsia" w:ascii="宋体" w:hAnsi="宋体" w:eastAsia="宋体" w:cs="宋体"/>
          <w:szCs w:val="21"/>
          <w:highlight w:val="none"/>
          <w:lang w:val="zh-CN"/>
        </w:rPr>
        <w:t>。</w:t>
      </w:r>
    </w:p>
    <w:p w14:paraId="5E88944A">
      <w:pPr>
        <w:autoSpaceDE w:val="0"/>
        <w:autoSpaceDN w:val="0"/>
        <w:adjustRightInd w:val="0"/>
        <w:ind w:right="-23" w:rightChars="-11"/>
        <w:jc w:val="left"/>
        <w:outlineLvl w:val="9"/>
        <w:rPr>
          <w:rFonts w:hint="eastAsia" w:ascii="宋体" w:hAnsi="宋体" w:eastAsia="宋体" w:cs="宋体"/>
          <w:b/>
          <w:bCs/>
          <w:kern w:val="0"/>
          <w:szCs w:val="21"/>
          <w:highlight w:val="none"/>
          <w:lang w:val="zh-CN"/>
        </w:rPr>
      </w:pPr>
    </w:p>
    <w:p w14:paraId="3AC8C9C0">
      <w:pPr>
        <w:autoSpaceDE w:val="0"/>
        <w:autoSpaceDN w:val="0"/>
        <w:adjustRightInd w:val="0"/>
        <w:spacing w:line="360" w:lineRule="auto"/>
        <w:jc w:val="center"/>
        <w:outlineLvl w:val="9"/>
        <w:rPr>
          <w:rFonts w:hint="eastAsia" w:ascii="宋体" w:hAnsi="宋体" w:eastAsia="宋体" w:cs="宋体"/>
          <w:kern w:val="0"/>
          <w:sz w:val="24"/>
          <w:szCs w:val="24"/>
          <w:highlight w:val="none"/>
        </w:rPr>
      </w:pPr>
    </w:p>
    <w:p w14:paraId="31E5EB1D">
      <w:pPr>
        <w:spacing w:line="360" w:lineRule="auto"/>
        <w:ind w:firstLine="494" w:firstLineChars="206"/>
        <w:outlineLvl w:val="9"/>
        <w:rPr>
          <w:rFonts w:hint="eastAsia" w:ascii="宋体" w:hAnsi="宋体" w:eastAsia="宋体" w:cs="宋体"/>
          <w:kern w:val="0"/>
          <w:sz w:val="24"/>
          <w:szCs w:val="24"/>
          <w:highlight w:val="none"/>
        </w:rPr>
      </w:pPr>
    </w:p>
    <w:p w14:paraId="1F3216DF">
      <w:pPr>
        <w:spacing w:line="360" w:lineRule="auto"/>
        <w:ind w:firstLine="494" w:firstLineChars="206"/>
        <w:outlineLvl w:val="9"/>
        <w:rPr>
          <w:rFonts w:hint="eastAsia" w:ascii="宋体" w:hAnsi="宋体" w:eastAsia="宋体" w:cs="宋体"/>
          <w:kern w:val="0"/>
          <w:sz w:val="24"/>
          <w:szCs w:val="24"/>
          <w:highlight w:val="none"/>
        </w:rPr>
      </w:pPr>
    </w:p>
    <w:p w14:paraId="5E1678FD">
      <w:pPr>
        <w:spacing w:line="360" w:lineRule="auto"/>
        <w:ind w:firstLine="494" w:firstLineChars="206"/>
        <w:outlineLvl w:val="9"/>
        <w:rPr>
          <w:rFonts w:hint="eastAsia" w:ascii="宋体" w:hAnsi="宋体" w:eastAsia="宋体" w:cs="宋体"/>
          <w:kern w:val="0"/>
          <w:sz w:val="24"/>
          <w:szCs w:val="24"/>
          <w:highlight w:val="none"/>
        </w:rPr>
      </w:pPr>
    </w:p>
    <w:p w14:paraId="45C660D7">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bookmarkStart w:id="600" w:name="_Toc6412"/>
      <w:bookmarkStart w:id="601" w:name="_Toc102860079"/>
      <w:bookmarkStart w:id="602" w:name="_Toc486167714"/>
      <w:bookmarkStart w:id="603" w:name="_Toc142508374"/>
      <w:bookmarkStart w:id="604" w:name="_Toc140596934"/>
      <w:bookmarkStart w:id="605" w:name="_Toc2031_WPSOffice_Level2"/>
      <w:bookmarkStart w:id="606" w:name="_Toc1977731"/>
      <w:bookmarkStart w:id="607" w:name="_Toc30939"/>
      <w:bookmarkStart w:id="608" w:name="_Toc102860423"/>
      <w:bookmarkStart w:id="609" w:name="_Toc94107215"/>
      <w:bookmarkStart w:id="610" w:name="_Toc533708126"/>
      <w:bookmarkStart w:id="611" w:name="_Toc104991881"/>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3BFD77C">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0E56DD62">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7A8DA676">
      <w:pPr>
        <w:autoSpaceDE w:val="0"/>
        <w:autoSpaceDN w:val="0"/>
        <w:adjustRightInd w:val="0"/>
        <w:spacing w:line="360" w:lineRule="auto"/>
        <w:jc w:val="center"/>
        <w:rPr>
          <w:rFonts w:hint="eastAsia" w:ascii="宋体" w:hAnsi="宋体" w:eastAsia="宋体" w:cs="宋体"/>
          <w:b/>
          <w:bCs/>
          <w:color w:val="auto"/>
          <w:szCs w:val="24"/>
          <w:highlight w:val="none"/>
          <w:lang w:val="zh-CN"/>
        </w:rPr>
      </w:pPr>
      <w:r>
        <w:rPr>
          <w:rFonts w:hint="eastAsia" w:ascii="宋体" w:hAnsi="宋体" w:eastAsia="宋体" w:cs="宋体"/>
          <w:b/>
          <w:bCs/>
          <w:color w:val="auto"/>
          <w:szCs w:val="24"/>
          <w:highlight w:val="none"/>
          <w:lang w:val="zh-CN"/>
        </w:rPr>
        <w:t>说明：由投标人使用投标人的企业数字证书电子签名。</w:t>
      </w:r>
    </w:p>
    <w:p w14:paraId="4D02B237">
      <w:pPr>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br w:type="page"/>
      </w:r>
    </w:p>
    <w:p w14:paraId="15F82A3E">
      <w:pPr>
        <w:tabs>
          <w:tab w:val="left" w:pos="567"/>
        </w:tabs>
        <w:autoSpaceDE w:val="0"/>
        <w:autoSpaceDN w:val="0"/>
        <w:adjustRightInd w:val="0"/>
        <w:spacing w:line="360" w:lineRule="auto"/>
        <w:jc w:val="left"/>
        <w:outlineLvl w:val="9"/>
        <w:rPr>
          <w:rFonts w:hint="eastAsia" w:ascii="宋体" w:hAnsi="宋体" w:eastAsia="宋体" w:cs="宋体"/>
          <w:kern w:val="0"/>
          <w:szCs w:val="21"/>
          <w:highlight w:val="none"/>
          <w:u w:val="single"/>
        </w:rPr>
      </w:pPr>
      <w:bookmarkStart w:id="612" w:name="_Toc17508"/>
      <w:r>
        <w:rPr>
          <w:rFonts w:hint="eastAsia" w:ascii="宋体" w:hAnsi="宋体" w:eastAsia="宋体" w:cs="宋体"/>
          <w:b/>
          <w:sz w:val="32"/>
          <w:szCs w:val="32"/>
          <w:highlight w:val="none"/>
          <w:lang w:val="en-US" w:eastAsia="zh-CN"/>
        </w:rPr>
        <w:t>五</w:t>
      </w:r>
      <w:r>
        <w:rPr>
          <w:rFonts w:hint="eastAsia" w:ascii="宋体" w:hAnsi="宋体" w:eastAsia="宋体" w:cs="宋体"/>
          <w:b/>
          <w:kern w:val="0"/>
          <w:sz w:val="32"/>
          <w:szCs w:val="32"/>
          <w:highlight w:val="none"/>
        </w:rPr>
        <w:t>、投标人基本情况一览表</w:t>
      </w:r>
      <w:bookmarkEnd w:id="600"/>
      <w:bookmarkEnd w:id="601"/>
      <w:bookmarkEnd w:id="602"/>
      <w:bookmarkEnd w:id="603"/>
      <w:bookmarkEnd w:id="604"/>
      <w:bookmarkEnd w:id="605"/>
      <w:bookmarkEnd w:id="606"/>
      <w:bookmarkEnd w:id="607"/>
      <w:bookmarkEnd w:id="608"/>
      <w:bookmarkEnd w:id="609"/>
      <w:bookmarkEnd w:id="610"/>
      <w:bookmarkEnd w:id="611"/>
      <w:bookmarkEnd w:id="612"/>
    </w:p>
    <w:p w14:paraId="64235D34">
      <w:pPr>
        <w:autoSpaceDE w:val="0"/>
        <w:autoSpaceDN w:val="0"/>
        <w:adjustRightInd w:val="0"/>
        <w:spacing w:line="360" w:lineRule="auto"/>
        <w:jc w:val="center"/>
        <w:outlineLvl w:val="9"/>
        <w:rPr>
          <w:rFonts w:hint="eastAsia" w:ascii="宋体" w:hAnsi="宋体" w:eastAsia="宋体" w:cs="宋体"/>
          <w:b/>
          <w:bCs/>
          <w:sz w:val="30"/>
          <w:szCs w:val="30"/>
          <w:highlight w:val="none"/>
        </w:rPr>
      </w:pPr>
      <w:bookmarkStart w:id="613" w:name="_Toc2773_WPSOffice_Level3"/>
      <w:r>
        <w:rPr>
          <w:rFonts w:hint="eastAsia" w:ascii="宋体" w:hAnsi="宋体" w:eastAsia="宋体" w:cs="宋体"/>
          <w:b/>
          <w:bCs/>
          <w:sz w:val="30"/>
          <w:szCs w:val="30"/>
          <w:highlight w:val="none"/>
          <w:lang w:val="zh-CN"/>
        </w:rPr>
        <w:t>投标人基本情况一览表</w:t>
      </w:r>
      <w:bookmarkEnd w:id="613"/>
    </w:p>
    <w:p w14:paraId="5EF87375">
      <w:pPr>
        <w:autoSpaceDE w:val="0"/>
        <w:autoSpaceDN w:val="0"/>
        <w:adjustRightInd w:val="0"/>
        <w:spacing w:line="360" w:lineRule="auto"/>
        <w:ind w:firstLine="420"/>
        <w:outlineLvl w:val="9"/>
        <w:rPr>
          <w:rFonts w:hint="eastAsia" w:ascii="宋体" w:hAnsi="宋体" w:eastAsia="宋体" w:cs="宋体"/>
          <w:szCs w:val="21"/>
          <w:highlight w:val="none"/>
        </w:rPr>
      </w:pPr>
      <w:r>
        <w:rPr>
          <w:rFonts w:hint="eastAsia" w:ascii="宋体" w:hAnsi="宋体" w:eastAsia="宋体" w:cs="宋体"/>
          <w:szCs w:val="21"/>
          <w:highlight w:val="none"/>
          <w:lang w:val="zh-CN"/>
        </w:rPr>
        <w:t>1．名称及概况：</w:t>
      </w:r>
    </w:p>
    <w:p w14:paraId="2CEFA67D">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（1）投标人名称：________________________________________</w:t>
      </w:r>
    </w:p>
    <w:p w14:paraId="66315EE8">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（2）总部地址：__________________________________________</w:t>
      </w:r>
    </w:p>
    <w:p w14:paraId="307129E7">
      <w:pPr>
        <w:autoSpaceDE w:val="0"/>
        <w:autoSpaceDN w:val="0"/>
        <w:adjustRightInd w:val="0"/>
        <w:spacing w:line="360" w:lineRule="auto"/>
        <w:ind w:firstLine="66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 xml:space="preserve">   邮政编码：__________________________________________</w:t>
      </w:r>
    </w:p>
    <w:p w14:paraId="525EE5B4">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 xml:space="preserve">     电话号码：__________________________________________ </w:t>
      </w:r>
    </w:p>
    <w:p w14:paraId="00BA09DB">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 xml:space="preserve">     传真号码：__________________________________________ </w:t>
      </w:r>
    </w:p>
    <w:p w14:paraId="47DAA931">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（3）成立和／或注册日期：________________________________</w:t>
      </w:r>
    </w:p>
    <w:p w14:paraId="15E40493">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（4）法人代表：_____________________________________ ____</w:t>
      </w:r>
    </w:p>
    <w:p w14:paraId="5F411FE8">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（5）开户银行：__________________________________________</w:t>
      </w:r>
    </w:p>
    <w:p w14:paraId="17DE443F">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（6）开户账号：__________________________________________</w:t>
      </w:r>
    </w:p>
    <w:p w14:paraId="72D0BEF5">
      <w:pPr>
        <w:autoSpaceDE w:val="0"/>
        <w:autoSpaceDN w:val="0"/>
        <w:adjustRightInd w:val="0"/>
        <w:spacing w:line="360" w:lineRule="auto"/>
        <w:ind w:firstLine="42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（7）注册资金：__________________________________________</w:t>
      </w:r>
    </w:p>
    <w:p w14:paraId="5076AA37">
      <w:pPr>
        <w:autoSpaceDE w:val="0"/>
        <w:autoSpaceDN w:val="0"/>
        <w:adjustRightInd w:val="0"/>
        <w:spacing w:line="360" w:lineRule="auto"/>
        <w:ind w:firstLine="420"/>
        <w:outlineLvl w:val="9"/>
        <w:rPr>
          <w:rFonts w:hint="eastAsia" w:ascii="宋体" w:hAnsi="宋体" w:eastAsia="宋体" w:cs="宋体"/>
          <w:szCs w:val="24"/>
          <w:highlight w:val="none"/>
        </w:rPr>
      </w:pPr>
      <w:r>
        <w:rPr>
          <w:rFonts w:hint="eastAsia" w:ascii="宋体" w:hAnsi="宋体" w:eastAsia="宋体" w:cs="宋体"/>
          <w:szCs w:val="24"/>
          <w:highlight w:val="none"/>
          <w:lang w:val="zh-CN"/>
        </w:rPr>
        <w:t>（8）主要负责人姓名：____________________________________</w:t>
      </w:r>
    </w:p>
    <w:p w14:paraId="0FA38F9C">
      <w:pPr>
        <w:autoSpaceDE w:val="0"/>
        <w:autoSpaceDN w:val="0"/>
        <w:adjustRightInd w:val="0"/>
        <w:spacing w:line="360" w:lineRule="auto"/>
        <w:ind w:firstLine="420"/>
        <w:outlineLvl w:val="9"/>
        <w:rPr>
          <w:rFonts w:hint="eastAsia" w:ascii="宋体" w:hAnsi="宋体" w:eastAsia="宋体" w:cs="宋体"/>
          <w:szCs w:val="24"/>
          <w:highlight w:val="none"/>
        </w:rPr>
      </w:pPr>
      <w:r>
        <w:rPr>
          <w:rFonts w:hint="eastAsia" w:ascii="宋体" w:hAnsi="宋体" w:eastAsia="宋体" w:cs="宋体"/>
          <w:szCs w:val="24"/>
          <w:highlight w:val="none"/>
          <w:lang w:val="zh-CN"/>
        </w:rPr>
        <w:t xml:space="preserve">（9）项目主要联系人（姓名、职务、通讯）：_________________   </w:t>
      </w:r>
    </w:p>
    <w:p w14:paraId="0A6F88F0">
      <w:pPr>
        <w:autoSpaceDE w:val="0"/>
        <w:autoSpaceDN w:val="0"/>
        <w:adjustRightInd w:val="0"/>
        <w:spacing w:line="360" w:lineRule="auto"/>
        <w:ind w:firstLine="420"/>
        <w:outlineLvl w:val="9"/>
        <w:rPr>
          <w:rFonts w:hint="eastAsia" w:ascii="宋体" w:hAnsi="宋体" w:eastAsia="宋体" w:cs="宋体"/>
          <w:szCs w:val="24"/>
          <w:highlight w:val="none"/>
        </w:rPr>
      </w:pPr>
      <w:r>
        <w:rPr>
          <w:rFonts w:hint="eastAsia" w:ascii="宋体" w:hAnsi="宋体" w:eastAsia="宋体" w:cs="宋体"/>
          <w:szCs w:val="24"/>
          <w:highlight w:val="none"/>
          <w:lang w:val="zh-CN"/>
        </w:rPr>
        <w:t>（10）在中国的代表的姓名和地址（如有）：__________________</w:t>
      </w:r>
    </w:p>
    <w:p w14:paraId="359DC040">
      <w:pPr>
        <w:autoSpaceDE w:val="0"/>
        <w:autoSpaceDN w:val="0"/>
        <w:adjustRightInd w:val="0"/>
        <w:spacing w:line="360" w:lineRule="auto"/>
        <w:ind w:firstLine="420"/>
        <w:outlineLvl w:val="9"/>
        <w:rPr>
          <w:rFonts w:hint="eastAsia" w:ascii="宋体" w:hAnsi="宋体" w:eastAsia="宋体" w:cs="宋体"/>
          <w:szCs w:val="24"/>
          <w:highlight w:val="none"/>
        </w:rPr>
      </w:pPr>
      <w:r>
        <w:rPr>
          <w:rFonts w:hint="eastAsia" w:ascii="宋体" w:hAnsi="宋体" w:eastAsia="宋体" w:cs="宋体"/>
          <w:szCs w:val="24"/>
          <w:highlight w:val="none"/>
          <w:lang w:val="zh-CN"/>
        </w:rPr>
        <w:t>2．供征询之银行的名称和地址：____________________________</w:t>
      </w:r>
    </w:p>
    <w:p w14:paraId="46256A11">
      <w:pPr>
        <w:autoSpaceDE w:val="0"/>
        <w:autoSpaceDN w:val="0"/>
        <w:adjustRightInd w:val="0"/>
        <w:spacing w:line="360" w:lineRule="auto"/>
        <w:outlineLvl w:val="9"/>
        <w:rPr>
          <w:rFonts w:hint="eastAsia" w:ascii="宋体" w:hAnsi="宋体" w:eastAsia="宋体" w:cs="宋体"/>
          <w:szCs w:val="24"/>
          <w:highlight w:val="none"/>
        </w:rPr>
      </w:pPr>
      <w:r>
        <w:rPr>
          <w:rFonts w:hint="eastAsia" w:ascii="宋体" w:hAnsi="宋体" w:eastAsia="宋体" w:cs="宋体"/>
          <w:szCs w:val="24"/>
          <w:highlight w:val="none"/>
          <w:lang w:val="zh-CN"/>
        </w:rPr>
        <w:t xml:space="preserve">    3．公司所隶属之国际集团名称（如果是）____________________</w:t>
      </w:r>
    </w:p>
    <w:p w14:paraId="26B07445">
      <w:pPr>
        <w:autoSpaceDE w:val="0"/>
        <w:autoSpaceDN w:val="0"/>
        <w:adjustRightInd w:val="0"/>
        <w:spacing w:line="360" w:lineRule="auto"/>
        <w:ind w:firstLine="420"/>
        <w:outlineLvl w:val="9"/>
        <w:rPr>
          <w:rFonts w:hint="eastAsia" w:ascii="宋体" w:hAnsi="宋体" w:eastAsia="宋体" w:cs="宋体"/>
          <w:szCs w:val="24"/>
          <w:highlight w:val="none"/>
        </w:rPr>
      </w:pPr>
      <w:r>
        <w:rPr>
          <w:rFonts w:hint="eastAsia" w:ascii="宋体" w:hAnsi="宋体" w:eastAsia="宋体" w:cs="宋体"/>
          <w:szCs w:val="24"/>
          <w:highlight w:val="none"/>
          <w:lang w:val="zh-CN"/>
        </w:rPr>
        <w:t>4. 提交资料（包括但不限于组织架构、公司简介等）：</w:t>
      </w:r>
    </w:p>
    <w:p w14:paraId="5062BF75">
      <w:pPr>
        <w:autoSpaceDE w:val="0"/>
        <w:autoSpaceDN w:val="0"/>
        <w:adjustRightInd w:val="0"/>
        <w:spacing w:line="360" w:lineRule="auto"/>
        <w:ind w:firstLine="630" w:firstLineChars="30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（1）公司简介；</w:t>
      </w:r>
    </w:p>
    <w:p w14:paraId="650EF0B6">
      <w:pPr>
        <w:autoSpaceDE w:val="0"/>
        <w:autoSpaceDN w:val="0"/>
        <w:adjustRightInd w:val="0"/>
        <w:spacing w:line="360" w:lineRule="auto"/>
        <w:ind w:firstLine="1155" w:firstLineChars="55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__________________________________________________</w:t>
      </w:r>
    </w:p>
    <w:p w14:paraId="6E05B239">
      <w:pPr>
        <w:autoSpaceDE w:val="0"/>
        <w:autoSpaceDN w:val="0"/>
        <w:adjustRightInd w:val="0"/>
        <w:spacing w:line="360" w:lineRule="auto"/>
        <w:ind w:firstLine="630" w:firstLineChars="30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（2）公司组织架构；</w:t>
      </w:r>
    </w:p>
    <w:p w14:paraId="4C42FBAE">
      <w:pPr>
        <w:autoSpaceDE w:val="0"/>
        <w:autoSpaceDN w:val="0"/>
        <w:adjustRightInd w:val="0"/>
        <w:spacing w:line="360" w:lineRule="auto"/>
        <w:ind w:firstLine="1155" w:firstLineChars="55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_______________________________________________</w:t>
      </w:r>
      <w:r>
        <w:rPr>
          <w:rFonts w:hint="eastAsia" w:ascii="宋体" w:hAnsi="宋体" w:eastAsia="宋体" w:cs="宋体"/>
          <w:szCs w:val="24"/>
          <w:highlight w:val="none"/>
          <w:u w:val="single"/>
          <w:lang w:val="zh-CN"/>
        </w:rPr>
        <w:t xml:space="preserve">__ </w:t>
      </w:r>
    </w:p>
    <w:p w14:paraId="7763E456">
      <w:pPr>
        <w:autoSpaceDE w:val="0"/>
        <w:autoSpaceDN w:val="0"/>
        <w:adjustRightInd w:val="0"/>
        <w:spacing w:line="360" w:lineRule="auto"/>
        <w:ind w:left="836" w:leftChars="137" w:hanging="548" w:hangingChars="261"/>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（3）东莞市内设有分支机构情况介绍[应提供该分支机构的多证合一营业执照扫描件等证明材料]（若无前述分支机构的无需介绍）。</w:t>
      </w:r>
    </w:p>
    <w:p w14:paraId="14EFDCD9">
      <w:pPr>
        <w:autoSpaceDE w:val="0"/>
        <w:autoSpaceDN w:val="0"/>
        <w:adjustRightInd w:val="0"/>
        <w:spacing w:line="360" w:lineRule="auto"/>
        <w:ind w:firstLine="420" w:firstLineChars="200"/>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兹证明上述说明是真实、正确的，并提供了全部能提供的资料和数据，我们同意遵照贵方要求出示有关证明文件。</w:t>
      </w:r>
    </w:p>
    <w:p w14:paraId="27FA50CB">
      <w:pPr>
        <w:autoSpaceDE w:val="0"/>
        <w:autoSpaceDN w:val="0"/>
        <w:adjustRightInd w:val="0"/>
        <w:spacing w:line="360" w:lineRule="auto"/>
        <w:ind w:firstLine="420" w:firstLineChars="200"/>
        <w:outlineLvl w:val="9"/>
        <w:rPr>
          <w:rFonts w:hint="eastAsia" w:ascii="宋体" w:hAnsi="宋体" w:eastAsia="宋体" w:cs="宋体"/>
          <w:szCs w:val="24"/>
          <w:highlight w:val="none"/>
        </w:rPr>
      </w:pPr>
    </w:p>
    <w:p w14:paraId="0DBCADEF">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70364369">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138193D7">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0369053B">
      <w:pPr>
        <w:autoSpaceDE w:val="0"/>
        <w:autoSpaceDN w:val="0"/>
        <w:adjustRightInd w:val="0"/>
        <w:spacing w:line="360" w:lineRule="auto"/>
        <w:jc w:val="center"/>
        <w:rPr>
          <w:rFonts w:hint="eastAsia" w:ascii="宋体" w:hAnsi="宋体" w:eastAsia="宋体" w:cs="宋体"/>
          <w:color w:val="auto"/>
          <w:szCs w:val="24"/>
          <w:highlight w:val="none"/>
          <w:lang w:val="zh-CN"/>
        </w:rPr>
      </w:pPr>
      <w:r>
        <w:rPr>
          <w:rFonts w:hint="eastAsia" w:ascii="宋体" w:hAnsi="宋体" w:eastAsia="宋体" w:cs="宋体"/>
          <w:b/>
          <w:bCs/>
          <w:color w:val="auto"/>
          <w:szCs w:val="24"/>
          <w:highlight w:val="none"/>
          <w:lang w:val="zh-CN"/>
        </w:rPr>
        <w:t>说明：由投标人使用投标人的企业数字证书电子签名。</w:t>
      </w:r>
    </w:p>
    <w:p w14:paraId="08080B4F">
      <w:pPr>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kern w:val="0"/>
          <w:sz w:val="32"/>
          <w:szCs w:val="32"/>
          <w:highlight w:val="none"/>
        </w:rPr>
      </w:pPr>
      <w:r>
        <w:rPr>
          <w:rFonts w:hint="eastAsia" w:ascii="宋体" w:hAnsi="宋体" w:eastAsia="宋体" w:cs="宋体"/>
          <w:szCs w:val="24"/>
          <w:highlight w:val="none"/>
          <w:lang w:val="zh-CN"/>
        </w:rPr>
        <w:br w:type="page"/>
      </w:r>
      <w:bookmarkStart w:id="614" w:name="_Toc140596935"/>
      <w:bookmarkStart w:id="615" w:name="_Toc94107216"/>
      <w:bookmarkStart w:id="616" w:name="_Toc104991882"/>
      <w:bookmarkStart w:id="617" w:name="_Toc142508375"/>
      <w:bookmarkStart w:id="618" w:name="_Toc10443"/>
      <w:bookmarkStart w:id="619" w:name="_Toc102860424"/>
      <w:bookmarkStart w:id="620" w:name="_Toc29014"/>
      <w:bookmarkStart w:id="621" w:name="_Toc102860080"/>
      <w:bookmarkStart w:id="622" w:name="_Toc4023"/>
      <w:bookmarkStart w:id="623" w:name="_Toc9051_WPSOffice_Level2"/>
      <w:bookmarkStart w:id="624" w:name="_Toc486167715"/>
      <w:bookmarkStart w:id="625" w:name="_Toc1977733"/>
      <w:bookmarkStart w:id="626" w:name="_Toc533708128"/>
      <w:r>
        <w:rPr>
          <w:rFonts w:hint="eastAsia" w:ascii="宋体" w:hAnsi="宋体" w:eastAsia="宋体" w:cs="宋体"/>
          <w:b/>
          <w:sz w:val="32"/>
          <w:szCs w:val="32"/>
          <w:highlight w:val="none"/>
          <w:lang w:val="en-US" w:eastAsia="zh-CN"/>
        </w:rPr>
        <w:t>六</w:t>
      </w:r>
      <w:r>
        <w:rPr>
          <w:rFonts w:hint="eastAsia" w:ascii="宋体" w:hAnsi="宋体" w:eastAsia="宋体" w:cs="宋体"/>
          <w:b/>
          <w:sz w:val="32"/>
          <w:szCs w:val="32"/>
          <w:highlight w:val="none"/>
          <w:lang w:val="zh-CN"/>
        </w:rPr>
        <w:t>、投标人在证监会2022年-2024年证券公司分类评级情况</w:t>
      </w:r>
      <w:bookmarkEnd w:id="614"/>
      <w:bookmarkEnd w:id="615"/>
      <w:bookmarkEnd w:id="616"/>
      <w:bookmarkEnd w:id="617"/>
      <w:bookmarkEnd w:id="618"/>
      <w:bookmarkEnd w:id="619"/>
      <w:bookmarkEnd w:id="620"/>
      <w:bookmarkEnd w:id="621"/>
      <w:bookmarkEnd w:id="622"/>
    </w:p>
    <w:p w14:paraId="7A5161CE">
      <w:pPr>
        <w:spacing w:line="360" w:lineRule="auto"/>
        <w:ind w:firstLine="420" w:firstLineChars="200"/>
        <w:rPr>
          <w:rFonts w:hint="eastAsia" w:ascii="宋体" w:hAnsi="宋体" w:eastAsia="宋体" w:cs="宋体"/>
          <w:color w:val="000000"/>
          <w:sz w:val="30"/>
          <w:szCs w:val="30"/>
        </w:rPr>
      </w:pPr>
      <w:r>
        <w:rPr>
          <w:rFonts w:hint="eastAsia" w:ascii="宋体" w:hAnsi="宋体" w:eastAsia="宋体" w:cs="宋体"/>
          <w:color w:val="000000"/>
          <w:sz w:val="21"/>
          <w:szCs w:val="21"/>
        </w:rPr>
        <w:t>说明：投标人自行提供相关证明材料。</w:t>
      </w:r>
    </w:p>
    <w:p w14:paraId="69B776B5">
      <w:pPr>
        <w:autoSpaceDE w:val="0"/>
        <w:autoSpaceDN w:val="0"/>
        <w:adjustRightInd w:val="0"/>
        <w:spacing w:line="360" w:lineRule="auto"/>
        <w:jc w:val="center"/>
        <w:outlineLvl w:val="9"/>
        <w:rPr>
          <w:rFonts w:hint="eastAsia" w:ascii="宋体" w:hAnsi="宋体" w:eastAsia="宋体" w:cs="宋体"/>
          <w:b/>
          <w:bCs/>
          <w:kern w:val="0"/>
          <w:szCs w:val="21"/>
          <w:highlight w:val="none"/>
        </w:rPr>
        <w:sectPr>
          <w:footerReference r:id="rId7" w:type="default"/>
          <w:pgSz w:w="11907" w:h="16840"/>
          <w:pgMar w:top="1701" w:right="1418" w:bottom="851" w:left="1418" w:header="720" w:footer="720" w:gutter="0"/>
          <w:cols w:space="720" w:num="1"/>
          <w:titlePg/>
          <w:docGrid w:linePitch="326" w:charSpace="0"/>
        </w:sectPr>
      </w:pPr>
    </w:p>
    <w:bookmarkEnd w:id="623"/>
    <w:bookmarkEnd w:id="624"/>
    <w:bookmarkEnd w:id="625"/>
    <w:bookmarkEnd w:id="626"/>
    <w:p w14:paraId="0ED5D809">
      <w:pPr>
        <w:tabs>
          <w:tab w:val="left" w:pos="567"/>
        </w:tabs>
        <w:autoSpaceDE w:val="0"/>
        <w:autoSpaceDN w:val="0"/>
        <w:adjustRightInd w:val="0"/>
        <w:spacing w:line="360" w:lineRule="auto"/>
        <w:jc w:val="left"/>
        <w:outlineLvl w:val="9"/>
        <w:rPr>
          <w:rFonts w:hint="eastAsia" w:ascii="宋体" w:hAnsi="宋体" w:eastAsia="宋体" w:cs="宋体"/>
          <w:b/>
          <w:kern w:val="0"/>
          <w:sz w:val="32"/>
          <w:szCs w:val="32"/>
          <w:highlight w:val="none"/>
          <w:lang w:val="zh-CN"/>
        </w:rPr>
      </w:pPr>
      <w:bookmarkStart w:id="627" w:name="_Toc739_WPSOffice_Level2"/>
      <w:bookmarkStart w:id="628" w:name="_Toc102860081"/>
      <w:bookmarkStart w:id="629" w:name="_Toc142508376"/>
      <w:bookmarkStart w:id="630" w:name="_Toc333"/>
      <w:bookmarkStart w:id="631" w:name="_Toc17995"/>
      <w:bookmarkStart w:id="632" w:name="_Toc140596936"/>
      <w:bookmarkStart w:id="633" w:name="_Toc104991883"/>
      <w:bookmarkStart w:id="634" w:name="_Toc1977736"/>
      <w:bookmarkStart w:id="635" w:name="_Toc486167716"/>
      <w:bookmarkStart w:id="636" w:name="_Toc533708130"/>
      <w:bookmarkStart w:id="637" w:name="_Toc102860425"/>
      <w:bookmarkStart w:id="638" w:name="_Toc94107217"/>
      <w:bookmarkStart w:id="639" w:name="_Toc26821"/>
      <w:r>
        <w:rPr>
          <w:rFonts w:hint="eastAsia" w:ascii="宋体" w:hAnsi="宋体" w:eastAsia="宋体" w:cs="宋体"/>
          <w:b/>
          <w:kern w:val="0"/>
          <w:sz w:val="32"/>
          <w:szCs w:val="32"/>
          <w:highlight w:val="none"/>
          <w:lang w:val="en-US" w:eastAsia="zh-CN"/>
        </w:rPr>
        <w:t>七</w:t>
      </w:r>
      <w:r>
        <w:rPr>
          <w:rFonts w:hint="eastAsia" w:ascii="宋体" w:hAnsi="宋体" w:eastAsia="宋体" w:cs="宋体"/>
          <w:b/>
          <w:kern w:val="0"/>
          <w:sz w:val="32"/>
          <w:szCs w:val="32"/>
          <w:highlight w:val="none"/>
          <w:lang w:val="zh-CN"/>
        </w:rPr>
        <w:t>、合同条款偏离表格式</w:t>
      </w:r>
      <w:bookmarkEnd w:id="627"/>
      <w:bookmarkEnd w:id="628"/>
      <w:bookmarkEnd w:id="629"/>
      <w:bookmarkEnd w:id="630"/>
      <w:bookmarkEnd w:id="631"/>
      <w:bookmarkEnd w:id="632"/>
      <w:bookmarkEnd w:id="633"/>
      <w:bookmarkEnd w:id="634"/>
      <w:bookmarkEnd w:id="635"/>
      <w:bookmarkEnd w:id="636"/>
      <w:bookmarkEnd w:id="637"/>
      <w:bookmarkEnd w:id="638"/>
      <w:bookmarkEnd w:id="639"/>
    </w:p>
    <w:p w14:paraId="72278FD2">
      <w:pPr>
        <w:autoSpaceDE w:val="0"/>
        <w:autoSpaceDN w:val="0"/>
        <w:adjustRightInd w:val="0"/>
        <w:spacing w:line="360" w:lineRule="auto"/>
        <w:jc w:val="center"/>
        <w:outlineLvl w:val="9"/>
        <w:rPr>
          <w:rFonts w:hint="eastAsia" w:ascii="宋体" w:hAnsi="宋体" w:eastAsia="宋体" w:cs="宋体"/>
          <w:b/>
          <w:bCs/>
          <w:kern w:val="0"/>
          <w:sz w:val="28"/>
          <w:szCs w:val="30"/>
          <w:highlight w:val="none"/>
          <w:lang w:val="zh-CN"/>
        </w:rPr>
      </w:pPr>
      <w:bookmarkStart w:id="640" w:name="_Toc26412_WPSOffice_Level3"/>
      <w:r>
        <w:rPr>
          <w:rFonts w:hint="eastAsia" w:ascii="宋体" w:hAnsi="宋体" w:eastAsia="宋体" w:cs="宋体"/>
          <w:b/>
          <w:bCs/>
          <w:kern w:val="0"/>
          <w:sz w:val="28"/>
          <w:szCs w:val="30"/>
          <w:highlight w:val="none"/>
          <w:lang w:val="zh-CN"/>
        </w:rPr>
        <w:t>东莞市水务环境投资控股集团有限公司注册发行60亿元公司债承销商采购项目（重新招标）合同条款偏离表</w:t>
      </w:r>
      <w:bookmarkEnd w:id="640"/>
    </w:p>
    <w:tbl>
      <w:tblPr>
        <w:tblStyle w:val="3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1328"/>
        <w:gridCol w:w="2852"/>
        <w:gridCol w:w="1254"/>
        <w:gridCol w:w="3290"/>
      </w:tblGrid>
      <w:tr w14:paraId="383E9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491" w:type="pct"/>
            <w:vMerge w:val="restart"/>
            <w:vAlign w:val="center"/>
          </w:tcPr>
          <w:p w14:paraId="334FC329">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序号</w:t>
            </w:r>
          </w:p>
        </w:tc>
        <w:tc>
          <w:tcPr>
            <w:tcW w:w="2160" w:type="pct"/>
            <w:gridSpan w:val="2"/>
            <w:vAlign w:val="center"/>
          </w:tcPr>
          <w:p w14:paraId="28244FDD">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招标文件要求</w:t>
            </w:r>
          </w:p>
        </w:tc>
        <w:tc>
          <w:tcPr>
            <w:tcW w:w="2348" w:type="pct"/>
            <w:gridSpan w:val="2"/>
            <w:vAlign w:val="center"/>
          </w:tcPr>
          <w:p w14:paraId="7B729CBF">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投标文件内容</w:t>
            </w:r>
          </w:p>
        </w:tc>
      </w:tr>
      <w:tr w14:paraId="2F5E0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491" w:type="pct"/>
            <w:vMerge w:val="continue"/>
            <w:vAlign w:val="center"/>
          </w:tcPr>
          <w:p w14:paraId="1DFE6D46">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686" w:type="pct"/>
            <w:vAlign w:val="center"/>
          </w:tcPr>
          <w:p w14:paraId="554CAD34">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条款号</w:t>
            </w:r>
          </w:p>
        </w:tc>
        <w:tc>
          <w:tcPr>
            <w:tcW w:w="1473" w:type="pct"/>
            <w:vAlign w:val="center"/>
          </w:tcPr>
          <w:p w14:paraId="25863341">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简要内容</w:t>
            </w:r>
          </w:p>
        </w:tc>
        <w:tc>
          <w:tcPr>
            <w:tcW w:w="648" w:type="pct"/>
            <w:vAlign w:val="center"/>
          </w:tcPr>
          <w:p w14:paraId="0D749885">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偏离情况</w:t>
            </w:r>
          </w:p>
        </w:tc>
        <w:tc>
          <w:tcPr>
            <w:tcW w:w="1699" w:type="pct"/>
            <w:vAlign w:val="center"/>
          </w:tcPr>
          <w:p w14:paraId="07795E55">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具体偏离内容</w:t>
            </w:r>
          </w:p>
        </w:tc>
      </w:tr>
      <w:tr w14:paraId="52DA2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6847D30A">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w:t>
            </w:r>
          </w:p>
        </w:tc>
        <w:tc>
          <w:tcPr>
            <w:tcW w:w="1328" w:type="dxa"/>
            <w:vAlign w:val="center"/>
          </w:tcPr>
          <w:p w14:paraId="0F0EAF6C">
            <w:pPr>
              <w:spacing w:line="360" w:lineRule="auto"/>
              <w:jc w:val="center"/>
              <w:rPr>
                <w:rFonts w:hint="eastAsia" w:ascii="宋体" w:hAnsi="宋体" w:eastAsia="宋体" w:cs="宋体"/>
                <w:kern w:val="0"/>
                <w:szCs w:val="21"/>
                <w:highlight w:val="none"/>
                <w:lang w:val="en-US" w:eastAsia="zh-CN"/>
              </w:rPr>
            </w:pPr>
            <w:r>
              <w:rPr>
                <w:rStyle w:val="44"/>
                <w:rFonts w:hint="eastAsia" w:ascii="宋体" w:hAnsi="宋体" w:eastAsia="宋体" w:cs="宋体"/>
                <w:color w:val="000000"/>
              </w:rPr>
              <w:t>第一条</w:t>
            </w:r>
          </w:p>
        </w:tc>
        <w:tc>
          <w:tcPr>
            <w:tcW w:w="2852" w:type="dxa"/>
            <w:vAlign w:val="center"/>
          </w:tcPr>
          <w:p w14:paraId="2F4AFC65">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定义</w:t>
            </w:r>
          </w:p>
        </w:tc>
        <w:tc>
          <w:tcPr>
            <w:tcW w:w="648" w:type="pct"/>
            <w:vAlign w:val="center"/>
          </w:tcPr>
          <w:p w14:paraId="653979C0">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45D5B9F9">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3D62A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3BF7FEE4">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2</w:t>
            </w:r>
          </w:p>
        </w:tc>
        <w:tc>
          <w:tcPr>
            <w:tcW w:w="1328" w:type="dxa"/>
            <w:vAlign w:val="center"/>
          </w:tcPr>
          <w:p w14:paraId="67F3363D">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第二条</w:t>
            </w:r>
          </w:p>
        </w:tc>
        <w:tc>
          <w:tcPr>
            <w:tcW w:w="2852" w:type="dxa"/>
            <w:vAlign w:val="center"/>
          </w:tcPr>
          <w:p w14:paraId="76D7AB6B">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本次债券与本期债券</w:t>
            </w:r>
          </w:p>
        </w:tc>
        <w:tc>
          <w:tcPr>
            <w:tcW w:w="648" w:type="pct"/>
            <w:vAlign w:val="center"/>
          </w:tcPr>
          <w:p w14:paraId="03E4CEF7">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7A6DA820">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76AC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074D08AB">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3</w:t>
            </w:r>
          </w:p>
        </w:tc>
        <w:tc>
          <w:tcPr>
            <w:tcW w:w="1328" w:type="dxa"/>
            <w:vAlign w:val="center"/>
          </w:tcPr>
          <w:p w14:paraId="03E0A3C1">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第三条</w:t>
            </w:r>
          </w:p>
        </w:tc>
        <w:tc>
          <w:tcPr>
            <w:tcW w:w="2852" w:type="dxa"/>
            <w:vAlign w:val="center"/>
          </w:tcPr>
          <w:p w14:paraId="5BE801F3">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发行和托管</w:t>
            </w:r>
          </w:p>
        </w:tc>
        <w:tc>
          <w:tcPr>
            <w:tcW w:w="648" w:type="pct"/>
            <w:vAlign w:val="center"/>
          </w:tcPr>
          <w:p w14:paraId="51E09C64">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31716CFE">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596D9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1447D87D">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4</w:t>
            </w:r>
          </w:p>
        </w:tc>
        <w:tc>
          <w:tcPr>
            <w:tcW w:w="1328" w:type="dxa"/>
            <w:vAlign w:val="center"/>
          </w:tcPr>
          <w:p w14:paraId="05CF4409">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第四条</w:t>
            </w:r>
          </w:p>
        </w:tc>
        <w:tc>
          <w:tcPr>
            <w:tcW w:w="2852" w:type="dxa"/>
            <w:vAlign w:val="center"/>
          </w:tcPr>
          <w:p w14:paraId="28503E71">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承销责任</w:t>
            </w:r>
          </w:p>
        </w:tc>
        <w:tc>
          <w:tcPr>
            <w:tcW w:w="648" w:type="pct"/>
            <w:vAlign w:val="center"/>
          </w:tcPr>
          <w:p w14:paraId="46D605E0">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314480C5">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16479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6F06014F">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5</w:t>
            </w:r>
          </w:p>
        </w:tc>
        <w:tc>
          <w:tcPr>
            <w:tcW w:w="1328" w:type="dxa"/>
            <w:vAlign w:val="center"/>
          </w:tcPr>
          <w:p w14:paraId="0374CE3B">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第五条</w:t>
            </w:r>
          </w:p>
        </w:tc>
        <w:tc>
          <w:tcPr>
            <w:tcW w:w="2852" w:type="dxa"/>
            <w:vAlign w:val="center"/>
          </w:tcPr>
          <w:p w14:paraId="75BE44E2">
            <w:pPr>
              <w:spacing w:line="360" w:lineRule="auto"/>
              <w:jc w:val="center"/>
              <w:rPr>
                <w:rFonts w:hint="default" w:ascii="宋体" w:hAnsi="宋体" w:eastAsia="宋体" w:cs="宋体"/>
                <w:kern w:val="0"/>
                <w:szCs w:val="21"/>
                <w:highlight w:val="none"/>
                <w:lang w:val="en-US" w:eastAsia="zh-CN"/>
              </w:rPr>
            </w:pPr>
            <w:r>
              <w:rPr>
                <w:rFonts w:hint="eastAsia" w:ascii="宋体" w:hAnsi="宋体" w:eastAsia="宋体" w:cs="宋体"/>
                <w:color w:val="000000"/>
                <w:sz w:val="21"/>
                <w:szCs w:val="21"/>
              </w:rPr>
              <w:t>先决条件</w:t>
            </w:r>
          </w:p>
        </w:tc>
        <w:tc>
          <w:tcPr>
            <w:tcW w:w="648" w:type="pct"/>
            <w:vAlign w:val="center"/>
          </w:tcPr>
          <w:p w14:paraId="21DFBAA2">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4A1F7C00">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64AE4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24662A28">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6</w:t>
            </w:r>
          </w:p>
        </w:tc>
        <w:tc>
          <w:tcPr>
            <w:tcW w:w="1328" w:type="dxa"/>
            <w:vAlign w:val="center"/>
          </w:tcPr>
          <w:p w14:paraId="34177226">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第六条</w:t>
            </w:r>
          </w:p>
        </w:tc>
        <w:tc>
          <w:tcPr>
            <w:tcW w:w="2852" w:type="dxa"/>
            <w:vAlign w:val="center"/>
          </w:tcPr>
          <w:p w14:paraId="4EAEDA34">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募集款项的划付</w:t>
            </w:r>
          </w:p>
        </w:tc>
        <w:tc>
          <w:tcPr>
            <w:tcW w:w="648" w:type="pct"/>
            <w:vAlign w:val="center"/>
          </w:tcPr>
          <w:p w14:paraId="6026AA19">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283A93C5">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5B559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4B8D57C9">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7</w:t>
            </w:r>
          </w:p>
        </w:tc>
        <w:tc>
          <w:tcPr>
            <w:tcW w:w="1328" w:type="dxa"/>
            <w:vAlign w:val="center"/>
          </w:tcPr>
          <w:p w14:paraId="7E5010A2">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第七条</w:t>
            </w:r>
          </w:p>
        </w:tc>
        <w:tc>
          <w:tcPr>
            <w:tcW w:w="2852" w:type="dxa"/>
            <w:vAlign w:val="center"/>
          </w:tcPr>
          <w:p w14:paraId="6CB77CEC">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与本期债券有关的费用</w:t>
            </w:r>
          </w:p>
        </w:tc>
        <w:tc>
          <w:tcPr>
            <w:tcW w:w="648" w:type="pct"/>
            <w:vAlign w:val="center"/>
          </w:tcPr>
          <w:p w14:paraId="69912CA4">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08C96D73">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3A07A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4CB22D09">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8</w:t>
            </w:r>
          </w:p>
        </w:tc>
        <w:tc>
          <w:tcPr>
            <w:tcW w:w="1328" w:type="dxa"/>
            <w:vAlign w:val="center"/>
          </w:tcPr>
          <w:p w14:paraId="44B4F3A1">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第八条</w:t>
            </w:r>
          </w:p>
        </w:tc>
        <w:tc>
          <w:tcPr>
            <w:tcW w:w="2852" w:type="dxa"/>
            <w:vAlign w:val="center"/>
          </w:tcPr>
          <w:p w14:paraId="22AD8008">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付息和本金兑付</w:t>
            </w:r>
          </w:p>
        </w:tc>
        <w:tc>
          <w:tcPr>
            <w:tcW w:w="648" w:type="pct"/>
            <w:vAlign w:val="center"/>
          </w:tcPr>
          <w:p w14:paraId="7BC2C086">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07C2C32F">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6D636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6C9A6ECB">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9</w:t>
            </w:r>
          </w:p>
        </w:tc>
        <w:tc>
          <w:tcPr>
            <w:tcW w:w="1328" w:type="dxa"/>
            <w:vAlign w:val="center"/>
          </w:tcPr>
          <w:p w14:paraId="391F655B">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第九条</w:t>
            </w:r>
          </w:p>
        </w:tc>
        <w:tc>
          <w:tcPr>
            <w:tcW w:w="2852" w:type="dxa"/>
            <w:vAlign w:val="center"/>
          </w:tcPr>
          <w:p w14:paraId="5DAA332D">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陈述和保证</w:t>
            </w:r>
          </w:p>
        </w:tc>
        <w:tc>
          <w:tcPr>
            <w:tcW w:w="648" w:type="pct"/>
            <w:vAlign w:val="center"/>
          </w:tcPr>
          <w:p w14:paraId="0D86FD3D">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7C994631">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767A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3C0C34E2">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10</w:t>
            </w:r>
          </w:p>
        </w:tc>
        <w:tc>
          <w:tcPr>
            <w:tcW w:w="1328" w:type="dxa"/>
            <w:vAlign w:val="center"/>
          </w:tcPr>
          <w:p w14:paraId="3753CF0D">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第十条</w:t>
            </w:r>
          </w:p>
        </w:tc>
        <w:tc>
          <w:tcPr>
            <w:tcW w:w="2852" w:type="dxa"/>
            <w:vAlign w:val="center"/>
          </w:tcPr>
          <w:p w14:paraId="16743F95">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发行人义务</w:t>
            </w:r>
          </w:p>
        </w:tc>
        <w:tc>
          <w:tcPr>
            <w:tcW w:w="648" w:type="pct"/>
            <w:vAlign w:val="center"/>
          </w:tcPr>
          <w:p w14:paraId="706C9CDE">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26B24F24">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2B3E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5598499E">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11</w:t>
            </w:r>
          </w:p>
        </w:tc>
        <w:tc>
          <w:tcPr>
            <w:tcW w:w="1328" w:type="dxa"/>
            <w:vAlign w:val="center"/>
          </w:tcPr>
          <w:p w14:paraId="772D3939">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第十一条</w:t>
            </w:r>
          </w:p>
        </w:tc>
        <w:tc>
          <w:tcPr>
            <w:tcW w:w="2852" w:type="dxa"/>
            <w:vAlign w:val="center"/>
          </w:tcPr>
          <w:p w14:paraId="668EDA5A">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主承销商的义务</w:t>
            </w:r>
          </w:p>
        </w:tc>
        <w:tc>
          <w:tcPr>
            <w:tcW w:w="648" w:type="pct"/>
            <w:vAlign w:val="center"/>
          </w:tcPr>
          <w:p w14:paraId="38AE88DD">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42888849">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65AAD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01FD851B">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12</w:t>
            </w:r>
          </w:p>
        </w:tc>
        <w:tc>
          <w:tcPr>
            <w:tcW w:w="1328" w:type="dxa"/>
            <w:vAlign w:val="center"/>
          </w:tcPr>
          <w:p w14:paraId="0DFF6059">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第十二条</w:t>
            </w:r>
          </w:p>
        </w:tc>
        <w:tc>
          <w:tcPr>
            <w:tcW w:w="2852" w:type="dxa"/>
            <w:vAlign w:val="center"/>
          </w:tcPr>
          <w:p w14:paraId="6B5D8052">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税款</w:t>
            </w:r>
          </w:p>
        </w:tc>
        <w:tc>
          <w:tcPr>
            <w:tcW w:w="648" w:type="pct"/>
            <w:vAlign w:val="center"/>
          </w:tcPr>
          <w:p w14:paraId="1715B5AA">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5538A003">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63B67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0E85354C">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13</w:t>
            </w:r>
          </w:p>
        </w:tc>
        <w:tc>
          <w:tcPr>
            <w:tcW w:w="1328" w:type="dxa"/>
            <w:vAlign w:val="center"/>
          </w:tcPr>
          <w:p w14:paraId="4EB6B317">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第十三条</w:t>
            </w:r>
          </w:p>
        </w:tc>
        <w:tc>
          <w:tcPr>
            <w:tcW w:w="2852" w:type="dxa"/>
            <w:vAlign w:val="center"/>
          </w:tcPr>
          <w:p w14:paraId="664DE039">
            <w:pPr>
              <w:spacing w:line="360" w:lineRule="auto"/>
              <w:jc w:val="center"/>
              <w:rPr>
                <w:rFonts w:hint="default" w:ascii="宋体" w:hAnsi="宋体" w:eastAsia="宋体" w:cs="宋体"/>
                <w:kern w:val="0"/>
                <w:szCs w:val="21"/>
                <w:highlight w:val="none"/>
                <w:lang w:val="en-US" w:eastAsia="zh-CN"/>
              </w:rPr>
            </w:pPr>
            <w:r>
              <w:rPr>
                <w:rFonts w:hint="eastAsia" w:ascii="宋体" w:hAnsi="宋体" w:eastAsia="宋体" w:cs="宋体"/>
                <w:color w:val="000000"/>
                <w:sz w:val="21"/>
                <w:szCs w:val="21"/>
              </w:rPr>
              <w:t>违约责任</w:t>
            </w:r>
          </w:p>
        </w:tc>
        <w:tc>
          <w:tcPr>
            <w:tcW w:w="648" w:type="pct"/>
            <w:vAlign w:val="center"/>
          </w:tcPr>
          <w:p w14:paraId="41C3B3D4">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6C87A0BA">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44B50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5BB2C47D">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14</w:t>
            </w:r>
          </w:p>
        </w:tc>
        <w:tc>
          <w:tcPr>
            <w:tcW w:w="1328" w:type="dxa"/>
            <w:vAlign w:val="center"/>
          </w:tcPr>
          <w:p w14:paraId="333764BF">
            <w:pPr>
              <w:spacing w:line="360" w:lineRule="auto"/>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第十四条</w:t>
            </w:r>
          </w:p>
        </w:tc>
        <w:tc>
          <w:tcPr>
            <w:tcW w:w="2852" w:type="dxa"/>
            <w:vAlign w:val="center"/>
          </w:tcPr>
          <w:p w14:paraId="36CFE66F">
            <w:pPr>
              <w:spacing w:line="360" w:lineRule="auto"/>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不可抗力事件及免责</w:t>
            </w:r>
          </w:p>
        </w:tc>
        <w:tc>
          <w:tcPr>
            <w:tcW w:w="648" w:type="pct"/>
            <w:vAlign w:val="center"/>
          </w:tcPr>
          <w:p w14:paraId="47CE6AAB">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3AD59DA6">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2E8AD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19EDB752">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15</w:t>
            </w:r>
          </w:p>
        </w:tc>
        <w:tc>
          <w:tcPr>
            <w:tcW w:w="1328" w:type="dxa"/>
            <w:vAlign w:val="center"/>
          </w:tcPr>
          <w:p w14:paraId="2DD40812">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第十五条</w:t>
            </w:r>
          </w:p>
        </w:tc>
        <w:tc>
          <w:tcPr>
            <w:tcW w:w="2852" w:type="dxa"/>
            <w:vAlign w:val="center"/>
          </w:tcPr>
          <w:p w14:paraId="13C21EBD">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保密</w:t>
            </w:r>
          </w:p>
        </w:tc>
        <w:tc>
          <w:tcPr>
            <w:tcW w:w="648" w:type="pct"/>
            <w:vAlign w:val="center"/>
          </w:tcPr>
          <w:p w14:paraId="0CD1183E">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27D198CE">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11447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6DCB236F">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16</w:t>
            </w:r>
          </w:p>
        </w:tc>
        <w:tc>
          <w:tcPr>
            <w:tcW w:w="1328" w:type="dxa"/>
            <w:vAlign w:val="center"/>
          </w:tcPr>
          <w:p w14:paraId="5A2E5E09">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第十六条</w:t>
            </w:r>
          </w:p>
        </w:tc>
        <w:tc>
          <w:tcPr>
            <w:tcW w:w="2852" w:type="dxa"/>
            <w:vAlign w:val="center"/>
          </w:tcPr>
          <w:p w14:paraId="2041E0D7">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通知及送达</w:t>
            </w:r>
          </w:p>
        </w:tc>
        <w:tc>
          <w:tcPr>
            <w:tcW w:w="648" w:type="pct"/>
            <w:vAlign w:val="center"/>
          </w:tcPr>
          <w:p w14:paraId="7E56F598">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2A426CCA">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7A6DD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0177B436">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17</w:t>
            </w:r>
          </w:p>
        </w:tc>
        <w:tc>
          <w:tcPr>
            <w:tcW w:w="1328" w:type="dxa"/>
            <w:vAlign w:val="center"/>
          </w:tcPr>
          <w:p w14:paraId="6B870FBB">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第十七条</w:t>
            </w:r>
          </w:p>
        </w:tc>
        <w:tc>
          <w:tcPr>
            <w:tcW w:w="2852" w:type="dxa"/>
            <w:vAlign w:val="center"/>
          </w:tcPr>
          <w:p w14:paraId="33C8537B">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终止</w:t>
            </w:r>
          </w:p>
        </w:tc>
        <w:tc>
          <w:tcPr>
            <w:tcW w:w="648" w:type="pct"/>
            <w:vAlign w:val="center"/>
          </w:tcPr>
          <w:p w14:paraId="404F76C9">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5F157D31">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288FC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306AD152">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18</w:t>
            </w:r>
          </w:p>
        </w:tc>
        <w:tc>
          <w:tcPr>
            <w:tcW w:w="1328" w:type="dxa"/>
            <w:vAlign w:val="center"/>
          </w:tcPr>
          <w:p w14:paraId="37B135DC">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第十八条</w:t>
            </w:r>
          </w:p>
        </w:tc>
        <w:tc>
          <w:tcPr>
            <w:tcW w:w="2852" w:type="dxa"/>
            <w:vAlign w:val="center"/>
          </w:tcPr>
          <w:p w14:paraId="28B9CC26">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适用法律和管辖权</w:t>
            </w:r>
          </w:p>
        </w:tc>
        <w:tc>
          <w:tcPr>
            <w:tcW w:w="648" w:type="pct"/>
            <w:vAlign w:val="center"/>
          </w:tcPr>
          <w:p w14:paraId="43F72740">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4EA28986">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27F7E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4A8CAF5F">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19</w:t>
            </w:r>
          </w:p>
        </w:tc>
        <w:tc>
          <w:tcPr>
            <w:tcW w:w="1328" w:type="dxa"/>
            <w:vAlign w:val="center"/>
          </w:tcPr>
          <w:p w14:paraId="164539C9">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第十九条</w:t>
            </w:r>
          </w:p>
        </w:tc>
        <w:tc>
          <w:tcPr>
            <w:tcW w:w="2852" w:type="dxa"/>
            <w:vAlign w:val="center"/>
          </w:tcPr>
          <w:p w14:paraId="56111718">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其他规定</w:t>
            </w:r>
          </w:p>
        </w:tc>
        <w:tc>
          <w:tcPr>
            <w:tcW w:w="648" w:type="pct"/>
            <w:vAlign w:val="center"/>
          </w:tcPr>
          <w:p w14:paraId="3E1550E9">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1296D364">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4D72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7F374652">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20</w:t>
            </w:r>
          </w:p>
        </w:tc>
        <w:tc>
          <w:tcPr>
            <w:tcW w:w="686" w:type="pct"/>
            <w:vAlign w:val="center"/>
          </w:tcPr>
          <w:p w14:paraId="2EB4272C">
            <w:pPr>
              <w:autoSpaceDE w:val="0"/>
              <w:autoSpaceDN w:val="0"/>
              <w:adjustRightInd w:val="0"/>
              <w:spacing w:line="400" w:lineRule="exact"/>
              <w:jc w:val="center"/>
              <w:outlineLvl w:val="9"/>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附件</w:t>
            </w:r>
          </w:p>
        </w:tc>
        <w:tc>
          <w:tcPr>
            <w:tcW w:w="1473" w:type="pct"/>
            <w:vAlign w:val="center"/>
          </w:tcPr>
          <w:p w14:paraId="6CCF9F2B">
            <w:pPr>
              <w:autoSpaceDE w:val="0"/>
              <w:autoSpaceDN w:val="0"/>
              <w:adjustRightInd w:val="0"/>
              <w:spacing w:line="400" w:lineRule="exact"/>
              <w:jc w:val="center"/>
              <w:outlineLvl w:val="9"/>
              <w:rPr>
                <w:rFonts w:hint="eastAsia" w:ascii="宋体" w:hAnsi="宋体" w:eastAsia="宋体" w:cs="宋体"/>
                <w:kern w:val="0"/>
                <w:szCs w:val="21"/>
                <w:highlight w:val="none"/>
              </w:rPr>
            </w:pPr>
            <w:r>
              <w:rPr>
                <w:rFonts w:hint="eastAsia" w:ascii="宋体" w:hAnsi="宋体" w:eastAsia="宋体" w:cs="宋体"/>
                <w:kern w:val="0"/>
                <w:szCs w:val="21"/>
                <w:highlight w:val="none"/>
              </w:rPr>
              <w:t>廉洁协议书</w:t>
            </w:r>
          </w:p>
        </w:tc>
        <w:tc>
          <w:tcPr>
            <w:tcW w:w="648" w:type="pct"/>
            <w:vAlign w:val="center"/>
          </w:tcPr>
          <w:p w14:paraId="3A800371">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53C0E600">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10F5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406166ED">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21</w:t>
            </w:r>
          </w:p>
        </w:tc>
        <w:tc>
          <w:tcPr>
            <w:tcW w:w="1328" w:type="dxa"/>
            <w:vAlign w:val="center"/>
          </w:tcPr>
          <w:p w14:paraId="7FB7394E">
            <w:pPr>
              <w:pStyle w:val="63"/>
              <w:snapToGrid w:val="0"/>
              <w:spacing w:line="240" w:lineRule="auto"/>
              <w:ind w:firstLine="0" w:firstLineChars="0"/>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一</w:t>
            </w:r>
          </w:p>
        </w:tc>
        <w:tc>
          <w:tcPr>
            <w:tcW w:w="2852" w:type="dxa"/>
            <w:vAlign w:val="center"/>
          </w:tcPr>
          <w:p w14:paraId="01441CC6">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不可撤销银行履约保函</w:t>
            </w:r>
          </w:p>
        </w:tc>
        <w:tc>
          <w:tcPr>
            <w:tcW w:w="648" w:type="pct"/>
            <w:vAlign w:val="center"/>
          </w:tcPr>
          <w:p w14:paraId="752D254E">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514FEE4C">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667F7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01C5EBBD">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22</w:t>
            </w:r>
          </w:p>
        </w:tc>
        <w:tc>
          <w:tcPr>
            <w:tcW w:w="1328" w:type="dxa"/>
            <w:vAlign w:val="center"/>
          </w:tcPr>
          <w:p w14:paraId="13A7F099">
            <w:pPr>
              <w:pStyle w:val="63"/>
              <w:snapToGrid w:val="0"/>
              <w:spacing w:line="240" w:lineRule="auto"/>
              <w:ind w:firstLine="0" w:firstLineChars="0"/>
              <w:jc w:val="center"/>
              <w:rPr>
                <w:rFonts w:hint="eastAsia" w:ascii="宋体" w:hAnsi="宋体" w:eastAsia="宋体" w:cs="宋体"/>
                <w:kern w:val="0"/>
                <w:szCs w:val="21"/>
                <w:highlight w:val="none"/>
                <w:lang w:val="en-US" w:eastAsia="zh-CN"/>
              </w:rPr>
            </w:pPr>
            <w:r>
              <w:rPr>
                <w:rFonts w:hint="eastAsia" w:ascii="宋体" w:hAnsi="宋体" w:eastAsia="宋体" w:cs="宋体"/>
                <w:color w:val="000000"/>
                <w:sz w:val="21"/>
                <w:szCs w:val="21"/>
              </w:rPr>
              <w:t>二</w:t>
            </w:r>
          </w:p>
        </w:tc>
        <w:tc>
          <w:tcPr>
            <w:tcW w:w="2852" w:type="dxa"/>
            <w:vAlign w:val="center"/>
          </w:tcPr>
          <w:p w14:paraId="0BEB9E38">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履约保证保险凭证</w:t>
            </w:r>
          </w:p>
        </w:tc>
        <w:tc>
          <w:tcPr>
            <w:tcW w:w="648" w:type="pct"/>
            <w:vAlign w:val="center"/>
          </w:tcPr>
          <w:p w14:paraId="51EA87D6">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3C062602">
            <w:pPr>
              <w:autoSpaceDE w:val="0"/>
              <w:autoSpaceDN w:val="0"/>
              <w:adjustRightInd w:val="0"/>
              <w:spacing w:line="400" w:lineRule="exact"/>
              <w:jc w:val="center"/>
              <w:outlineLvl w:val="9"/>
              <w:rPr>
                <w:rFonts w:hint="eastAsia" w:ascii="宋体" w:hAnsi="宋体" w:eastAsia="宋体" w:cs="宋体"/>
                <w:kern w:val="0"/>
                <w:szCs w:val="21"/>
                <w:highlight w:val="none"/>
              </w:rPr>
            </w:pPr>
          </w:p>
        </w:tc>
      </w:tr>
      <w:tr w14:paraId="7D0A4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91" w:type="pct"/>
            <w:vAlign w:val="center"/>
          </w:tcPr>
          <w:p w14:paraId="283A002B">
            <w:pPr>
              <w:autoSpaceDE w:val="0"/>
              <w:autoSpaceDN w:val="0"/>
              <w:adjustRightInd w:val="0"/>
              <w:spacing w:line="400" w:lineRule="exact"/>
              <w:jc w:val="center"/>
              <w:outlineLvl w:val="9"/>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23</w:t>
            </w:r>
          </w:p>
        </w:tc>
        <w:tc>
          <w:tcPr>
            <w:tcW w:w="1328" w:type="dxa"/>
            <w:vAlign w:val="center"/>
          </w:tcPr>
          <w:p w14:paraId="0944D9B3">
            <w:pPr>
              <w:pStyle w:val="63"/>
              <w:snapToGrid w:val="0"/>
              <w:spacing w:line="240" w:lineRule="auto"/>
              <w:ind w:firstLine="0" w:firstLineChars="0"/>
              <w:jc w:val="center"/>
              <w:rPr>
                <w:rFonts w:hint="eastAsia" w:ascii="宋体" w:hAnsi="宋体" w:eastAsia="宋体" w:cs="宋体"/>
                <w:kern w:val="0"/>
                <w:szCs w:val="21"/>
                <w:highlight w:val="none"/>
                <w:lang w:val="en-US" w:eastAsia="zh-CN"/>
              </w:rPr>
            </w:pPr>
            <w:r>
              <w:rPr>
                <w:rFonts w:hint="eastAsia" w:ascii="宋体" w:eastAsia="宋体" w:cs="宋体"/>
                <w:color w:val="000000"/>
                <w:sz w:val="21"/>
                <w:szCs w:val="21"/>
                <w:lang w:val="en-US" w:eastAsia="zh-CN"/>
              </w:rPr>
              <w:t>三</w:t>
            </w:r>
          </w:p>
        </w:tc>
        <w:tc>
          <w:tcPr>
            <w:tcW w:w="2852" w:type="dxa"/>
            <w:vAlign w:val="center"/>
          </w:tcPr>
          <w:p w14:paraId="743DE19E">
            <w:pPr>
              <w:pStyle w:val="63"/>
              <w:snapToGrid w:val="0"/>
              <w:spacing w:line="240" w:lineRule="auto"/>
              <w:ind w:firstLine="0" w:firstLineChars="0"/>
              <w:jc w:val="center"/>
              <w:rPr>
                <w:rFonts w:hint="eastAsia" w:ascii="宋体" w:hAnsi="宋体" w:eastAsia="宋体" w:cs="宋体"/>
                <w:kern w:val="0"/>
                <w:szCs w:val="21"/>
                <w:highlight w:val="none"/>
              </w:rPr>
            </w:pPr>
            <w:r>
              <w:rPr>
                <w:rFonts w:hint="eastAsia" w:ascii="宋体" w:hAnsi="宋体" w:eastAsia="宋体" w:cs="宋体"/>
                <w:color w:val="000000"/>
                <w:sz w:val="21"/>
                <w:szCs w:val="21"/>
              </w:rPr>
              <w:t>担保公司履约担保书</w:t>
            </w:r>
          </w:p>
        </w:tc>
        <w:tc>
          <w:tcPr>
            <w:tcW w:w="648" w:type="pct"/>
            <w:vAlign w:val="center"/>
          </w:tcPr>
          <w:p w14:paraId="7848DA0F">
            <w:pPr>
              <w:autoSpaceDE w:val="0"/>
              <w:autoSpaceDN w:val="0"/>
              <w:adjustRightInd w:val="0"/>
              <w:spacing w:line="400" w:lineRule="exact"/>
              <w:jc w:val="center"/>
              <w:outlineLvl w:val="9"/>
              <w:rPr>
                <w:rFonts w:hint="eastAsia" w:ascii="宋体" w:hAnsi="宋体" w:eastAsia="宋体" w:cs="宋体"/>
                <w:kern w:val="0"/>
                <w:szCs w:val="21"/>
                <w:highlight w:val="none"/>
              </w:rPr>
            </w:pPr>
          </w:p>
        </w:tc>
        <w:tc>
          <w:tcPr>
            <w:tcW w:w="1699" w:type="pct"/>
            <w:vAlign w:val="center"/>
          </w:tcPr>
          <w:p w14:paraId="4ED3F885">
            <w:pPr>
              <w:autoSpaceDE w:val="0"/>
              <w:autoSpaceDN w:val="0"/>
              <w:adjustRightInd w:val="0"/>
              <w:spacing w:line="400" w:lineRule="exact"/>
              <w:jc w:val="center"/>
              <w:outlineLvl w:val="9"/>
              <w:rPr>
                <w:rFonts w:hint="eastAsia" w:ascii="宋体" w:hAnsi="宋体" w:eastAsia="宋体" w:cs="宋体"/>
                <w:kern w:val="0"/>
                <w:szCs w:val="21"/>
                <w:highlight w:val="none"/>
              </w:rPr>
            </w:pPr>
          </w:p>
        </w:tc>
      </w:tr>
    </w:tbl>
    <w:p w14:paraId="54F8C57D">
      <w:pPr>
        <w:autoSpaceDE w:val="0"/>
        <w:autoSpaceDN w:val="0"/>
        <w:adjustRightInd w:val="0"/>
        <w:snapToGrid w:val="0"/>
        <w:spacing w:line="360" w:lineRule="auto"/>
        <w:ind w:left="186" w:leftChars="-158" w:hanging="518" w:hangingChars="247"/>
        <w:jc w:val="left"/>
        <w:outlineLvl w:val="9"/>
        <w:rPr>
          <w:rFonts w:hint="eastAsia" w:ascii="宋体" w:hAnsi="宋体" w:eastAsia="宋体" w:cs="宋体"/>
          <w:szCs w:val="24"/>
          <w:highlight w:val="none"/>
          <w:lang w:val="zh-CN"/>
        </w:rPr>
      </w:pPr>
    </w:p>
    <w:p w14:paraId="0DBFBB89">
      <w:pPr>
        <w:autoSpaceDE w:val="0"/>
        <w:autoSpaceDN w:val="0"/>
        <w:adjustRightInd w:val="0"/>
        <w:snapToGrid w:val="0"/>
        <w:spacing w:line="360" w:lineRule="auto"/>
        <w:ind w:left="166" w:leftChars="-101" w:hanging="378" w:hangingChars="180"/>
        <w:jc w:val="left"/>
        <w:outlineLvl w:val="9"/>
        <w:rPr>
          <w:rFonts w:hint="eastAsia" w:ascii="宋体" w:hAnsi="宋体" w:eastAsia="宋体" w:cs="宋体"/>
          <w:szCs w:val="24"/>
          <w:highlight w:val="none"/>
          <w:lang w:val="zh-CN"/>
        </w:rPr>
      </w:pPr>
      <w:r>
        <w:rPr>
          <w:rFonts w:hint="eastAsia" w:ascii="宋体" w:hAnsi="宋体" w:eastAsia="宋体" w:cs="宋体"/>
          <w:szCs w:val="24"/>
          <w:highlight w:val="none"/>
          <w:lang w:val="zh-CN"/>
        </w:rPr>
        <w:t>备注：</w:t>
      </w:r>
    </w:p>
    <w:p w14:paraId="5700BA01">
      <w:pPr>
        <w:spacing w:line="360" w:lineRule="auto"/>
        <w:ind w:left="605" w:leftChars="18" w:hanging="567" w:hangingChars="270"/>
        <w:outlineLvl w:val="9"/>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b/>
          <w:kern w:val="0"/>
          <w:szCs w:val="21"/>
          <w:highlight w:val="none"/>
          <w:u w:val="single"/>
        </w:rPr>
        <w:t>投标人应对照招标文件合同格式内合同条款及附件，逐条、如实地填写“偏离情况”项。“偏离情况”项为正偏离（或负偏离）的，必须在“具体偏离内容”项内详细说明与招标文件的偏离内容，“偏离情况”项为无偏离的，在“具体偏离内容”项内填“无”。若发现虚假填写本表，或对合同及其附件响应有负偏离的，按无效投标文件处理。若发现此表未逐条填写视为完全满足招标文件要求</w:t>
      </w:r>
      <w:r>
        <w:rPr>
          <w:rFonts w:hint="eastAsia" w:ascii="宋体" w:hAnsi="宋体" w:eastAsia="宋体" w:cs="宋体"/>
          <w:b/>
          <w:kern w:val="0"/>
          <w:szCs w:val="21"/>
          <w:highlight w:val="none"/>
        </w:rPr>
        <w:t>。</w:t>
      </w:r>
    </w:p>
    <w:p w14:paraId="67514310">
      <w:pPr>
        <w:spacing w:line="360" w:lineRule="auto"/>
        <w:ind w:left="605" w:leftChars="18" w:hanging="567" w:hangingChars="270"/>
        <w:outlineLvl w:val="9"/>
        <w:rPr>
          <w:rFonts w:hint="eastAsia" w:ascii="宋体" w:hAnsi="宋体" w:eastAsia="宋体" w:cs="宋体"/>
          <w:szCs w:val="21"/>
          <w:highlight w:val="none"/>
        </w:rPr>
      </w:pPr>
      <w:r>
        <w:rPr>
          <w:rFonts w:hint="eastAsia" w:ascii="宋体" w:hAnsi="宋体" w:eastAsia="宋体" w:cs="宋体"/>
          <w:szCs w:val="21"/>
          <w:highlight w:val="none"/>
        </w:rPr>
        <w:t>（2）偏离情况（投标文件对招标文件合同条款的响应程度）分为：正偏离、负偏离、无偏离。正偏离是指投标人提供的</w:t>
      </w:r>
      <w:r>
        <w:rPr>
          <w:rFonts w:hint="eastAsia" w:ascii="宋体" w:hAnsi="宋体" w:eastAsia="宋体" w:cs="宋体"/>
          <w:szCs w:val="21"/>
          <w:highlight w:val="none"/>
          <w:lang w:val="en-US" w:eastAsia="zh-CN"/>
        </w:rPr>
        <w:t>相关服务</w:t>
      </w:r>
      <w:r>
        <w:rPr>
          <w:rFonts w:hint="eastAsia" w:ascii="宋体" w:hAnsi="宋体" w:eastAsia="宋体" w:cs="宋体"/>
          <w:szCs w:val="21"/>
          <w:highlight w:val="none"/>
        </w:rPr>
        <w:t>商务条件优于招标文件的要求；负偏离是指投标人提供的</w:t>
      </w:r>
      <w:r>
        <w:rPr>
          <w:rFonts w:hint="eastAsia" w:ascii="宋体" w:hAnsi="宋体" w:eastAsia="宋体" w:cs="宋体"/>
          <w:szCs w:val="21"/>
          <w:highlight w:val="none"/>
          <w:lang w:val="en-US" w:eastAsia="zh-CN"/>
        </w:rPr>
        <w:t>相关服务</w:t>
      </w:r>
      <w:r>
        <w:rPr>
          <w:rFonts w:hint="eastAsia" w:ascii="宋体" w:hAnsi="宋体" w:eastAsia="宋体" w:cs="宋体"/>
          <w:szCs w:val="21"/>
          <w:highlight w:val="none"/>
        </w:rPr>
        <w:t>商务条件不满足或不完全满足招标文件的要求；无偏离是指投标人提供的</w:t>
      </w:r>
      <w:r>
        <w:rPr>
          <w:rFonts w:hint="eastAsia" w:ascii="宋体" w:hAnsi="宋体" w:eastAsia="宋体" w:cs="宋体"/>
          <w:szCs w:val="21"/>
          <w:highlight w:val="none"/>
          <w:lang w:val="en-US" w:eastAsia="zh-CN"/>
        </w:rPr>
        <w:t>相关服务</w:t>
      </w:r>
      <w:r>
        <w:rPr>
          <w:rFonts w:hint="eastAsia" w:ascii="宋体" w:hAnsi="宋体" w:eastAsia="宋体" w:cs="宋体"/>
          <w:szCs w:val="21"/>
          <w:highlight w:val="none"/>
        </w:rPr>
        <w:t>商务条件完全满足招标文件的要求。</w:t>
      </w:r>
    </w:p>
    <w:p w14:paraId="0DF41BE3">
      <w:pPr>
        <w:spacing w:line="360" w:lineRule="auto"/>
        <w:ind w:left="605" w:leftChars="18" w:hanging="567" w:hangingChars="270"/>
        <w:outlineLvl w:val="9"/>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（3）招标文件“第五篇 相关保函格式”作为重要的商务条款，投标人的响应情况列入本合同条款偏离表。</w:t>
      </w:r>
    </w:p>
    <w:p w14:paraId="7614170E">
      <w:pPr>
        <w:spacing w:line="360" w:lineRule="auto"/>
        <w:ind w:left="605" w:leftChars="18" w:hanging="567" w:hangingChars="270"/>
        <w:outlineLvl w:val="9"/>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（4）如投标人差异内容较多可另附页说明，并在本偏离表“具体偏离内容”项注明其在投标文件中的具体页码。</w:t>
      </w:r>
    </w:p>
    <w:p w14:paraId="2FD61C44">
      <w:pPr>
        <w:spacing w:line="360" w:lineRule="auto"/>
        <w:ind w:left="357" w:leftChars="-100" w:hanging="567" w:hangingChars="270"/>
        <w:outlineLvl w:val="9"/>
        <w:rPr>
          <w:rFonts w:hint="eastAsia" w:ascii="宋体" w:hAnsi="宋体" w:eastAsia="宋体" w:cs="宋体"/>
          <w:szCs w:val="21"/>
          <w:highlight w:val="none"/>
        </w:rPr>
      </w:pPr>
    </w:p>
    <w:p w14:paraId="1D3C5668">
      <w:pPr>
        <w:spacing w:line="360" w:lineRule="auto"/>
        <w:ind w:left="357" w:leftChars="-100" w:hanging="567" w:hangingChars="270"/>
        <w:outlineLvl w:val="9"/>
        <w:rPr>
          <w:rFonts w:hint="eastAsia" w:ascii="宋体" w:hAnsi="宋体" w:eastAsia="宋体" w:cs="宋体"/>
          <w:szCs w:val="21"/>
          <w:highlight w:val="none"/>
        </w:rPr>
      </w:pPr>
    </w:p>
    <w:p w14:paraId="20802ADD">
      <w:pPr>
        <w:spacing w:line="360" w:lineRule="auto"/>
        <w:ind w:left="357" w:leftChars="-100" w:hanging="567" w:hangingChars="270"/>
        <w:outlineLvl w:val="9"/>
        <w:rPr>
          <w:rFonts w:hint="eastAsia" w:ascii="宋体" w:hAnsi="宋体" w:eastAsia="宋体" w:cs="宋体"/>
          <w:szCs w:val="21"/>
          <w:highlight w:val="none"/>
        </w:rPr>
      </w:pPr>
    </w:p>
    <w:p w14:paraId="39525AB6">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17B76EED">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08EF87BC">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49A0BE4F">
      <w:pPr>
        <w:autoSpaceDE w:val="0"/>
        <w:autoSpaceDN w:val="0"/>
        <w:adjustRightInd w:val="0"/>
        <w:spacing w:line="360" w:lineRule="auto"/>
        <w:jc w:val="left"/>
        <w:rPr>
          <w:rFonts w:hint="eastAsia" w:ascii="宋体" w:hAnsi="宋体" w:eastAsia="宋体" w:cs="宋体"/>
          <w:b/>
          <w:bCs/>
          <w:kern w:val="0"/>
          <w:sz w:val="30"/>
          <w:szCs w:val="30"/>
          <w:highlight w:val="none"/>
          <w:lang w:val="zh-CN"/>
        </w:rPr>
      </w:pPr>
      <w:r>
        <w:rPr>
          <w:rFonts w:hint="eastAsia" w:ascii="宋体" w:hAnsi="宋体" w:eastAsia="宋体" w:cs="宋体"/>
          <w:b/>
          <w:bCs/>
          <w:color w:val="auto"/>
          <w:szCs w:val="24"/>
          <w:highlight w:val="none"/>
          <w:lang w:val="zh-CN"/>
        </w:rPr>
        <w:t>说明：由投标人使用投标人的企业数字证书电子签名。</w:t>
      </w:r>
      <w:r>
        <w:rPr>
          <w:rFonts w:hint="eastAsia" w:ascii="宋体" w:hAnsi="宋体" w:eastAsia="宋体" w:cs="宋体"/>
          <w:b/>
          <w:bCs/>
          <w:kern w:val="0"/>
          <w:sz w:val="30"/>
          <w:szCs w:val="30"/>
          <w:highlight w:val="none"/>
          <w:lang w:val="zh-CN"/>
        </w:rPr>
        <w:br w:type="page"/>
      </w:r>
      <w:bookmarkStart w:id="641" w:name="_Toc102860426"/>
      <w:bookmarkStart w:id="642" w:name="_Toc27980_WPSOffice_Level2"/>
      <w:bookmarkStart w:id="643" w:name="_Toc13179"/>
      <w:bookmarkStart w:id="644" w:name="_Toc140596937"/>
      <w:bookmarkStart w:id="645" w:name="_Toc142508377"/>
      <w:bookmarkStart w:id="646" w:name="_Toc94107218"/>
      <w:bookmarkStart w:id="647" w:name="_Toc29505"/>
      <w:bookmarkStart w:id="648" w:name="_Toc5473"/>
      <w:bookmarkStart w:id="649" w:name="_Toc104991884"/>
      <w:bookmarkStart w:id="650" w:name="_Toc102860082"/>
      <w:bookmarkStart w:id="651" w:name="_Toc486167717"/>
    </w:p>
    <w:p w14:paraId="5E0931E4">
      <w:pPr>
        <w:autoSpaceDE w:val="0"/>
        <w:autoSpaceDN w:val="0"/>
        <w:adjustRightInd w:val="0"/>
        <w:spacing w:line="360" w:lineRule="auto"/>
        <w:jc w:val="left"/>
        <w:rPr>
          <w:rFonts w:hint="eastAsia" w:ascii="宋体" w:hAnsi="宋体" w:eastAsia="宋体" w:cs="宋体"/>
          <w:b/>
          <w:kern w:val="0"/>
          <w:sz w:val="32"/>
          <w:szCs w:val="32"/>
          <w:highlight w:val="none"/>
          <w:lang w:val="en-US" w:eastAsia="zh-CN"/>
        </w:rPr>
      </w:pPr>
      <w:r>
        <w:rPr>
          <w:rFonts w:hint="eastAsia" w:ascii="宋体" w:hAnsi="宋体" w:eastAsia="宋体" w:cs="宋体"/>
          <w:b/>
          <w:kern w:val="0"/>
          <w:sz w:val="32"/>
          <w:szCs w:val="32"/>
          <w:highlight w:val="none"/>
          <w:lang w:val="en-US" w:eastAsia="zh-CN"/>
        </w:rPr>
        <w:t>八、</w:t>
      </w:r>
      <w:r>
        <w:rPr>
          <w:rFonts w:hint="eastAsia" w:ascii="宋体" w:hAnsi="宋体" w:eastAsia="宋体" w:cs="宋体"/>
          <w:b/>
          <w:kern w:val="0"/>
          <w:sz w:val="32"/>
          <w:szCs w:val="32"/>
          <w:highlight w:val="none"/>
        </w:rPr>
        <w:t>承销金额规模</w:t>
      </w:r>
      <w:r>
        <w:rPr>
          <w:rFonts w:hint="eastAsia" w:ascii="宋体" w:hAnsi="宋体" w:eastAsia="宋体" w:cs="宋体"/>
          <w:b/>
          <w:kern w:val="0"/>
          <w:sz w:val="32"/>
          <w:szCs w:val="32"/>
          <w:highlight w:val="none"/>
          <w:lang w:val="en-US" w:eastAsia="zh-CN"/>
        </w:rPr>
        <w:t>及承销数量</w:t>
      </w:r>
    </w:p>
    <w:p w14:paraId="4E2275C8">
      <w:pPr>
        <w:spacing w:line="360" w:lineRule="auto"/>
        <w:jc w:val="center"/>
        <w:rPr>
          <w:rFonts w:hint="eastAsia" w:ascii="宋体" w:hAnsi="宋体" w:eastAsia="宋体" w:cs="宋体"/>
          <w:b/>
          <w:bCs/>
          <w:color w:val="000000"/>
          <w:kern w:val="2"/>
          <w:sz w:val="30"/>
          <w:szCs w:val="30"/>
          <w:lang w:val="zh-CN"/>
        </w:rPr>
      </w:pPr>
      <w:r>
        <w:rPr>
          <w:rFonts w:hint="eastAsia" w:ascii="宋体" w:hAnsi="宋体" w:eastAsia="宋体" w:cs="宋体"/>
          <w:b/>
          <w:bCs/>
          <w:kern w:val="2"/>
          <w:sz w:val="30"/>
          <w:szCs w:val="30"/>
          <w:lang w:val="zh-CN"/>
        </w:rPr>
        <w:t>投标人</w:t>
      </w:r>
      <w:r>
        <w:rPr>
          <w:rFonts w:hint="eastAsia" w:ascii="宋体" w:hAnsi="宋体" w:eastAsia="宋体" w:cs="宋体"/>
          <w:b/>
          <w:bCs/>
          <w:kern w:val="2"/>
          <w:sz w:val="30"/>
          <w:szCs w:val="30"/>
          <w:lang w:val="en-US" w:eastAsia="zh-CN"/>
        </w:rPr>
        <w:t>2022</w:t>
      </w:r>
      <w:r>
        <w:rPr>
          <w:rFonts w:hint="eastAsia" w:ascii="宋体" w:hAnsi="宋体" w:eastAsia="宋体" w:cs="宋体"/>
          <w:b/>
          <w:bCs/>
          <w:kern w:val="2"/>
          <w:sz w:val="30"/>
          <w:szCs w:val="30"/>
          <w:lang w:val="zh-CN"/>
        </w:rPr>
        <w:t>年1月1日</w:t>
      </w:r>
      <w:r>
        <w:rPr>
          <w:rFonts w:hint="eastAsia" w:ascii="宋体" w:hAnsi="宋体" w:eastAsia="宋体" w:cs="宋体"/>
          <w:b/>
          <w:bCs/>
          <w:kern w:val="2"/>
          <w:sz w:val="30"/>
          <w:szCs w:val="30"/>
          <w:lang w:val="zh-CN" w:eastAsia="zh-CN"/>
        </w:rPr>
        <w:t>至2024年12月31日</w:t>
      </w:r>
      <w:r>
        <w:rPr>
          <w:rFonts w:hint="eastAsia" w:ascii="宋体" w:hAnsi="宋体" w:eastAsia="宋体" w:cs="宋体"/>
          <w:b/>
          <w:bCs/>
          <w:kern w:val="2"/>
          <w:sz w:val="30"/>
          <w:szCs w:val="30"/>
          <w:lang w:val="zh-CN"/>
        </w:rPr>
        <w:t>担任主承销商发行AAA企业公司债的发行总额及数量表</w:t>
      </w:r>
    </w:p>
    <w:p w14:paraId="3221239B">
      <w:pPr>
        <w:pStyle w:val="22"/>
        <w:spacing w:line="360" w:lineRule="auto"/>
        <w:ind w:left="4" w:leftChars="2"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投标人</w:t>
      </w:r>
      <w:r>
        <w:rPr>
          <w:rFonts w:hint="eastAsia" w:ascii="宋体" w:hAnsi="宋体" w:eastAsia="宋体" w:cs="宋体"/>
          <w:color w:val="000000"/>
          <w:sz w:val="21"/>
          <w:szCs w:val="21"/>
          <w:lang w:val="en-US" w:eastAsia="zh-CN"/>
        </w:rPr>
        <w:t>2022</w:t>
      </w:r>
      <w:r>
        <w:rPr>
          <w:rFonts w:hint="eastAsia" w:ascii="宋体" w:hAnsi="宋体" w:eastAsia="宋体" w:cs="宋体"/>
          <w:color w:val="000000"/>
          <w:sz w:val="21"/>
          <w:szCs w:val="21"/>
        </w:rPr>
        <w:t>年1月1日</w:t>
      </w:r>
      <w:r>
        <w:rPr>
          <w:rFonts w:hint="eastAsia" w:hAnsi="宋体" w:cs="宋体"/>
          <w:color w:val="000000"/>
          <w:sz w:val="21"/>
          <w:szCs w:val="21"/>
          <w:lang w:val="en-US" w:eastAsia="zh-CN"/>
        </w:rPr>
        <w:t>至</w:t>
      </w:r>
      <w:r>
        <w:rPr>
          <w:rStyle w:val="204"/>
          <w:rFonts w:hint="eastAsia" w:ascii="宋体" w:hAnsi="宋体" w:eastAsia="宋体" w:cs="宋体"/>
          <w:sz w:val="21"/>
          <w:lang w:val="en-US" w:eastAsia="zh-CN"/>
        </w:rPr>
        <w:t>2024年12月31日</w:t>
      </w:r>
      <w:r>
        <w:rPr>
          <w:rFonts w:hint="eastAsia" w:ascii="宋体" w:hAnsi="宋体" w:eastAsia="宋体" w:cs="宋体"/>
          <w:color w:val="000000"/>
          <w:sz w:val="21"/>
          <w:szCs w:val="21"/>
        </w:rPr>
        <w:t>，</w:t>
      </w:r>
      <w:r>
        <w:rPr>
          <w:rStyle w:val="204"/>
          <w:rFonts w:hint="eastAsia" w:ascii="宋体" w:hAnsi="宋体" w:eastAsia="宋体" w:cs="宋体"/>
          <w:sz w:val="21"/>
        </w:rPr>
        <w:t>全国范围内，投标人担任主承销商发行的AAA企业公司债的发行总额及数量表</w:t>
      </w:r>
      <w:r>
        <w:rPr>
          <w:rFonts w:hint="eastAsia" w:ascii="宋体" w:hAnsi="宋体" w:eastAsia="宋体" w:cs="宋体"/>
          <w:color w:val="000000"/>
          <w:sz w:val="21"/>
          <w:szCs w:val="21"/>
        </w:rPr>
        <w:t>。</w:t>
      </w:r>
    </w:p>
    <w:p w14:paraId="6EEEE95C">
      <w:pPr>
        <w:pStyle w:val="22"/>
        <w:spacing w:line="360" w:lineRule="auto"/>
        <w:ind w:left="4" w:leftChars="2" w:firstLine="420" w:firstLineChars="200"/>
        <w:rPr>
          <w:rFonts w:hint="eastAsia" w:ascii="宋体" w:hAnsi="宋体" w:eastAsia="宋体" w:cs="宋体"/>
          <w:color w:val="000000"/>
          <w:sz w:val="21"/>
          <w:szCs w:val="21"/>
          <w:u w:val="single"/>
        </w:rPr>
      </w:pPr>
      <w:r>
        <w:rPr>
          <w:rFonts w:hint="eastAsia" w:ascii="宋体" w:hAnsi="宋体" w:eastAsia="宋体" w:cs="宋体"/>
          <w:color w:val="000000"/>
          <w:sz w:val="21"/>
          <w:szCs w:val="21"/>
          <w:lang w:val="en-US" w:eastAsia="zh-CN"/>
        </w:rPr>
        <w:t>2022</w:t>
      </w:r>
      <w:r>
        <w:rPr>
          <w:rFonts w:hint="eastAsia" w:ascii="宋体" w:hAnsi="宋体" w:eastAsia="宋体" w:cs="宋体"/>
          <w:color w:val="000000"/>
          <w:sz w:val="21"/>
          <w:szCs w:val="21"/>
        </w:rPr>
        <w:t>年1月1日</w:t>
      </w:r>
      <w:r>
        <w:rPr>
          <w:rFonts w:hint="eastAsia" w:hAnsi="宋体" w:cs="宋体"/>
          <w:color w:val="000000"/>
          <w:sz w:val="21"/>
          <w:szCs w:val="21"/>
          <w:lang w:val="en-US" w:eastAsia="zh-CN"/>
        </w:rPr>
        <w:t>至</w:t>
      </w:r>
      <w:r>
        <w:rPr>
          <w:rStyle w:val="204"/>
          <w:rFonts w:hint="eastAsia" w:ascii="宋体" w:hAnsi="宋体" w:eastAsia="宋体" w:cs="宋体"/>
          <w:sz w:val="21"/>
          <w:lang w:val="en-US" w:eastAsia="zh-CN"/>
        </w:rPr>
        <w:t>2024年12月31日</w:t>
      </w:r>
      <w:r>
        <w:rPr>
          <w:rFonts w:hint="eastAsia" w:ascii="宋体" w:hAnsi="宋体" w:eastAsia="宋体" w:cs="宋体"/>
          <w:color w:val="000000"/>
          <w:sz w:val="21"/>
          <w:szCs w:val="21"/>
        </w:rPr>
        <w:t>，全国范围内，我公司担任</w:t>
      </w:r>
      <w:r>
        <w:rPr>
          <w:rStyle w:val="204"/>
          <w:rFonts w:hint="eastAsia" w:ascii="宋体" w:hAnsi="宋体" w:eastAsia="宋体" w:cs="宋体"/>
          <w:sz w:val="21"/>
        </w:rPr>
        <w:t>主承销商发行的AAA企业公司债的发行总额为</w:t>
      </w:r>
      <w:r>
        <w:rPr>
          <w:rStyle w:val="204"/>
          <w:rFonts w:hint="eastAsia" w:ascii="宋体" w:hAnsi="宋体" w:eastAsia="宋体" w:cs="宋体"/>
          <w:sz w:val="21"/>
          <w:u w:val="single"/>
        </w:rPr>
        <w:t xml:space="preserve"> </w:t>
      </w:r>
      <w:r>
        <w:rPr>
          <w:rStyle w:val="204"/>
          <w:rFonts w:hint="eastAsia" w:hAnsi="宋体" w:cs="宋体"/>
          <w:sz w:val="21"/>
          <w:u w:val="single"/>
          <w:lang w:val="en-US" w:eastAsia="zh-CN"/>
        </w:rPr>
        <w:t xml:space="preserve">  </w:t>
      </w:r>
      <w:r>
        <w:rPr>
          <w:rStyle w:val="204"/>
          <w:rFonts w:hint="eastAsia" w:ascii="宋体" w:hAnsi="宋体" w:eastAsia="宋体" w:cs="宋体"/>
          <w:sz w:val="21"/>
          <w:u w:val="single"/>
        </w:rPr>
        <w:t xml:space="preserve"> </w:t>
      </w:r>
      <w:r>
        <w:rPr>
          <w:rStyle w:val="204"/>
          <w:rFonts w:hint="eastAsia" w:ascii="宋体" w:hAnsi="宋体" w:eastAsia="宋体" w:cs="宋体"/>
          <w:sz w:val="21"/>
        </w:rPr>
        <w:t>亿元，</w:t>
      </w:r>
      <w:r>
        <w:rPr>
          <w:rFonts w:hint="eastAsia" w:hAnsi="宋体" w:cs="宋体"/>
          <w:sz w:val="21"/>
          <w:szCs w:val="21"/>
          <w:lang w:val="en-US" w:eastAsia="zh-CN"/>
        </w:rPr>
        <w:t>承销数量</w:t>
      </w:r>
      <w:r>
        <w:rPr>
          <w:rStyle w:val="204"/>
          <w:rFonts w:hint="eastAsia" w:ascii="宋体" w:hAnsi="宋体" w:eastAsia="宋体" w:cs="宋体"/>
          <w:sz w:val="21"/>
        </w:rPr>
        <w:t>共</w:t>
      </w:r>
      <w:r>
        <w:rPr>
          <w:rStyle w:val="204"/>
          <w:rFonts w:hint="eastAsia" w:ascii="宋体" w:hAnsi="宋体" w:eastAsia="宋体" w:cs="宋体"/>
          <w:sz w:val="21"/>
          <w:u w:val="single"/>
        </w:rPr>
        <w:t xml:space="preserve"> </w:t>
      </w:r>
      <w:r>
        <w:rPr>
          <w:rStyle w:val="204"/>
          <w:rFonts w:hint="eastAsia" w:ascii="宋体" w:hAnsi="宋体" w:eastAsia="宋体" w:cs="宋体"/>
          <w:sz w:val="21"/>
          <w:u w:val="single"/>
          <w:lang w:val="en-US" w:eastAsia="zh-CN"/>
        </w:rPr>
        <w:t xml:space="preserve"> </w:t>
      </w:r>
      <w:r>
        <w:rPr>
          <w:rStyle w:val="204"/>
          <w:rFonts w:hint="eastAsia" w:hAnsi="宋体" w:cs="宋体"/>
          <w:sz w:val="21"/>
          <w:u w:val="single"/>
          <w:lang w:val="en-US" w:eastAsia="zh-CN"/>
        </w:rPr>
        <w:t xml:space="preserve"> </w:t>
      </w:r>
      <w:r>
        <w:rPr>
          <w:rStyle w:val="204"/>
          <w:rFonts w:hint="eastAsia" w:ascii="宋体" w:hAnsi="宋体" w:eastAsia="宋体" w:cs="宋体"/>
          <w:sz w:val="21"/>
          <w:u w:val="single"/>
        </w:rPr>
        <w:t xml:space="preserve">  </w:t>
      </w:r>
      <w:r>
        <w:rPr>
          <w:rStyle w:val="204"/>
          <w:rFonts w:hint="eastAsia" w:ascii="宋体" w:hAnsi="宋体" w:eastAsia="宋体" w:cs="宋体"/>
          <w:sz w:val="21"/>
        </w:rPr>
        <w:t>笔，具体如下表所示：</w:t>
      </w:r>
    </w:p>
    <w:tbl>
      <w:tblPr>
        <w:tblStyle w:val="37"/>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23" w:type="dxa"/>
          <w:bottom w:w="0" w:type="dxa"/>
          <w:right w:w="23" w:type="dxa"/>
        </w:tblCellMar>
      </w:tblPr>
      <w:tblGrid>
        <w:gridCol w:w="544"/>
        <w:gridCol w:w="1033"/>
        <w:gridCol w:w="1035"/>
        <w:gridCol w:w="544"/>
        <w:gridCol w:w="1770"/>
        <w:gridCol w:w="2507"/>
        <w:gridCol w:w="1525"/>
        <w:gridCol w:w="544"/>
      </w:tblGrid>
      <w:tr w14:paraId="5D6AE7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3" w:type="dxa"/>
            <w:bottom w:w="0" w:type="dxa"/>
            <w:right w:w="23" w:type="dxa"/>
          </w:tblCellMar>
        </w:tblPrEx>
        <w:trPr>
          <w:trHeight w:val="838" w:hRule="atLeast"/>
          <w:jc w:val="center"/>
        </w:trPr>
        <w:tc>
          <w:tcPr>
            <w:tcW w:w="284" w:type="pct"/>
            <w:tcBorders>
              <w:top w:val="single" w:color="auto" w:sz="4" w:space="0"/>
              <w:left w:val="single" w:color="auto" w:sz="4" w:space="0"/>
              <w:bottom w:val="single" w:color="auto" w:sz="4" w:space="0"/>
              <w:right w:val="single" w:color="auto" w:sz="4" w:space="0"/>
            </w:tcBorders>
            <w:noWrap w:val="0"/>
            <w:vAlign w:val="center"/>
          </w:tcPr>
          <w:p w14:paraId="4C593126">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序号</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045DF8BF">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证券简称</w:t>
            </w:r>
          </w:p>
        </w:tc>
        <w:tc>
          <w:tcPr>
            <w:tcW w:w="541" w:type="pct"/>
            <w:tcBorders>
              <w:top w:val="single" w:color="auto" w:sz="4" w:space="0"/>
              <w:left w:val="single" w:color="auto" w:sz="4" w:space="0"/>
              <w:bottom w:val="single" w:color="auto" w:sz="4" w:space="0"/>
              <w:right w:val="single" w:color="auto" w:sz="4" w:space="0"/>
            </w:tcBorders>
            <w:noWrap w:val="0"/>
            <w:vAlign w:val="center"/>
          </w:tcPr>
          <w:p w14:paraId="3707E465">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发行日期</w:t>
            </w:r>
          </w:p>
        </w:tc>
        <w:tc>
          <w:tcPr>
            <w:tcW w:w="284" w:type="pct"/>
            <w:tcBorders>
              <w:top w:val="single" w:color="auto" w:sz="4" w:space="0"/>
              <w:left w:val="single" w:color="auto" w:sz="4" w:space="0"/>
              <w:bottom w:val="single" w:color="auto" w:sz="4" w:space="0"/>
              <w:right w:val="single" w:color="auto" w:sz="4" w:space="0"/>
            </w:tcBorders>
            <w:noWrap w:val="0"/>
            <w:vAlign w:val="center"/>
          </w:tcPr>
          <w:p w14:paraId="7EF44C20">
            <w:pPr>
              <w:spacing w:line="360" w:lineRule="auto"/>
              <w:jc w:val="center"/>
              <w:rPr>
                <w:rFonts w:hint="eastAsia" w:ascii="宋体" w:hAnsi="宋体" w:eastAsia="宋体" w:cs="宋体"/>
                <w:kern w:val="2"/>
                <w:sz w:val="21"/>
                <w:szCs w:val="21"/>
                <w:lang w:val="zh-CN"/>
              </w:rPr>
            </w:pPr>
            <w:r>
              <w:rPr>
                <w:rFonts w:hint="eastAsia" w:ascii="宋体" w:hAnsi="宋体" w:eastAsia="宋体" w:cs="宋体"/>
                <w:kern w:val="2"/>
                <w:sz w:val="21"/>
                <w:szCs w:val="21"/>
                <w:lang w:val="zh-CN"/>
              </w:rPr>
              <w:t>评级</w:t>
            </w:r>
          </w:p>
        </w:tc>
        <w:tc>
          <w:tcPr>
            <w:tcW w:w="925" w:type="pct"/>
            <w:tcBorders>
              <w:top w:val="single" w:color="auto" w:sz="4" w:space="0"/>
              <w:left w:val="single" w:color="auto" w:sz="4" w:space="0"/>
              <w:bottom w:val="single" w:color="auto" w:sz="4" w:space="0"/>
              <w:right w:val="single" w:color="auto" w:sz="4" w:space="0"/>
            </w:tcBorders>
            <w:noWrap w:val="0"/>
            <w:vAlign w:val="center"/>
          </w:tcPr>
          <w:p w14:paraId="53607316">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债券期限（年）</w:t>
            </w:r>
          </w:p>
        </w:tc>
        <w:tc>
          <w:tcPr>
            <w:tcW w:w="1310" w:type="pct"/>
            <w:tcBorders>
              <w:top w:val="single" w:color="auto" w:sz="4" w:space="0"/>
              <w:left w:val="single" w:color="auto" w:sz="4" w:space="0"/>
              <w:bottom w:val="single" w:color="auto" w:sz="4" w:space="0"/>
              <w:right w:val="single" w:color="auto" w:sz="4" w:space="0"/>
            </w:tcBorders>
            <w:noWrap w:val="0"/>
            <w:vAlign w:val="center"/>
          </w:tcPr>
          <w:p w14:paraId="661FBBBF">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实际发行金额（亿元）</w:t>
            </w:r>
          </w:p>
        </w:tc>
        <w:tc>
          <w:tcPr>
            <w:tcW w:w="797" w:type="pct"/>
            <w:tcBorders>
              <w:top w:val="single" w:color="auto" w:sz="4" w:space="0"/>
              <w:left w:val="single" w:color="auto" w:sz="4" w:space="0"/>
              <w:bottom w:val="single" w:color="auto" w:sz="4" w:space="0"/>
              <w:right w:val="single" w:color="auto" w:sz="4" w:space="0"/>
            </w:tcBorders>
            <w:noWrap w:val="0"/>
            <w:vAlign w:val="center"/>
          </w:tcPr>
          <w:p w14:paraId="2415FC72">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rPr>
              <w:t>主承销商</w:t>
            </w:r>
          </w:p>
        </w:tc>
        <w:tc>
          <w:tcPr>
            <w:tcW w:w="284" w:type="pct"/>
            <w:tcBorders>
              <w:top w:val="single" w:color="auto" w:sz="4" w:space="0"/>
              <w:left w:val="single" w:color="auto" w:sz="4" w:space="0"/>
              <w:bottom w:val="single" w:color="auto" w:sz="4" w:space="0"/>
              <w:right w:val="single" w:color="auto" w:sz="4" w:space="0"/>
            </w:tcBorders>
            <w:noWrap w:val="0"/>
            <w:vAlign w:val="center"/>
          </w:tcPr>
          <w:p w14:paraId="4443147A">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lang w:val="zh-CN"/>
              </w:rPr>
              <w:t>备注</w:t>
            </w:r>
          </w:p>
        </w:tc>
      </w:tr>
      <w:tr w14:paraId="720C75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3" w:type="dxa"/>
            <w:bottom w:w="0" w:type="dxa"/>
            <w:right w:w="23" w:type="dxa"/>
          </w:tblCellMar>
        </w:tblPrEx>
        <w:trPr>
          <w:trHeight w:val="564" w:hRule="atLeast"/>
          <w:jc w:val="center"/>
        </w:trPr>
        <w:tc>
          <w:tcPr>
            <w:tcW w:w="284" w:type="pct"/>
            <w:tcBorders>
              <w:top w:val="single" w:color="auto" w:sz="4" w:space="0"/>
              <w:left w:val="single" w:color="auto" w:sz="4" w:space="0"/>
              <w:bottom w:val="single" w:color="auto" w:sz="4" w:space="0"/>
              <w:right w:val="single" w:color="auto" w:sz="4" w:space="0"/>
            </w:tcBorders>
            <w:noWrap w:val="0"/>
            <w:vAlign w:val="center"/>
          </w:tcPr>
          <w:p w14:paraId="0E2A450D">
            <w:pPr>
              <w:spacing w:line="360" w:lineRule="auto"/>
              <w:jc w:val="center"/>
              <w:rPr>
                <w:rFonts w:hint="eastAsia" w:ascii="宋体" w:hAnsi="宋体" w:eastAsia="宋体" w:cs="宋体"/>
                <w:kern w:val="2"/>
                <w:sz w:val="21"/>
                <w:szCs w:val="21"/>
                <w:lang w:val="zh-CN"/>
              </w:rPr>
            </w:pPr>
            <w:r>
              <w:rPr>
                <w:rFonts w:hint="eastAsia" w:ascii="宋体" w:hAnsi="宋体" w:eastAsia="宋体" w:cs="宋体"/>
                <w:kern w:val="2"/>
                <w:sz w:val="21"/>
                <w:szCs w:val="21"/>
                <w:lang w:val="zh-CN"/>
              </w:rPr>
              <w:t>1</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5E4E7AAD">
            <w:pPr>
              <w:spacing w:line="360" w:lineRule="auto"/>
              <w:jc w:val="center"/>
              <w:rPr>
                <w:rFonts w:hint="eastAsia" w:ascii="宋体" w:hAnsi="宋体" w:eastAsia="宋体" w:cs="宋体"/>
                <w:kern w:val="2"/>
                <w:sz w:val="21"/>
                <w:szCs w:val="21"/>
              </w:rPr>
            </w:pPr>
          </w:p>
        </w:tc>
        <w:tc>
          <w:tcPr>
            <w:tcW w:w="541" w:type="pct"/>
            <w:tcBorders>
              <w:top w:val="single" w:color="auto" w:sz="4" w:space="0"/>
              <w:left w:val="single" w:color="auto" w:sz="4" w:space="0"/>
              <w:bottom w:val="single" w:color="auto" w:sz="4" w:space="0"/>
              <w:right w:val="single" w:color="auto" w:sz="4" w:space="0"/>
            </w:tcBorders>
            <w:noWrap w:val="0"/>
            <w:vAlign w:val="center"/>
          </w:tcPr>
          <w:p w14:paraId="07CFF218">
            <w:pPr>
              <w:spacing w:line="360" w:lineRule="auto"/>
              <w:jc w:val="center"/>
              <w:rPr>
                <w:rFonts w:hint="eastAsia" w:ascii="宋体" w:hAnsi="宋体" w:eastAsia="宋体" w:cs="宋体"/>
                <w:kern w:val="2"/>
                <w:sz w:val="21"/>
                <w:szCs w:val="21"/>
              </w:rPr>
            </w:pPr>
          </w:p>
        </w:tc>
        <w:tc>
          <w:tcPr>
            <w:tcW w:w="284" w:type="pct"/>
            <w:tcBorders>
              <w:top w:val="single" w:color="auto" w:sz="4" w:space="0"/>
              <w:left w:val="single" w:color="auto" w:sz="4" w:space="0"/>
              <w:bottom w:val="single" w:color="auto" w:sz="4" w:space="0"/>
              <w:right w:val="single" w:color="auto" w:sz="4" w:space="0"/>
            </w:tcBorders>
            <w:noWrap w:val="0"/>
            <w:vAlign w:val="center"/>
          </w:tcPr>
          <w:p w14:paraId="3D158FCF">
            <w:pPr>
              <w:spacing w:line="360" w:lineRule="auto"/>
              <w:jc w:val="center"/>
              <w:rPr>
                <w:rFonts w:hint="eastAsia" w:ascii="宋体" w:hAnsi="宋体" w:eastAsia="宋体" w:cs="宋体"/>
                <w:kern w:val="2"/>
                <w:sz w:val="21"/>
                <w:szCs w:val="21"/>
              </w:rPr>
            </w:pPr>
          </w:p>
        </w:tc>
        <w:tc>
          <w:tcPr>
            <w:tcW w:w="925" w:type="pct"/>
            <w:tcBorders>
              <w:top w:val="single" w:color="auto" w:sz="4" w:space="0"/>
              <w:left w:val="single" w:color="auto" w:sz="4" w:space="0"/>
              <w:bottom w:val="single" w:color="auto" w:sz="4" w:space="0"/>
              <w:right w:val="single" w:color="auto" w:sz="4" w:space="0"/>
            </w:tcBorders>
            <w:noWrap w:val="0"/>
            <w:vAlign w:val="center"/>
          </w:tcPr>
          <w:p w14:paraId="42425BFE">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rPr>
              <w:t>如为3+2年，则填3+2，以此类推。</w:t>
            </w:r>
          </w:p>
        </w:tc>
        <w:tc>
          <w:tcPr>
            <w:tcW w:w="1310" w:type="pct"/>
            <w:tcBorders>
              <w:top w:val="single" w:color="auto" w:sz="4" w:space="0"/>
              <w:left w:val="single" w:color="auto" w:sz="4" w:space="0"/>
              <w:bottom w:val="single" w:color="auto" w:sz="4" w:space="0"/>
              <w:right w:val="single" w:color="auto" w:sz="4" w:space="0"/>
            </w:tcBorders>
            <w:noWrap w:val="0"/>
            <w:vAlign w:val="center"/>
          </w:tcPr>
          <w:p w14:paraId="3FFC7DA2">
            <w:pPr>
              <w:spacing w:line="360" w:lineRule="auto"/>
              <w:jc w:val="center"/>
              <w:rPr>
                <w:rFonts w:hint="eastAsia" w:ascii="宋体" w:hAnsi="宋体" w:eastAsia="宋体" w:cs="宋体"/>
                <w:kern w:val="2"/>
                <w:sz w:val="21"/>
                <w:szCs w:val="21"/>
              </w:rPr>
            </w:pPr>
          </w:p>
        </w:tc>
        <w:tc>
          <w:tcPr>
            <w:tcW w:w="797" w:type="pct"/>
            <w:tcBorders>
              <w:top w:val="single" w:color="auto" w:sz="4" w:space="0"/>
              <w:left w:val="single" w:color="auto" w:sz="4" w:space="0"/>
              <w:bottom w:val="single" w:color="auto" w:sz="4" w:space="0"/>
              <w:right w:val="single" w:color="auto" w:sz="4" w:space="0"/>
            </w:tcBorders>
            <w:noWrap w:val="0"/>
            <w:vAlign w:val="center"/>
          </w:tcPr>
          <w:p w14:paraId="5605C42C">
            <w:pPr>
              <w:spacing w:line="360" w:lineRule="auto"/>
              <w:jc w:val="center"/>
              <w:rPr>
                <w:rFonts w:hint="eastAsia" w:ascii="宋体" w:hAnsi="宋体" w:eastAsia="宋体" w:cs="宋体"/>
                <w:kern w:val="2"/>
                <w:sz w:val="21"/>
                <w:szCs w:val="21"/>
              </w:rPr>
            </w:pPr>
          </w:p>
        </w:tc>
        <w:tc>
          <w:tcPr>
            <w:tcW w:w="284" w:type="pct"/>
            <w:tcBorders>
              <w:top w:val="single" w:color="auto" w:sz="4" w:space="0"/>
              <w:left w:val="single" w:color="auto" w:sz="4" w:space="0"/>
              <w:bottom w:val="single" w:color="auto" w:sz="4" w:space="0"/>
              <w:right w:val="single" w:color="auto" w:sz="4" w:space="0"/>
            </w:tcBorders>
            <w:noWrap w:val="0"/>
            <w:vAlign w:val="center"/>
          </w:tcPr>
          <w:p w14:paraId="05959A53">
            <w:pPr>
              <w:spacing w:line="360" w:lineRule="auto"/>
              <w:jc w:val="center"/>
              <w:rPr>
                <w:rFonts w:hint="eastAsia" w:ascii="宋体" w:hAnsi="宋体" w:eastAsia="宋体" w:cs="宋体"/>
                <w:kern w:val="2"/>
                <w:sz w:val="21"/>
                <w:szCs w:val="21"/>
              </w:rPr>
            </w:pPr>
          </w:p>
        </w:tc>
      </w:tr>
      <w:tr w14:paraId="682477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3" w:type="dxa"/>
            <w:bottom w:w="0" w:type="dxa"/>
            <w:right w:w="23" w:type="dxa"/>
          </w:tblCellMar>
        </w:tblPrEx>
        <w:trPr>
          <w:trHeight w:val="558" w:hRule="atLeast"/>
          <w:jc w:val="center"/>
        </w:trPr>
        <w:tc>
          <w:tcPr>
            <w:tcW w:w="284" w:type="pct"/>
            <w:tcBorders>
              <w:top w:val="single" w:color="auto" w:sz="4" w:space="0"/>
              <w:left w:val="single" w:color="auto" w:sz="4" w:space="0"/>
              <w:bottom w:val="single" w:color="auto" w:sz="4" w:space="0"/>
              <w:right w:val="single" w:color="auto" w:sz="4" w:space="0"/>
            </w:tcBorders>
            <w:noWrap w:val="0"/>
            <w:vAlign w:val="center"/>
          </w:tcPr>
          <w:p w14:paraId="09B9E196">
            <w:pPr>
              <w:spacing w:line="360" w:lineRule="auto"/>
              <w:jc w:val="center"/>
              <w:rPr>
                <w:rFonts w:hint="eastAsia" w:ascii="宋体" w:hAnsi="宋体" w:eastAsia="宋体" w:cs="宋体"/>
                <w:kern w:val="2"/>
                <w:sz w:val="21"/>
                <w:szCs w:val="21"/>
                <w:lang w:val="zh-CN"/>
              </w:rPr>
            </w:pPr>
            <w:r>
              <w:rPr>
                <w:rFonts w:hint="eastAsia" w:ascii="宋体" w:hAnsi="宋体" w:eastAsia="宋体" w:cs="宋体"/>
                <w:kern w:val="2"/>
                <w:sz w:val="21"/>
                <w:szCs w:val="21"/>
                <w:lang w:val="zh-CN"/>
              </w:rPr>
              <w:t>…</w:t>
            </w:r>
          </w:p>
        </w:tc>
        <w:tc>
          <w:tcPr>
            <w:tcW w:w="540" w:type="pct"/>
            <w:tcBorders>
              <w:top w:val="single" w:color="auto" w:sz="4" w:space="0"/>
              <w:left w:val="single" w:color="auto" w:sz="4" w:space="0"/>
              <w:bottom w:val="single" w:color="auto" w:sz="4" w:space="0"/>
              <w:right w:val="single" w:color="auto" w:sz="4" w:space="0"/>
            </w:tcBorders>
            <w:noWrap w:val="0"/>
            <w:vAlign w:val="center"/>
          </w:tcPr>
          <w:p w14:paraId="59EE3B97">
            <w:pPr>
              <w:spacing w:line="360" w:lineRule="auto"/>
              <w:jc w:val="center"/>
              <w:rPr>
                <w:rFonts w:hint="eastAsia" w:ascii="宋体" w:hAnsi="宋体" w:eastAsia="宋体" w:cs="宋体"/>
                <w:kern w:val="2"/>
                <w:sz w:val="21"/>
                <w:szCs w:val="21"/>
              </w:rPr>
            </w:pPr>
          </w:p>
        </w:tc>
        <w:tc>
          <w:tcPr>
            <w:tcW w:w="541" w:type="pct"/>
            <w:tcBorders>
              <w:top w:val="single" w:color="auto" w:sz="4" w:space="0"/>
              <w:left w:val="single" w:color="auto" w:sz="4" w:space="0"/>
              <w:bottom w:val="single" w:color="auto" w:sz="4" w:space="0"/>
              <w:right w:val="single" w:color="auto" w:sz="4" w:space="0"/>
            </w:tcBorders>
            <w:noWrap w:val="0"/>
            <w:vAlign w:val="center"/>
          </w:tcPr>
          <w:p w14:paraId="4B89C71D">
            <w:pPr>
              <w:spacing w:line="360" w:lineRule="auto"/>
              <w:jc w:val="center"/>
              <w:rPr>
                <w:rFonts w:hint="eastAsia" w:ascii="宋体" w:hAnsi="宋体" w:eastAsia="宋体" w:cs="宋体"/>
                <w:kern w:val="2"/>
                <w:sz w:val="21"/>
                <w:szCs w:val="21"/>
              </w:rPr>
            </w:pPr>
          </w:p>
        </w:tc>
        <w:tc>
          <w:tcPr>
            <w:tcW w:w="284" w:type="pct"/>
            <w:tcBorders>
              <w:top w:val="single" w:color="auto" w:sz="4" w:space="0"/>
              <w:left w:val="single" w:color="auto" w:sz="4" w:space="0"/>
              <w:bottom w:val="single" w:color="auto" w:sz="4" w:space="0"/>
              <w:right w:val="single" w:color="auto" w:sz="4" w:space="0"/>
            </w:tcBorders>
            <w:noWrap w:val="0"/>
            <w:vAlign w:val="center"/>
          </w:tcPr>
          <w:p w14:paraId="64138A8D">
            <w:pPr>
              <w:spacing w:line="360" w:lineRule="auto"/>
              <w:jc w:val="center"/>
              <w:rPr>
                <w:rFonts w:hint="eastAsia" w:ascii="宋体" w:hAnsi="宋体" w:eastAsia="宋体" w:cs="宋体"/>
                <w:kern w:val="2"/>
                <w:sz w:val="21"/>
                <w:szCs w:val="21"/>
              </w:rPr>
            </w:pPr>
          </w:p>
        </w:tc>
        <w:tc>
          <w:tcPr>
            <w:tcW w:w="925" w:type="pct"/>
            <w:tcBorders>
              <w:top w:val="single" w:color="auto" w:sz="4" w:space="0"/>
              <w:left w:val="single" w:color="auto" w:sz="4" w:space="0"/>
              <w:bottom w:val="single" w:color="auto" w:sz="4" w:space="0"/>
              <w:right w:val="single" w:color="auto" w:sz="4" w:space="0"/>
            </w:tcBorders>
            <w:noWrap w:val="0"/>
            <w:vAlign w:val="center"/>
          </w:tcPr>
          <w:p w14:paraId="614F5D36">
            <w:pPr>
              <w:spacing w:line="360" w:lineRule="auto"/>
              <w:jc w:val="center"/>
              <w:rPr>
                <w:rFonts w:hint="eastAsia" w:ascii="宋体" w:hAnsi="宋体" w:eastAsia="宋体" w:cs="宋体"/>
                <w:kern w:val="2"/>
                <w:sz w:val="21"/>
                <w:szCs w:val="21"/>
              </w:rPr>
            </w:pPr>
          </w:p>
        </w:tc>
        <w:tc>
          <w:tcPr>
            <w:tcW w:w="1310" w:type="pct"/>
            <w:tcBorders>
              <w:top w:val="single" w:color="auto" w:sz="4" w:space="0"/>
              <w:left w:val="single" w:color="auto" w:sz="4" w:space="0"/>
              <w:bottom w:val="single" w:color="auto" w:sz="4" w:space="0"/>
              <w:right w:val="single" w:color="auto" w:sz="4" w:space="0"/>
            </w:tcBorders>
            <w:noWrap w:val="0"/>
            <w:vAlign w:val="center"/>
          </w:tcPr>
          <w:p w14:paraId="75A9333C">
            <w:pPr>
              <w:spacing w:line="360" w:lineRule="auto"/>
              <w:jc w:val="center"/>
              <w:rPr>
                <w:rFonts w:hint="eastAsia" w:ascii="宋体" w:hAnsi="宋体" w:eastAsia="宋体" w:cs="宋体"/>
                <w:kern w:val="2"/>
                <w:sz w:val="21"/>
                <w:szCs w:val="21"/>
              </w:rPr>
            </w:pPr>
          </w:p>
        </w:tc>
        <w:tc>
          <w:tcPr>
            <w:tcW w:w="797" w:type="pct"/>
            <w:tcBorders>
              <w:top w:val="single" w:color="auto" w:sz="4" w:space="0"/>
              <w:left w:val="single" w:color="auto" w:sz="4" w:space="0"/>
              <w:bottom w:val="single" w:color="auto" w:sz="4" w:space="0"/>
              <w:right w:val="single" w:color="auto" w:sz="4" w:space="0"/>
            </w:tcBorders>
            <w:noWrap w:val="0"/>
            <w:vAlign w:val="center"/>
          </w:tcPr>
          <w:p w14:paraId="6D4C4A7E">
            <w:pPr>
              <w:spacing w:line="360" w:lineRule="auto"/>
              <w:jc w:val="center"/>
              <w:rPr>
                <w:rFonts w:hint="eastAsia" w:ascii="宋体" w:hAnsi="宋体" w:eastAsia="宋体" w:cs="宋体"/>
                <w:kern w:val="2"/>
                <w:sz w:val="21"/>
                <w:szCs w:val="21"/>
              </w:rPr>
            </w:pPr>
          </w:p>
        </w:tc>
        <w:tc>
          <w:tcPr>
            <w:tcW w:w="284" w:type="pct"/>
            <w:tcBorders>
              <w:top w:val="single" w:color="auto" w:sz="4" w:space="0"/>
              <w:left w:val="single" w:color="auto" w:sz="4" w:space="0"/>
              <w:bottom w:val="single" w:color="auto" w:sz="4" w:space="0"/>
              <w:right w:val="single" w:color="auto" w:sz="4" w:space="0"/>
            </w:tcBorders>
            <w:noWrap w:val="0"/>
            <w:vAlign w:val="center"/>
          </w:tcPr>
          <w:p w14:paraId="5401719B">
            <w:pPr>
              <w:spacing w:line="360" w:lineRule="auto"/>
              <w:jc w:val="center"/>
              <w:rPr>
                <w:rFonts w:hint="eastAsia" w:ascii="宋体" w:hAnsi="宋体" w:eastAsia="宋体" w:cs="宋体"/>
                <w:kern w:val="2"/>
                <w:sz w:val="21"/>
                <w:szCs w:val="21"/>
              </w:rPr>
            </w:pPr>
          </w:p>
        </w:tc>
      </w:tr>
      <w:tr w14:paraId="03254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3" w:type="dxa"/>
            <w:bottom w:w="0" w:type="dxa"/>
            <w:right w:w="23" w:type="dxa"/>
          </w:tblCellMar>
        </w:tblPrEx>
        <w:trPr>
          <w:trHeight w:val="563" w:hRule="atLeast"/>
          <w:jc w:val="center"/>
        </w:trPr>
        <w:tc>
          <w:tcPr>
            <w:tcW w:w="284" w:type="pct"/>
            <w:tcBorders>
              <w:top w:val="single" w:color="auto" w:sz="4" w:space="0"/>
              <w:left w:val="single" w:color="auto" w:sz="4" w:space="0"/>
              <w:bottom w:val="single" w:color="auto" w:sz="4" w:space="0"/>
              <w:right w:val="single" w:color="auto" w:sz="4" w:space="0"/>
            </w:tcBorders>
            <w:noWrap w:val="0"/>
            <w:vAlign w:val="center"/>
          </w:tcPr>
          <w:p w14:paraId="2A13ABA1">
            <w:pPr>
              <w:spacing w:line="360" w:lineRule="auto"/>
              <w:jc w:val="center"/>
              <w:rPr>
                <w:rFonts w:hint="eastAsia" w:ascii="宋体" w:hAnsi="宋体" w:eastAsia="宋体" w:cs="宋体"/>
                <w:kern w:val="2"/>
                <w:sz w:val="21"/>
                <w:szCs w:val="21"/>
              </w:rPr>
            </w:pPr>
            <w:r>
              <w:rPr>
                <w:rFonts w:hint="eastAsia" w:ascii="宋体" w:hAnsi="宋体" w:eastAsia="宋体" w:cs="宋体"/>
                <w:kern w:val="2"/>
                <w:sz w:val="21"/>
                <w:szCs w:val="21"/>
              </w:rPr>
              <w:t>合计</w:t>
            </w:r>
          </w:p>
        </w:tc>
        <w:tc>
          <w:tcPr>
            <w:tcW w:w="540" w:type="pct"/>
            <w:tcBorders>
              <w:top w:val="single" w:color="auto" w:sz="4" w:space="0"/>
              <w:left w:val="single" w:color="auto" w:sz="4" w:space="0"/>
              <w:bottom w:val="single" w:color="auto" w:sz="4" w:space="0"/>
              <w:right w:val="single" w:color="auto" w:sz="4" w:space="0"/>
              <w:tr2bl w:val="single" w:color="auto" w:sz="4" w:space="0"/>
            </w:tcBorders>
            <w:noWrap w:val="0"/>
            <w:vAlign w:val="center"/>
          </w:tcPr>
          <w:p w14:paraId="35880A84">
            <w:pPr>
              <w:spacing w:line="360" w:lineRule="auto"/>
              <w:jc w:val="center"/>
              <w:rPr>
                <w:rFonts w:hint="eastAsia" w:ascii="宋体" w:hAnsi="宋体" w:eastAsia="宋体" w:cs="宋体"/>
                <w:kern w:val="2"/>
                <w:sz w:val="21"/>
                <w:szCs w:val="21"/>
              </w:rPr>
            </w:pPr>
          </w:p>
        </w:tc>
        <w:tc>
          <w:tcPr>
            <w:tcW w:w="541" w:type="pct"/>
            <w:tcBorders>
              <w:top w:val="single" w:color="auto" w:sz="4" w:space="0"/>
              <w:left w:val="single" w:color="auto" w:sz="4" w:space="0"/>
              <w:bottom w:val="single" w:color="auto" w:sz="4" w:space="0"/>
              <w:right w:val="single" w:color="auto" w:sz="4" w:space="0"/>
              <w:tr2bl w:val="single" w:color="auto" w:sz="4" w:space="0"/>
            </w:tcBorders>
            <w:noWrap w:val="0"/>
            <w:vAlign w:val="center"/>
          </w:tcPr>
          <w:p w14:paraId="43E87BBB">
            <w:pPr>
              <w:spacing w:line="360" w:lineRule="auto"/>
              <w:jc w:val="center"/>
              <w:rPr>
                <w:rFonts w:hint="eastAsia" w:ascii="宋体" w:hAnsi="宋体" w:eastAsia="宋体" w:cs="宋体"/>
                <w:kern w:val="2"/>
                <w:sz w:val="21"/>
                <w:szCs w:val="21"/>
              </w:rPr>
            </w:pPr>
          </w:p>
        </w:tc>
        <w:tc>
          <w:tcPr>
            <w:tcW w:w="284" w:type="pct"/>
            <w:tcBorders>
              <w:top w:val="single" w:color="auto" w:sz="4" w:space="0"/>
              <w:left w:val="single" w:color="auto" w:sz="4" w:space="0"/>
              <w:bottom w:val="single" w:color="auto" w:sz="4" w:space="0"/>
              <w:right w:val="single" w:color="auto" w:sz="4" w:space="0"/>
              <w:tr2bl w:val="single" w:color="auto" w:sz="4" w:space="0"/>
            </w:tcBorders>
            <w:noWrap w:val="0"/>
            <w:vAlign w:val="center"/>
          </w:tcPr>
          <w:p w14:paraId="50FA6CCF">
            <w:pPr>
              <w:spacing w:line="360" w:lineRule="auto"/>
              <w:jc w:val="center"/>
              <w:rPr>
                <w:rFonts w:hint="eastAsia" w:ascii="宋体" w:hAnsi="宋体" w:eastAsia="宋体" w:cs="宋体"/>
                <w:kern w:val="2"/>
                <w:sz w:val="21"/>
                <w:szCs w:val="21"/>
              </w:rPr>
            </w:pPr>
          </w:p>
        </w:tc>
        <w:tc>
          <w:tcPr>
            <w:tcW w:w="925" w:type="pct"/>
            <w:tcBorders>
              <w:top w:val="single" w:color="auto" w:sz="4" w:space="0"/>
              <w:left w:val="single" w:color="auto" w:sz="4" w:space="0"/>
              <w:bottom w:val="single" w:color="auto" w:sz="4" w:space="0"/>
              <w:right w:val="single" w:color="auto" w:sz="4" w:space="0"/>
              <w:tr2bl w:val="single" w:color="auto" w:sz="4" w:space="0"/>
            </w:tcBorders>
            <w:noWrap w:val="0"/>
            <w:vAlign w:val="center"/>
          </w:tcPr>
          <w:p w14:paraId="4166449D">
            <w:pPr>
              <w:spacing w:line="360" w:lineRule="auto"/>
              <w:jc w:val="center"/>
              <w:rPr>
                <w:rFonts w:hint="eastAsia" w:ascii="宋体" w:hAnsi="宋体" w:eastAsia="宋体" w:cs="宋体"/>
                <w:kern w:val="2"/>
                <w:sz w:val="21"/>
                <w:szCs w:val="21"/>
              </w:rPr>
            </w:pPr>
          </w:p>
        </w:tc>
        <w:tc>
          <w:tcPr>
            <w:tcW w:w="1310" w:type="pct"/>
            <w:tcBorders>
              <w:top w:val="single" w:color="auto" w:sz="4" w:space="0"/>
              <w:left w:val="single" w:color="auto" w:sz="4" w:space="0"/>
              <w:bottom w:val="single" w:color="auto" w:sz="4" w:space="0"/>
              <w:right w:val="single" w:color="auto" w:sz="4" w:space="0"/>
            </w:tcBorders>
            <w:noWrap w:val="0"/>
            <w:vAlign w:val="center"/>
          </w:tcPr>
          <w:p w14:paraId="12858D32">
            <w:pPr>
              <w:spacing w:line="360" w:lineRule="auto"/>
              <w:jc w:val="center"/>
              <w:rPr>
                <w:rFonts w:hint="eastAsia" w:ascii="宋体" w:hAnsi="宋体" w:eastAsia="宋体" w:cs="宋体"/>
                <w:kern w:val="2"/>
                <w:sz w:val="21"/>
                <w:szCs w:val="21"/>
              </w:rPr>
            </w:pPr>
          </w:p>
        </w:tc>
        <w:tc>
          <w:tcPr>
            <w:tcW w:w="797" w:type="pct"/>
            <w:tcBorders>
              <w:top w:val="single" w:color="auto" w:sz="4" w:space="0"/>
              <w:left w:val="single" w:color="auto" w:sz="4" w:space="0"/>
              <w:bottom w:val="single" w:color="auto" w:sz="4" w:space="0"/>
              <w:right w:val="single" w:color="auto" w:sz="4" w:space="0"/>
            </w:tcBorders>
            <w:noWrap w:val="0"/>
            <w:vAlign w:val="center"/>
          </w:tcPr>
          <w:p w14:paraId="28FA725E">
            <w:pPr>
              <w:spacing w:line="360" w:lineRule="auto"/>
              <w:jc w:val="center"/>
              <w:rPr>
                <w:rFonts w:hint="eastAsia" w:ascii="宋体" w:hAnsi="宋体" w:eastAsia="宋体" w:cs="宋体"/>
                <w:kern w:val="2"/>
                <w:sz w:val="21"/>
                <w:szCs w:val="21"/>
              </w:rPr>
            </w:pPr>
          </w:p>
          <w:p w14:paraId="0DD95290"/>
        </w:tc>
        <w:tc>
          <w:tcPr>
            <w:tcW w:w="284" w:type="pct"/>
            <w:tcBorders>
              <w:top w:val="single" w:color="auto" w:sz="4" w:space="0"/>
              <w:left w:val="single" w:color="auto" w:sz="4" w:space="0"/>
              <w:bottom w:val="single" w:color="auto" w:sz="4" w:space="0"/>
              <w:right w:val="single" w:color="auto" w:sz="4" w:space="0"/>
            </w:tcBorders>
            <w:noWrap w:val="0"/>
            <w:vAlign w:val="center"/>
          </w:tcPr>
          <w:p w14:paraId="3DDB6FBF">
            <w:pPr>
              <w:spacing w:line="360" w:lineRule="auto"/>
              <w:jc w:val="center"/>
              <w:rPr>
                <w:rFonts w:hint="eastAsia" w:ascii="宋体" w:hAnsi="宋体" w:eastAsia="宋体" w:cs="宋体"/>
                <w:kern w:val="2"/>
                <w:sz w:val="21"/>
                <w:szCs w:val="21"/>
              </w:rPr>
            </w:pPr>
          </w:p>
        </w:tc>
      </w:tr>
    </w:tbl>
    <w:p w14:paraId="4F730247">
      <w:pPr>
        <w:snapToGrid w:val="0"/>
        <w:spacing w:line="360" w:lineRule="auto"/>
        <w:ind w:left="396" w:leftChars="-58" w:hanging="518" w:hangingChars="247"/>
        <w:rPr>
          <w:rFonts w:hint="eastAsia" w:ascii="宋体" w:hAnsi="宋体" w:eastAsia="宋体" w:cs="宋体"/>
          <w:color w:val="000000"/>
          <w:kern w:val="2"/>
          <w:sz w:val="21"/>
          <w:lang w:val="zh-CN"/>
        </w:rPr>
      </w:pPr>
    </w:p>
    <w:p w14:paraId="1E10103D">
      <w:pPr>
        <w:snapToGrid w:val="0"/>
        <w:spacing w:line="360" w:lineRule="auto"/>
        <w:ind w:left="396" w:leftChars="-58" w:hanging="518" w:hangingChars="247"/>
        <w:rPr>
          <w:rFonts w:hint="eastAsia" w:ascii="宋体" w:hAnsi="宋体" w:eastAsia="宋体" w:cs="宋体"/>
          <w:color w:val="000000"/>
          <w:kern w:val="2"/>
          <w:sz w:val="21"/>
          <w:lang w:val="zh-CN"/>
        </w:rPr>
      </w:pPr>
      <w:r>
        <w:rPr>
          <w:rFonts w:hint="eastAsia" w:ascii="宋体" w:hAnsi="宋体" w:eastAsia="宋体" w:cs="宋体"/>
          <w:color w:val="000000"/>
          <w:kern w:val="2"/>
          <w:sz w:val="21"/>
          <w:lang w:val="zh-CN"/>
        </w:rPr>
        <w:t>备注：</w:t>
      </w:r>
    </w:p>
    <w:p w14:paraId="7651203A">
      <w:pPr>
        <w:spacing w:before="120" w:beforeLines="50" w:line="360" w:lineRule="auto"/>
        <w:ind w:left="420" w:hanging="420" w:hangingChars="200"/>
        <w:rPr>
          <w:rFonts w:hint="eastAsia" w:ascii="宋体" w:hAnsi="宋体" w:eastAsia="宋体" w:cs="宋体"/>
          <w:sz w:val="21"/>
          <w:szCs w:val="21"/>
        </w:rPr>
      </w:pPr>
      <w:r>
        <w:rPr>
          <w:rFonts w:hint="eastAsia" w:ascii="宋体" w:hAnsi="宋体" w:eastAsia="宋体" w:cs="宋体"/>
          <w:sz w:val="21"/>
          <w:szCs w:val="21"/>
        </w:rPr>
        <w:t>（1）</w:t>
      </w:r>
      <w:r>
        <w:rPr>
          <w:rStyle w:val="204"/>
          <w:rFonts w:hint="eastAsia" w:ascii="宋体" w:hAnsi="宋体" w:eastAsia="宋体" w:cs="宋体"/>
          <w:sz w:val="21"/>
        </w:rPr>
        <w:t>需提供WIND系统查询获取的截屏图片</w:t>
      </w:r>
      <w:r>
        <w:rPr>
          <w:rStyle w:val="204"/>
          <w:rFonts w:hint="eastAsia" w:ascii="宋体" w:hAnsi="宋体" w:eastAsia="宋体" w:cs="宋体"/>
          <w:sz w:val="21"/>
          <w:lang w:val="en-US" w:eastAsia="zh-CN"/>
        </w:rPr>
        <w:t>加盖投标人公章</w:t>
      </w:r>
      <w:r>
        <w:rPr>
          <w:rStyle w:val="204"/>
          <w:rFonts w:hint="eastAsia" w:ascii="宋体" w:hAnsi="宋体" w:eastAsia="宋体" w:cs="宋体"/>
          <w:sz w:val="21"/>
          <w:lang w:eastAsia="zh-CN"/>
        </w:rPr>
        <w:t>【wind</w:t>
      </w:r>
      <w:r>
        <w:rPr>
          <w:rStyle w:val="204"/>
          <w:rFonts w:hint="eastAsia" w:ascii="宋体" w:hAnsi="宋体" w:eastAsia="宋体" w:cs="宋体"/>
          <w:sz w:val="21"/>
        </w:rPr>
        <w:t>系统</w:t>
      </w:r>
      <w:r>
        <w:rPr>
          <w:rStyle w:val="204"/>
          <w:rFonts w:hint="eastAsia" w:ascii="宋体" w:hAnsi="宋体" w:eastAsia="宋体" w:cs="宋体"/>
          <w:sz w:val="21"/>
          <w:lang w:eastAsia="zh-CN"/>
        </w:rPr>
        <w:t>查询路径：债券专题</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承销统计</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债券承销排名（wind口径）</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任意区间选择“2022-01-01</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到“2024-12-31</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，机构类型选择“证券</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，债券分类选择“公司债”，主体评级选择“AAA”，不包括自主自办发行，</w:t>
      </w:r>
      <w:r>
        <w:rPr>
          <w:rStyle w:val="204"/>
          <w:rFonts w:hint="eastAsia" w:ascii="宋体" w:hAnsi="宋体" w:eastAsia="宋体" w:cs="宋体"/>
          <w:sz w:val="21"/>
          <w:lang w:val="en-US" w:eastAsia="zh-CN"/>
        </w:rPr>
        <w:t>筛选</w:t>
      </w:r>
      <w:r>
        <w:rPr>
          <w:rStyle w:val="204"/>
          <w:rFonts w:hint="eastAsia" w:ascii="宋体" w:hAnsi="宋体" w:eastAsia="宋体" w:cs="宋体"/>
          <w:sz w:val="21"/>
          <w:lang w:eastAsia="zh-CN"/>
        </w:rPr>
        <w:t>合并母子公司，剩余选项保持默认。】</w:t>
      </w:r>
      <w:r>
        <w:rPr>
          <w:rStyle w:val="204"/>
          <w:rFonts w:hint="eastAsia" w:ascii="宋体" w:hAnsi="宋体" w:eastAsia="宋体" w:cs="宋体"/>
          <w:sz w:val="21"/>
        </w:rPr>
        <w:t>图片内容至少包含</w:t>
      </w:r>
      <w:r>
        <w:rPr>
          <w:rStyle w:val="204"/>
          <w:rFonts w:hint="eastAsia" w:ascii="宋体" w:hAnsi="宋体" w:eastAsia="宋体" w:cs="宋体"/>
          <w:b/>
          <w:bCs/>
          <w:sz w:val="21"/>
        </w:rPr>
        <w:t>证券简称、发行日期、评级、债券期限、实际发行金额、主承销商、票面利率等信息</w:t>
      </w:r>
      <w:r>
        <w:rPr>
          <w:rStyle w:val="204"/>
          <w:rFonts w:hint="eastAsia" w:ascii="宋体" w:hAnsi="宋体" w:eastAsia="宋体" w:cs="宋体"/>
          <w:sz w:val="21"/>
          <w:lang w:eastAsia="zh-CN"/>
        </w:rPr>
        <w:t>；</w:t>
      </w:r>
    </w:p>
    <w:p w14:paraId="600D1259">
      <w:pPr>
        <w:spacing w:before="120" w:beforeLines="50" w:line="360" w:lineRule="auto"/>
        <w:ind w:left="420" w:hanging="420" w:hangingChars="200"/>
        <w:rPr>
          <w:rFonts w:hint="eastAsia" w:ascii="宋体" w:hAnsi="宋体" w:eastAsia="宋体" w:cs="宋体"/>
          <w:sz w:val="21"/>
          <w:szCs w:val="21"/>
        </w:rPr>
      </w:pPr>
      <w:r>
        <w:rPr>
          <w:rFonts w:hint="eastAsia" w:ascii="宋体" w:hAnsi="宋体" w:eastAsia="宋体" w:cs="宋体"/>
          <w:sz w:val="21"/>
          <w:szCs w:val="21"/>
        </w:rPr>
        <w:t>（2）未按上述要求提供证明材料的，或所附材料无法证明填报项目属投标人完成的或符合本项评分要求的，在评标时将不予考虑。</w:t>
      </w:r>
    </w:p>
    <w:p w14:paraId="76AA1C78">
      <w:pPr>
        <w:outlineLvl w:val="9"/>
        <w:rPr>
          <w:rFonts w:hint="eastAsia" w:ascii="宋体" w:hAnsi="宋体" w:eastAsia="宋体" w:cs="宋体"/>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）发行总额按实际发行金额合计数统计，</w:t>
      </w:r>
      <w:r>
        <w:rPr>
          <w:rFonts w:hint="eastAsia" w:ascii="宋体" w:hAnsi="宋体" w:eastAsia="宋体" w:cs="宋体"/>
          <w:sz w:val="21"/>
          <w:szCs w:val="21"/>
          <w:lang w:val="en-US" w:eastAsia="zh-CN"/>
        </w:rPr>
        <w:t>承销数量</w:t>
      </w:r>
      <w:r>
        <w:rPr>
          <w:rFonts w:hint="eastAsia" w:ascii="宋体" w:hAnsi="宋体" w:eastAsia="宋体" w:cs="宋体"/>
          <w:sz w:val="21"/>
          <w:szCs w:val="21"/>
        </w:rPr>
        <w:t>按序号统计。</w:t>
      </w:r>
    </w:p>
    <w:p w14:paraId="0CEE1564">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p>
    <w:p w14:paraId="25762433">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E2B5105">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4BE71092">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2FB71984">
      <w:pPr>
        <w:autoSpaceDE w:val="0"/>
        <w:autoSpaceDN w:val="0"/>
        <w:adjustRightInd w:val="0"/>
        <w:spacing w:line="360" w:lineRule="auto"/>
        <w:jc w:val="left"/>
        <w:rPr>
          <w:rFonts w:hint="eastAsia" w:ascii="宋体" w:hAnsi="宋体" w:eastAsia="宋体" w:cs="宋体"/>
          <w:b/>
          <w:kern w:val="0"/>
          <w:sz w:val="32"/>
          <w:szCs w:val="32"/>
          <w:highlight w:val="none"/>
          <w:lang w:val="en-US" w:eastAsia="zh-CN"/>
        </w:rPr>
      </w:pPr>
      <w:r>
        <w:rPr>
          <w:rFonts w:hint="eastAsia" w:ascii="宋体" w:hAnsi="宋体" w:eastAsia="宋体" w:cs="宋体"/>
          <w:b/>
          <w:bCs/>
          <w:color w:val="auto"/>
          <w:szCs w:val="24"/>
          <w:highlight w:val="none"/>
          <w:lang w:val="zh-CN"/>
        </w:rPr>
        <w:t>说明：由投标人使用投标人的企业数字证书电子签名。</w:t>
      </w:r>
    </w:p>
    <w:p w14:paraId="6B408602">
      <w:pPr>
        <w:autoSpaceDE w:val="0"/>
        <w:autoSpaceDN w:val="0"/>
        <w:adjustRightInd w:val="0"/>
        <w:spacing w:line="360" w:lineRule="auto"/>
        <w:jc w:val="left"/>
        <w:rPr>
          <w:rFonts w:hint="eastAsia" w:ascii="宋体" w:hAnsi="宋体" w:eastAsia="宋体" w:cs="宋体"/>
          <w:b/>
          <w:kern w:val="0"/>
          <w:sz w:val="32"/>
          <w:szCs w:val="32"/>
          <w:highlight w:val="none"/>
          <w:lang w:val="en-US" w:eastAsia="zh-CN"/>
        </w:rPr>
      </w:pPr>
    </w:p>
    <w:p w14:paraId="70A2EF7D">
      <w:pPr>
        <w:keepNext w:val="0"/>
        <w:keepLines w:val="0"/>
        <w:pageBreakBefore/>
        <w:widowControl w:val="0"/>
        <w:numPr>
          <w:ilvl w:val="-1"/>
          <w:numId w:val="0"/>
        </w:numPr>
        <w:tabs>
          <w:tab w:val="left" w:pos="567"/>
        </w:tabs>
        <w:kinsoku/>
        <w:wordWrap/>
        <w:overflowPunct/>
        <w:topLinePunct w:val="0"/>
        <w:autoSpaceDE/>
        <w:autoSpaceDN/>
        <w:bidi w:val="0"/>
        <w:adjustRightInd/>
        <w:snapToGrid/>
        <w:spacing w:line="360" w:lineRule="auto"/>
        <w:ind w:left="0" w:firstLine="0"/>
        <w:jc w:val="left"/>
        <w:textAlignment w:val="auto"/>
        <w:outlineLvl w:val="9"/>
        <w:rPr>
          <w:rFonts w:hint="eastAsia" w:ascii="宋体" w:hAnsi="宋体" w:eastAsia="宋体" w:cs="宋体"/>
          <w:b/>
          <w:bCs/>
          <w:sz w:val="30"/>
          <w:szCs w:val="30"/>
        </w:rPr>
      </w:pPr>
      <w:r>
        <w:rPr>
          <w:rFonts w:hint="eastAsia" w:ascii="宋体" w:hAnsi="宋体" w:eastAsia="宋体" w:cs="宋体"/>
          <w:b/>
          <w:kern w:val="0"/>
          <w:sz w:val="32"/>
          <w:szCs w:val="32"/>
          <w:highlight w:val="none"/>
          <w:lang w:val="en-US" w:eastAsia="zh-CN"/>
        </w:rPr>
        <w:t>九、</w:t>
      </w:r>
      <w:r>
        <w:rPr>
          <w:rFonts w:hint="eastAsia" w:ascii="宋体" w:hAnsi="宋体" w:eastAsia="宋体" w:cs="宋体"/>
          <w:b/>
          <w:bCs/>
          <w:sz w:val="30"/>
          <w:szCs w:val="30"/>
        </w:rPr>
        <w:t>债券业务执业质量</w:t>
      </w:r>
    </w:p>
    <w:p w14:paraId="1A4980E8">
      <w:pPr>
        <w:keepNext w:val="0"/>
        <w:keepLines w:val="0"/>
        <w:pageBreakBefore w:val="0"/>
        <w:widowControl w:val="0"/>
        <w:numPr>
          <w:ilvl w:val="-1"/>
          <w:numId w:val="0"/>
        </w:numPr>
        <w:tabs>
          <w:tab w:val="left" w:pos="567"/>
        </w:tabs>
        <w:kinsoku/>
        <w:wordWrap/>
        <w:overflowPunct/>
        <w:topLinePunct w:val="0"/>
        <w:autoSpaceDE/>
        <w:autoSpaceDN/>
        <w:bidi w:val="0"/>
        <w:adjustRightInd/>
        <w:snapToGrid/>
        <w:spacing w:line="360" w:lineRule="auto"/>
        <w:ind w:left="0" w:firstLine="420" w:firstLineChars="200"/>
        <w:jc w:val="left"/>
        <w:textAlignment w:val="auto"/>
        <w:outlineLvl w:val="9"/>
        <w:rPr>
          <w:rFonts w:hint="eastAsia" w:ascii="宋体" w:hAnsi="宋体" w:eastAsia="宋体" w:cs="宋体"/>
          <w:b/>
          <w:bCs/>
          <w:sz w:val="21"/>
          <w:szCs w:val="21"/>
          <w:lang w:val="en-US" w:eastAsia="zh-CN"/>
        </w:rPr>
      </w:pPr>
      <w:r>
        <w:rPr>
          <w:rStyle w:val="204"/>
          <w:rFonts w:ascii="宋体" w:hAnsi="宋体" w:eastAsia="宋体" w:cs="宋体"/>
          <w:sz w:val="21"/>
          <w:szCs w:val="21"/>
        </w:rPr>
        <w:t>备注：</w:t>
      </w:r>
      <w:r>
        <w:rPr>
          <w:rStyle w:val="204"/>
          <w:rFonts w:hint="eastAsia" w:ascii="宋体" w:hAnsi="宋体" w:eastAsia="宋体" w:cs="宋体"/>
          <w:sz w:val="21"/>
          <w:szCs w:val="21"/>
          <w:lang w:val="en-US" w:eastAsia="zh-CN"/>
        </w:rPr>
        <w:t>提供中国证券业协会网站查询的截图加盖投标人公章</w:t>
      </w:r>
      <w:r>
        <w:rPr>
          <w:rStyle w:val="204"/>
          <w:rFonts w:hint="eastAsia" w:ascii="宋体" w:hAnsi="宋体" w:eastAsia="宋体" w:cs="宋体"/>
          <w:b/>
          <w:bCs/>
          <w:sz w:val="21"/>
          <w:szCs w:val="21"/>
          <w:lang w:val="en-US" w:eastAsia="zh-CN"/>
        </w:rPr>
        <w:t>（</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截图</w:t>
      </w:r>
      <w:r>
        <w:rPr>
          <w:rFonts w:hint="eastAsia" w:ascii="宋体" w:hAnsi="宋体" w:eastAsia="宋体" w:cs="Times New Roman"/>
          <w:b/>
          <w:bCs/>
          <w:color w:val="000000" w:themeColor="text1"/>
          <w:kern w:val="0"/>
          <w:szCs w:val="21"/>
          <w:highlight w:val="none"/>
          <w14:textFill>
            <w14:solidFill>
              <w14:schemeClr w14:val="tx1"/>
            </w14:solidFill>
          </w14:textFill>
        </w:rPr>
        <w:t>界面需显示有“</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中国证券业协会</w:t>
      </w:r>
      <w:r>
        <w:rPr>
          <w:rFonts w:hint="eastAsia" w:ascii="宋体" w:hAnsi="宋体" w:eastAsia="宋体" w:cs="Times New Roman"/>
          <w:b/>
          <w:bCs/>
          <w:color w:val="000000" w:themeColor="text1"/>
          <w:kern w:val="0"/>
          <w:szCs w:val="21"/>
          <w:highlight w:val="none"/>
          <w14:textFill>
            <w14:solidFill>
              <w14:schemeClr w14:val="tx1"/>
            </w14:solidFill>
          </w14:textFill>
        </w:rPr>
        <w:t>”或“</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显示网站为</w:t>
      </w:r>
      <w:r>
        <w:rPr>
          <w:rStyle w:val="204"/>
          <w:rFonts w:hint="eastAsia" w:ascii="宋体" w:hAnsi="宋体" w:eastAsia="宋体" w:cs="宋体"/>
          <w:b/>
          <w:bCs/>
          <w:sz w:val="21"/>
          <w:szCs w:val="21"/>
          <w:lang w:val="en-US" w:eastAsia="zh-CN"/>
        </w:rPr>
        <w:t>https://www.sac.net.cn/</w:t>
      </w:r>
      <w:r>
        <w:rPr>
          <w:rFonts w:hint="eastAsia" w:ascii="宋体" w:hAnsi="宋体" w:eastAsia="宋体" w:cs="Times New Roman"/>
          <w:b/>
          <w:bCs/>
          <w:color w:val="000000" w:themeColor="text1"/>
          <w:kern w:val="0"/>
          <w:szCs w:val="21"/>
          <w:highlight w:val="none"/>
          <w14:textFill>
            <w14:solidFill>
              <w14:schemeClr w14:val="tx1"/>
            </w14:solidFill>
          </w14:textFill>
        </w:rPr>
        <w:t>”</w:t>
      </w:r>
      <w:r>
        <w:rPr>
          <w:rStyle w:val="204"/>
          <w:rFonts w:hint="eastAsia" w:ascii="宋体" w:hAnsi="宋体" w:eastAsia="宋体" w:cs="宋体"/>
          <w:b/>
          <w:bCs/>
          <w:sz w:val="21"/>
          <w:szCs w:val="21"/>
          <w:lang w:val="en-US" w:eastAsia="zh-CN"/>
        </w:rPr>
        <w:t>）</w:t>
      </w:r>
    </w:p>
    <w:p w14:paraId="7C611B39">
      <w:pPr>
        <w:autoSpaceDE w:val="0"/>
        <w:autoSpaceDN w:val="0"/>
        <w:adjustRightInd w:val="0"/>
        <w:spacing w:line="360" w:lineRule="auto"/>
        <w:jc w:val="left"/>
        <w:rPr>
          <w:rFonts w:hint="eastAsia" w:ascii="宋体" w:hAnsi="宋体" w:eastAsia="宋体" w:cs="宋体"/>
          <w:b/>
          <w:kern w:val="0"/>
          <w:sz w:val="32"/>
          <w:szCs w:val="32"/>
          <w:highlight w:val="none"/>
          <w:lang w:val="en-US" w:eastAsia="zh-CN"/>
        </w:rPr>
      </w:pPr>
    </w:p>
    <w:p w14:paraId="2E10E527">
      <w:pPr>
        <w:pageBreakBefore/>
        <w:autoSpaceDE w:val="0"/>
        <w:autoSpaceDN w:val="0"/>
        <w:adjustRightInd w:val="0"/>
        <w:spacing w:line="360" w:lineRule="auto"/>
        <w:jc w:val="left"/>
        <w:rPr>
          <w:rFonts w:hint="eastAsia" w:ascii="宋体" w:hAnsi="宋体" w:eastAsia="宋体" w:cs="宋体"/>
          <w:b/>
          <w:kern w:val="0"/>
          <w:sz w:val="32"/>
          <w:szCs w:val="32"/>
          <w:highlight w:val="none"/>
          <w:lang w:val="zh-CN" w:eastAsia="zh-CN"/>
        </w:rPr>
      </w:pPr>
      <w:r>
        <w:rPr>
          <w:rFonts w:hint="eastAsia" w:ascii="宋体" w:hAnsi="宋体" w:eastAsia="宋体" w:cs="宋体"/>
          <w:b/>
          <w:kern w:val="0"/>
          <w:sz w:val="32"/>
          <w:szCs w:val="32"/>
          <w:highlight w:val="none"/>
          <w:lang w:val="en-US" w:eastAsia="zh-CN"/>
        </w:rPr>
        <w:t>十、</w:t>
      </w:r>
      <w:r>
        <w:rPr>
          <w:rFonts w:hint="eastAsia" w:ascii="宋体" w:hAnsi="宋体" w:eastAsia="宋体" w:cs="宋体"/>
          <w:b/>
          <w:kern w:val="0"/>
          <w:sz w:val="32"/>
          <w:szCs w:val="32"/>
          <w:highlight w:val="none"/>
          <w:lang w:val="zh-CN" w:eastAsia="zh-CN"/>
        </w:rPr>
        <w:t>中标服务费承诺书格式</w:t>
      </w:r>
    </w:p>
    <w:p w14:paraId="257988CA">
      <w:pPr>
        <w:spacing w:line="360" w:lineRule="auto"/>
        <w:jc w:val="center"/>
        <w:outlineLvl w:val="9"/>
        <w:rPr>
          <w:rFonts w:hint="eastAsia" w:ascii="宋体" w:hAnsi="宋体" w:eastAsia="宋体" w:cs="宋体"/>
          <w:b/>
          <w:bCs/>
          <w:kern w:val="2"/>
          <w:sz w:val="30"/>
          <w:szCs w:val="30"/>
          <w:lang w:val="zh-CN"/>
        </w:rPr>
      </w:pPr>
      <w:r>
        <w:rPr>
          <w:rFonts w:hint="eastAsia" w:ascii="宋体" w:hAnsi="宋体" w:eastAsia="宋体" w:cs="宋体"/>
          <w:b/>
          <w:bCs/>
          <w:kern w:val="2"/>
          <w:sz w:val="30"/>
          <w:szCs w:val="30"/>
          <w:lang w:val="zh-CN"/>
        </w:rPr>
        <w:t>中标服务费承诺书</w:t>
      </w:r>
    </w:p>
    <w:p w14:paraId="52E593EE">
      <w:pPr>
        <w:spacing w:line="360" w:lineRule="auto"/>
        <w:jc w:val="both"/>
        <w:outlineLvl w:val="9"/>
        <w:rPr>
          <w:rFonts w:hint="eastAsia" w:ascii="宋体" w:hAnsi="宋体" w:eastAsia="宋体" w:cs="宋体"/>
          <w:b/>
          <w:bCs/>
          <w:kern w:val="2"/>
          <w:lang w:val="zh-CN"/>
        </w:rPr>
      </w:pPr>
    </w:p>
    <w:p w14:paraId="02D0B426">
      <w:pPr>
        <w:spacing w:line="360" w:lineRule="auto"/>
        <w:jc w:val="both"/>
        <w:outlineLvl w:val="9"/>
        <w:rPr>
          <w:rFonts w:hint="eastAsia" w:ascii="宋体" w:hAnsi="宋体" w:eastAsia="宋体" w:cs="宋体"/>
          <w:b/>
          <w:bCs/>
          <w:kern w:val="2"/>
          <w:sz w:val="21"/>
          <w:szCs w:val="21"/>
          <w:lang w:val="zh-CN"/>
        </w:rPr>
      </w:pPr>
      <w:r>
        <w:rPr>
          <w:rFonts w:hint="eastAsia" w:ascii="宋体" w:hAnsi="宋体" w:eastAsia="宋体" w:cs="宋体"/>
          <w:b/>
          <w:bCs/>
          <w:kern w:val="2"/>
          <w:sz w:val="21"/>
          <w:szCs w:val="21"/>
          <w:lang w:val="zh-CN"/>
        </w:rPr>
        <w:t>致：广东有德招标采购有限公司</w:t>
      </w:r>
    </w:p>
    <w:p w14:paraId="0F5D294B">
      <w:pPr>
        <w:spacing w:line="360" w:lineRule="auto"/>
        <w:ind w:right="893"/>
        <w:jc w:val="both"/>
        <w:outlineLvl w:val="9"/>
        <w:rPr>
          <w:rFonts w:hint="eastAsia" w:ascii="宋体" w:hAnsi="宋体" w:eastAsia="宋体" w:cs="宋体"/>
          <w:kern w:val="2"/>
          <w:sz w:val="21"/>
          <w:szCs w:val="21"/>
          <w:lang w:val="zh-CN"/>
        </w:rPr>
      </w:pPr>
    </w:p>
    <w:p w14:paraId="79D21975">
      <w:pPr>
        <w:tabs>
          <w:tab w:val="left" w:pos="-142"/>
        </w:tabs>
        <w:spacing w:line="360" w:lineRule="auto"/>
        <w:ind w:left="-31" w:leftChars="-15" w:right="18" w:firstLine="457" w:firstLineChars="218"/>
        <w:jc w:val="both"/>
        <w:outlineLvl w:val="9"/>
        <w:rPr>
          <w:rFonts w:hint="eastAsia" w:ascii="宋体" w:hAnsi="宋体" w:eastAsia="宋体" w:cs="宋体"/>
          <w:kern w:val="2"/>
          <w:sz w:val="21"/>
          <w:lang w:val="zh-CN"/>
        </w:rPr>
      </w:pPr>
      <w:r>
        <w:rPr>
          <w:rFonts w:hint="eastAsia" w:ascii="宋体" w:hAnsi="宋体" w:eastAsia="宋体" w:cs="宋体"/>
          <w:kern w:val="2"/>
          <w:sz w:val="21"/>
          <w:lang w:val="zh-CN"/>
        </w:rPr>
        <w:t>在贵司代理的</w:t>
      </w:r>
      <w:r>
        <w:rPr>
          <w:rFonts w:hint="eastAsia" w:ascii="宋体" w:hAnsi="宋体" w:eastAsia="宋体" w:cs="宋体"/>
          <w:szCs w:val="21"/>
          <w:highlight w:val="none"/>
          <w:u w:val="single"/>
          <w:lang w:val="zh-CN"/>
        </w:rPr>
        <w:t>东莞市水务环境投资控股集团有限公司注册发行60亿元公司债承销商采购项目（重新招标）</w:t>
      </w:r>
      <w:r>
        <w:rPr>
          <w:rFonts w:hint="eastAsia" w:ascii="宋体" w:hAnsi="宋体" w:eastAsia="宋体" w:cs="宋体"/>
          <w:kern w:val="2"/>
          <w:sz w:val="21"/>
          <w:szCs w:val="21"/>
          <w:lang w:val="zh-CN"/>
        </w:rPr>
        <w:t>（招标编号：</w:t>
      </w:r>
      <w:r>
        <w:rPr>
          <w:rFonts w:hint="eastAsia" w:ascii="宋体" w:hAnsi="宋体" w:eastAsia="宋体" w:cs="宋体"/>
          <w:szCs w:val="21"/>
          <w:highlight w:val="none"/>
          <w:lang w:val="zh-CN"/>
        </w:rPr>
        <w:t xml:space="preserve">                                 </w:t>
      </w:r>
      <w:r>
        <w:rPr>
          <w:rFonts w:hint="eastAsia" w:ascii="宋体" w:hAnsi="宋体" w:eastAsia="宋体" w:cs="宋体"/>
          <w:kern w:val="2"/>
          <w:sz w:val="21"/>
          <w:szCs w:val="21"/>
          <w:lang w:val="zh-CN"/>
        </w:rPr>
        <w:t>）</w:t>
      </w:r>
      <w:r>
        <w:rPr>
          <w:rFonts w:hint="eastAsia" w:ascii="宋体" w:hAnsi="宋体" w:eastAsia="宋体" w:cs="宋体"/>
          <w:kern w:val="2"/>
          <w:sz w:val="21"/>
          <w:lang w:val="zh-CN"/>
        </w:rPr>
        <w:t>招标中，我司如获中标，保证在领取中标通知书原件之</w:t>
      </w:r>
      <w:r>
        <w:rPr>
          <w:rFonts w:hint="eastAsia" w:ascii="宋体" w:hAnsi="宋体" w:eastAsia="宋体" w:cs="宋体"/>
          <w:kern w:val="2"/>
          <w:sz w:val="21"/>
        </w:rPr>
        <w:t>前</w:t>
      </w:r>
      <w:r>
        <w:rPr>
          <w:rFonts w:hint="eastAsia" w:ascii="宋体" w:hAnsi="宋体" w:eastAsia="宋体" w:cs="宋体"/>
          <w:kern w:val="2"/>
          <w:sz w:val="21"/>
          <w:lang w:val="zh-CN"/>
        </w:rPr>
        <w:t>按招标文件的规定向贵</w:t>
      </w:r>
      <w:r>
        <w:rPr>
          <w:rFonts w:hint="eastAsia" w:ascii="宋体" w:hAnsi="宋体" w:eastAsia="宋体" w:cs="宋体"/>
          <w:kern w:val="2"/>
          <w:sz w:val="21"/>
          <w:szCs w:val="21"/>
          <w:lang w:val="zh-CN"/>
        </w:rPr>
        <w:t>司即广东有德招标采购有限公司指定的银行账号，一次性交纳中标服务费</w:t>
      </w:r>
      <w:r>
        <w:rPr>
          <w:rFonts w:hint="eastAsia" w:ascii="宋体" w:hAnsi="宋体" w:eastAsia="宋体" w:cs="宋体"/>
          <w:kern w:val="2"/>
          <w:sz w:val="21"/>
          <w:lang w:val="zh-CN"/>
        </w:rPr>
        <w:t>。</w:t>
      </w:r>
    </w:p>
    <w:p w14:paraId="2C1415F2">
      <w:pPr>
        <w:spacing w:line="360" w:lineRule="auto"/>
        <w:ind w:right="893"/>
        <w:jc w:val="both"/>
        <w:outlineLvl w:val="9"/>
        <w:rPr>
          <w:rFonts w:hint="eastAsia" w:ascii="宋体" w:hAnsi="宋体" w:eastAsia="宋体" w:cs="宋体"/>
          <w:kern w:val="2"/>
          <w:sz w:val="21"/>
          <w:szCs w:val="21"/>
          <w:lang w:val="zh-CN"/>
        </w:rPr>
      </w:pPr>
    </w:p>
    <w:p w14:paraId="5E0BC670">
      <w:pPr>
        <w:spacing w:line="360" w:lineRule="auto"/>
        <w:ind w:right="893" w:firstLine="480"/>
        <w:jc w:val="both"/>
        <w:outlineLvl w:val="9"/>
        <w:rPr>
          <w:rFonts w:hint="eastAsia" w:ascii="宋体" w:hAnsi="宋体" w:eastAsia="宋体" w:cs="宋体"/>
          <w:kern w:val="2"/>
          <w:sz w:val="21"/>
          <w:lang w:val="zh-CN"/>
        </w:rPr>
      </w:pPr>
      <w:r>
        <w:rPr>
          <w:rFonts w:hint="eastAsia" w:ascii="宋体" w:hAnsi="宋体" w:eastAsia="宋体" w:cs="宋体"/>
          <w:kern w:val="2"/>
          <w:sz w:val="21"/>
          <w:lang w:val="zh-CN"/>
        </w:rPr>
        <w:t>特此承诺。</w:t>
      </w:r>
    </w:p>
    <w:p w14:paraId="64B1A2AF">
      <w:pPr>
        <w:spacing w:line="360" w:lineRule="auto"/>
        <w:ind w:right="893"/>
        <w:jc w:val="both"/>
        <w:outlineLvl w:val="9"/>
        <w:rPr>
          <w:rFonts w:hint="eastAsia" w:ascii="宋体" w:hAnsi="宋体" w:eastAsia="宋体" w:cs="宋体"/>
          <w:kern w:val="2"/>
          <w:sz w:val="21"/>
          <w:lang w:val="zh-CN"/>
        </w:rPr>
      </w:pPr>
    </w:p>
    <w:p w14:paraId="605863D1">
      <w:pPr>
        <w:spacing w:line="360" w:lineRule="auto"/>
        <w:ind w:right="893"/>
        <w:jc w:val="both"/>
        <w:outlineLvl w:val="9"/>
        <w:rPr>
          <w:rFonts w:hint="eastAsia" w:ascii="宋体" w:hAnsi="宋体" w:eastAsia="宋体" w:cs="宋体"/>
          <w:kern w:val="2"/>
          <w:sz w:val="21"/>
          <w:lang w:val="zh-CN"/>
        </w:rPr>
      </w:pPr>
      <w:r>
        <w:rPr>
          <w:rFonts w:hint="eastAsia" w:ascii="宋体" w:hAnsi="宋体" w:eastAsia="宋体" w:cs="宋体"/>
          <w:kern w:val="2"/>
          <w:sz w:val="21"/>
          <w:lang w:val="zh-CN"/>
        </w:rPr>
        <w:t>地址：</w:t>
      </w:r>
      <w:r>
        <w:rPr>
          <w:rFonts w:hint="eastAsia" w:ascii="宋体" w:hAnsi="宋体" w:eastAsia="宋体" w:cs="宋体"/>
          <w:kern w:val="2"/>
          <w:sz w:val="21"/>
          <w:u w:val="single"/>
          <w:lang w:val="zh-CN"/>
        </w:rPr>
        <w:t xml:space="preserve">                       </w:t>
      </w:r>
    </w:p>
    <w:p w14:paraId="092E435C">
      <w:pPr>
        <w:spacing w:line="360" w:lineRule="auto"/>
        <w:ind w:right="893"/>
        <w:jc w:val="both"/>
        <w:outlineLvl w:val="9"/>
        <w:rPr>
          <w:rFonts w:hint="eastAsia" w:ascii="宋体" w:hAnsi="宋体" w:eastAsia="宋体" w:cs="宋体"/>
          <w:kern w:val="2"/>
          <w:sz w:val="21"/>
          <w:u w:val="single"/>
          <w:lang w:val="zh-CN"/>
        </w:rPr>
      </w:pPr>
      <w:r>
        <w:rPr>
          <w:rFonts w:hint="eastAsia" w:ascii="宋体" w:hAnsi="宋体" w:eastAsia="宋体" w:cs="宋体"/>
          <w:kern w:val="2"/>
          <w:sz w:val="21"/>
          <w:lang w:val="zh-CN"/>
        </w:rPr>
        <w:t xml:space="preserve">电话： </w:t>
      </w:r>
      <w:r>
        <w:rPr>
          <w:rFonts w:hint="eastAsia" w:ascii="宋体" w:hAnsi="宋体" w:eastAsia="宋体" w:cs="宋体"/>
          <w:kern w:val="2"/>
          <w:sz w:val="21"/>
          <w:u w:val="single"/>
          <w:lang w:val="zh-CN"/>
        </w:rPr>
        <w:t xml:space="preserve">                      </w:t>
      </w:r>
      <w:r>
        <w:rPr>
          <w:rFonts w:hint="eastAsia" w:ascii="宋体" w:hAnsi="宋体" w:eastAsia="宋体" w:cs="宋体"/>
          <w:kern w:val="2"/>
          <w:sz w:val="21"/>
          <w:lang w:val="zh-CN"/>
        </w:rPr>
        <w:t xml:space="preserve">       传真： </w:t>
      </w:r>
      <w:r>
        <w:rPr>
          <w:rFonts w:hint="eastAsia" w:ascii="宋体" w:hAnsi="宋体" w:eastAsia="宋体" w:cs="宋体"/>
          <w:kern w:val="2"/>
          <w:sz w:val="21"/>
          <w:u w:val="single"/>
          <w:lang w:val="zh-CN"/>
        </w:rPr>
        <w:t xml:space="preserve">                  </w:t>
      </w:r>
    </w:p>
    <w:p w14:paraId="6CD0578D">
      <w:pPr>
        <w:spacing w:line="360" w:lineRule="auto"/>
        <w:ind w:right="893"/>
        <w:jc w:val="both"/>
        <w:outlineLvl w:val="9"/>
        <w:rPr>
          <w:rFonts w:hint="eastAsia" w:ascii="宋体" w:hAnsi="宋体" w:eastAsia="宋体" w:cs="宋体"/>
          <w:kern w:val="2"/>
          <w:sz w:val="21"/>
          <w:u w:val="single"/>
          <w:lang w:val="zh-CN"/>
        </w:rPr>
      </w:pPr>
      <w:r>
        <w:rPr>
          <w:rFonts w:hint="eastAsia" w:ascii="宋体" w:hAnsi="宋体" w:eastAsia="宋体" w:cs="宋体"/>
          <w:kern w:val="2"/>
          <w:sz w:val="21"/>
          <w:lang w:val="zh-CN"/>
        </w:rPr>
        <w:t xml:space="preserve">邮箱： </w:t>
      </w:r>
      <w:r>
        <w:rPr>
          <w:rFonts w:hint="eastAsia" w:ascii="宋体" w:hAnsi="宋体" w:eastAsia="宋体" w:cs="宋体"/>
          <w:kern w:val="2"/>
          <w:sz w:val="21"/>
          <w:u w:val="single"/>
          <w:lang w:val="zh-CN"/>
        </w:rPr>
        <w:t xml:space="preserve">                      </w:t>
      </w:r>
      <w:r>
        <w:rPr>
          <w:rFonts w:hint="eastAsia" w:ascii="宋体" w:hAnsi="宋体" w:eastAsia="宋体" w:cs="宋体"/>
          <w:kern w:val="2"/>
          <w:sz w:val="21"/>
          <w:lang w:val="zh-CN"/>
        </w:rPr>
        <w:t xml:space="preserve">       邮编： </w:t>
      </w:r>
      <w:r>
        <w:rPr>
          <w:rFonts w:hint="eastAsia" w:ascii="宋体" w:hAnsi="宋体" w:eastAsia="宋体" w:cs="宋体"/>
          <w:kern w:val="2"/>
          <w:sz w:val="21"/>
          <w:u w:val="single"/>
          <w:lang w:val="zh-CN"/>
        </w:rPr>
        <w:t xml:space="preserve">                  </w:t>
      </w:r>
    </w:p>
    <w:p w14:paraId="62D0B3BD">
      <w:pPr>
        <w:spacing w:line="360" w:lineRule="auto"/>
        <w:ind w:right="893"/>
        <w:jc w:val="both"/>
        <w:outlineLvl w:val="9"/>
        <w:rPr>
          <w:rFonts w:hint="eastAsia" w:ascii="宋体" w:hAnsi="宋体" w:eastAsia="宋体" w:cs="宋体"/>
          <w:kern w:val="2"/>
          <w:sz w:val="21"/>
          <w:lang w:val="zh-CN"/>
        </w:rPr>
      </w:pPr>
    </w:p>
    <w:p w14:paraId="720FB5D7">
      <w:pPr>
        <w:pStyle w:val="45"/>
        <w:rPr>
          <w:rFonts w:hint="eastAsia" w:ascii="宋体" w:hAnsi="宋体" w:eastAsia="宋体" w:cs="宋体"/>
          <w:lang w:val="zh-CN"/>
        </w:rPr>
      </w:pPr>
    </w:p>
    <w:p w14:paraId="03D488AA">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38E7B54D">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3DBA53DA">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45B518FB">
      <w:pPr>
        <w:spacing w:line="360" w:lineRule="auto"/>
        <w:jc w:val="center"/>
        <w:outlineLvl w:val="9"/>
        <w:rPr>
          <w:rFonts w:hint="eastAsia" w:ascii="宋体" w:hAnsi="宋体" w:eastAsia="宋体" w:cs="宋体"/>
          <w:kern w:val="2"/>
          <w:sz w:val="21"/>
          <w:lang w:val="zh-CN"/>
        </w:rPr>
      </w:pPr>
      <w:r>
        <w:rPr>
          <w:rFonts w:hint="eastAsia" w:ascii="宋体" w:hAnsi="宋体" w:eastAsia="宋体" w:cs="宋体"/>
          <w:b/>
          <w:bCs/>
          <w:color w:val="auto"/>
          <w:szCs w:val="24"/>
          <w:highlight w:val="none"/>
          <w:lang w:val="zh-CN"/>
        </w:rPr>
        <w:t>说明：由投标人使用投标人的企业数字证书电子签名。</w:t>
      </w:r>
    </w:p>
    <w:p w14:paraId="2C96AAA6">
      <w:pPr>
        <w:tabs>
          <w:tab w:val="left" w:pos="567"/>
        </w:tabs>
        <w:autoSpaceDE w:val="0"/>
        <w:autoSpaceDN w:val="0"/>
        <w:adjustRightInd w:val="0"/>
        <w:spacing w:line="360" w:lineRule="auto"/>
        <w:jc w:val="left"/>
        <w:outlineLvl w:val="9"/>
        <w:rPr>
          <w:rFonts w:hint="eastAsia" w:ascii="宋体" w:hAnsi="宋体" w:eastAsia="宋体" w:cs="宋体"/>
          <w:b/>
          <w:kern w:val="0"/>
          <w:sz w:val="32"/>
          <w:szCs w:val="32"/>
          <w:highlight w:val="none"/>
        </w:rPr>
      </w:pPr>
    </w:p>
    <w:p w14:paraId="06E86195">
      <w:pPr>
        <w:autoSpaceDE/>
        <w:autoSpaceDN/>
        <w:adjustRightInd/>
        <w:spacing w:line="240" w:lineRule="auto"/>
        <w:jc w:val="left"/>
        <w:outlineLvl w:val="9"/>
        <w:rPr>
          <w:rFonts w:hint="eastAsia" w:ascii="宋体" w:hAnsi="宋体" w:eastAsia="宋体" w:cs="宋体"/>
          <w:b/>
          <w:kern w:val="0"/>
          <w:sz w:val="32"/>
          <w:szCs w:val="32"/>
          <w:highlight w:val="none"/>
        </w:rPr>
      </w:pPr>
      <w:r>
        <w:rPr>
          <w:rFonts w:hint="eastAsia" w:ascii="宋体" w:hAnsi="宋体" w:eastAsia="宋体" w:cs="宋体"/>
          <w:b/>
          <w:kern w:val="0"/>
          <w:sz w:val="32"/>
          <w:szCs w:val="32"/>
          <w:highlight w:val="none"/>
        </w:rPr>
        <w:br w:type="page"/>
      </w:r>
    </w:p>
    <w:bookmarkEnd w:id="641"/>
    <w:bookmarkEnd w:id="642"/>
    <w:bookmarkEnd w:id="643"/>
    <w:bookmarkEnd w:id="644"/>
    <w:bookmarkEnd w:id="645"/>
    <w:bookmarkEnd w:id="646"/>
    <w:bookmarkEnd w:id="647"/>
    <w:bookmarkEnd w:id="648"/>
    <w:bookmarkEnd w:id="649"/>
    <w:bookmarkEnd w:id="650"/>
    <w:bookmarkEnd w:id="651"/>
    <w:p w14:paraId="4731CF0A">
      <w:pPr>
        <w:pageBreakBefore/>
        <w:tabs>
          <w:tab w:val="left" w:pos="567"/>
        </w:tabs>
        <w:autoSpaceDE w:val="0"/>
        <w:autoSpaceDN w:val="0"/>
        <w:adjustRightInd w:val="0"/>
        <w:spacing w:line="360" w:lineRule="auto"/>
        <w:ind w:left="357" w:leftChars="-100" w:hanging="567"/>
        <w:jc w:val="left"/>
        <w:outlineLvl w:val="9"/>
        <w:rPr>
          <w:rFonts w:hint="eastAsia" w:ascii="宋体" w:hAnsi="宋体" w:eastAsia="宋体" w:cs="宋体"/>
          <w:b/>
          <w:kern w:val="0"/>
          <w:sz w:val="32"/>
          <w:szCs w:val="32"/>
          <w:highlight w:val="none"/>
        </w:rPr>
        <w:sectPr>
          <w:pgSz w:w="12240" w:h="15840"/>
          <w:pgMar w:top="1191" w:right="1737" w:bottom="1191" w:left="1043" w:header="720" w:footer="720" w:gutter="0"/>
          <w:cols w:space="720" w:num="1"/>
          <w:titlePg/>
          <w:docGrid w:linePitch="326" w:charSpace="0"/>
        </w:sectPr>
      </w:pPr>
      <w:bookmarkStart w:id="652" w:name="_Toc142508379"/>
      <w:bookmarkStart w:id="653" w:name="_Toc140596939"/>
      <w:bookmarkStart w:id="654" w:name="_Toc1977738"/>
      <w:bookmarkStart w:id="655" w:name="_Toc94107221"/>
      <w:bookmarkStart w:id="656" w:name="_Toc104991886"/>
      <w:bookmarkStart w:id="657" w:name="_Toc102860084"/>
      <w:bookmarkStart w:id="658" w:name="_Toc29652"/>
      <w:bookmarkStart w:id="659" w:name="_Toc24616"/>
      <w:bookmarkStart w:id="660" w:name="_Toc2007"/>
      <w:bookmarkStart w:id="661" w:name="_Toc102860428"/>
      <w:bookmarkStart w:id="662" w:name="_Toc533708134"/>
      <w:bookmarkStart w:id="663" w:name="_Toc486167721"/>
      <w:r>
        <w:rPr>
          <w:rFonts w:hint="eastAsia" w:ascii="宋体" w:hAnsi="宋体" w:eastAsia="宋体" w:cs="宋体"/>
          <w:b/>
          <w:bCs/>
          <w:kern w:val="0"/>
          <w:sz w:val="32"/>
          <w:szCs w:val="32"/>
          <w:highlight w:val="none"/>
          <w:lang w:val="en-US" w:eastAsia="zh-CN"/>
        </w:rPr>
        <w:t>十一、</w:t>
      </w:r>
      <w:r>
        <w:rPr>
          <w:rFonts w:hint="eastAsia" w:ascii="宋体" w:hAnsi="宋体" w:eastAsia="宋体" w:cs="宋体"/>
          <w:b/>
          <w:bCs/>
          <w:kern w:val="0"/>
          <w:sz w:val="32"/>
          <w:szCs w:val="32"/>
          <w:highlight w:val="none"/>
          <w:lang w:val="zh-CN"/>
        </w:rPr>
        <w:t>投标人资格证明文件以外的其他资质证书、知识产权证书及获得的相关获奖、认证证书、社会评价资料证明文件扫描件等投标人认为有需要证明其具备为本次招标项目提供服务能力的有关其它商务文件（不做强制要求）</w:t>
      </w:r>
      <w:bookmarkEnd w:id="652"/>
      <w:bookmarkEnd w:id="653"/>
      <w:bookmarkEnd w:id="654"/>
      <w:bookmarkEnd w:id="655"/>
      <w:bookmarkEnd w:id="656"/>
      <w:bookmarkEnd w:id="657"/>
      <w:bookmarkEnd w:id="658"/>
      <w:bookmarkEnd w:id="659"/>
      <w:bookmarkEnd w:id="660"/>
      <w:bookmarkEnd w:id="661"/>
    </w:p>
    <w:p w14:paraId="51B168A5">
      <w:pPr>
        <w:jc w:val="center"/>
        <w:outlineLvl w:val="1"/>
        <w:rPr>
          <w:rFonts w:hint="eastAsia" w:ascii="宋体" w:hAnsi="宋体" w:eastAsia="宋体" w:cs="宋体"/>
          <w:b/>
          <w:color w:val="auto"/>
          <w:kern w:val="0"/>
          <w:sz w:val="32"/>
          <w:szCs w:val="32"/>
          <w:highlight w:val="none"/>
        </w:rPr>
      </w:pPr>
      <w:bookmarkStart w:id="664" w:name="_Toc4972"/>
      <w:bookmarkStart w:id="665" w:name="_Toc13776"/>
      <w:bookmarkStart w:id="666" w:name="_Toc32650"/>
      <w:bookmarkStart w:id="667" w:name="_Toc27993"/>
      <w:bookmarkStart w:id="668" w:name="_Toc195714399"/>
      <w:bookmarkStart w:id="669" w:name="_Toc14997"/>
      <w:bookmarkStart w:id="670" w:name="_Toc102860429"/>
      <w:bookmarkStart w:id="671" w:name="_Toc140596940"/>
      <w:bookmarkStart w:id="672" w:name="_Toc1977739"/>
      <w:bookmarkStart w:id="673" w:name="_Toc31916"/>
      <w:bookmarkStart w:id="674" w:name="_Toc142508380"/>
      <w:bookmarkStart w:id="675" w:name="_Toc18038"/>
      <w:bookmarkStart w:id="676" w:name="_Toc102860085"/>
      <w:bookmarkStart w:id="677" w:name="_Toc94107222"/>
      <w:bookmarkStart w:id="678" w:name="_Toc27482"/>
      <w:bookmarkStart w:id="679" w:name="_Toc104991887"/>
      <w:r>
        <w:rPr>
          <w:rFonts w:hint="eastAsia" w:ascii="宋体" w:hAnsi="宋体" w:eastAsia="宋体" w:cs="宋体"/>
          <w:b/>
          <w:color w:val="auto"/>
          <w:kern w:val="0"/>
          <w:sz w:val="32"/>
          <w:szCs w:val="32"/>
          <w:highlight w:val="none"/>
        </w:rPr>
        <w:t>二  技术标格式</w:t>
      </w:r>
      <w:bookmarkEnd w:id="664"/>
      <w:bookmarkEnd w:id="665"/>
      <w:bookmarkEnd w:id="666"/>
      <w:bookmarkEnd w:id="667"/>
      <w:bookmarkEnd w:id="668"/>
      <w:bookmarkEnd w:id="669"/>
    </w:p>
    <w:bookmarkEnd w:id="662"/>
    <w:bookmarkEnd w:id="670"/>
    <w:bookmarkEnd w:id="671"/>
    <w:bookmarkEnd w:id="672"/>
    <w:bookmarkEnd w:id="673"/>
    <w:bookmarkEnd w:id="674"/>
    <w:bookmarkEnd w:id="675"/>
    <w:bookmarkEnd w:id="676"/>
    <w:bookmarkEnd w:id="677"/>
    <w:bookmarkEnd w:id="678"/>
    <w:bookmarkEnd w:id="679"/>
    <w:p w14:paraId="0A35DF24">
      <w:pPr>
        <w:pStyle w:val="20"/>
        <w:spacing w:line="360" w:lineRule="auto"/>
        <w:jc w:val="center"/>
        <w:outlineLvl w:val="9"/>
        <w:rPr>
          <w:rFonts w:hint="eastAsia" w:ascii="宋体" w:hAnsi="宋体" w:eastAsia="宋体" w:cs="宋体"/>
          <w:b/>
          <w:kern w:val="0"/>
          <w:szCs w:val="21"/>
          <w:highlight w:val="none"/>
        </w:rPr>
      </w:pPr>
      <w:r>
        <w:rPr>
          <w:rFonts w:hint="eastAsia" w:ascii="宋体" w:hAnsi="宋体" w:eastAsia="宋体" w:cs="宋体"/>
          <w:b/>
          <w:kern w:val="0"/>
          <w:szCs w:val="21"/>
          <w:highlight w:val="none"/>
        </w:rPr>
        <w:br w:type="page"/>
      </w:r>
      <w:bookmarkEnd w:id="663"/>
      <w:bookmarkStart w:id="680" w:name="_Toc140596941"/>
      <w:bookmarkStart w:id="681" w:name="_Toc533708135"/>
      <w:bookmarkStart w:id="682" w:name="_Toc104991888"/>
      <w:bookmarkStart w:id="683" w:name="_Toc142508381"/>
      <w:bookmarkStart w:id="684" w:name="_Toc102860086"/>
      <w:bookmarkStart w:id="685" w:name="_Toc102860430"/>
      <w:bookmarkStart w:id="686" w:name="_Toc94107223"/>
      <w:bookmarkStart w:id="687" w:name="_Toc1977740"/>
    </w:p>
    <w:p w14:paraId="2AE0AB48">
      <w:pPr>
        <w:pStyle w:val="20"/>
        <w:spacing w:line="360" w:lineRule="auto"/>
        <w:jc w:val="center"/>
        <w:outlineLvl w:val="9"/>
        <w:rPr>
          <w:rFonts w:hint="eastAsia" w:ascii="宋体" w:hAnsi="宋体" w:eastAsia="宋体" w:cs="宋体"/>
          <w:b/>
          <w:kern w:val="0"/>
          <w:szCs w:val="21"/>
          <w:highlight w:val="none"/>
        </w:rPr>
      </w:pPr>
    </w:p>
    <w:p w14:paraId="06F2DC48">
      <w:pPr>
        <w:pStyle w:val="20"/>
        <w:spacing w:line="360" w:lineRule="auto"/>
        <w:jc w:val="center"/>
        <w:outlineLvl w:val="9"/>
        <w:rPr>
          <w:rFonts w:hint="eastAsia" w:ascii="宋体" w:hAnsi="宋体" w:eastAsia="宋体" w:cs="宋体"/>
          <w:b/>
          <w:kern w:val="0"/>
          <w:szCs w:val="21"/>
          <w:highlight w:val="none"/>
        </w:rPr>
      </w:pPr>
    </w:p>
    <w:p w14:paraId="15CEC3B7">
      <w:pPr>
        <w:pStyle w:val="20"/>
        <w:spacing w:line="360" w:lineRule="auto"/>
        <w:jc w:val="center"/>
        <w:outlineLvl w:val="9"/>
        <w:rPr>
          <w:rFonts w:hint="eastAsia" w:ascii="宋体" w:hAnsi="宋体" w:eastAsia="宋体" w:cs="宋体"/>
          <w:b/>
          <w:kern w:val="0"/>
          <w:szCs w:val="21"/>
          <w:highlight w:val="none"/>
        </w:rPr>
      </w:pPr>
    </w:p>
    <w:p w14:paraId="7F60A6F9">
      <w:pPr>
        <w:pStyle w:val="20"/>
        <w:spacing w:line="360" w:lineRule="auto"/>
        <w:jc w:val="center"/>
        <w:outlineLvl w:val="9"/>
        <w:rPr>
          <w:rFonts w:hint="eastAsia" w:ascii="宋体" w:hAnsi="宋体" w:eastAsia="宋体" w:cs="宋体"/>
          <w:b/>
          <w:kern w:val="0"/>
          <w:szCs w:val="21"/>
          <w:highlight w:val="none"/>
        </w:rPr>
      </w:pPr>
    </w:p>
    <w:p w14:paraId="62E57275">
      <w:pPr>
        <w:pStyle w:val="20"/>
        <w:spacing w:line="360" w:lineRule="auto"/>
        <w:jc w:val="center"/>
        <w:outlineLvl w:val="9"/>
        <w:rPr>
          <w:rFonts w:hint="eastAsia" w:ascii="宋体" w:hAnsi="宋体" w:eastAsia="宋体" w:cs="宋体"/>
          <w:b/>
          <w:kern w:val="0"/>
          <w:szCs w:val="21"/>
          <w:highlight w:val="none"/>
        </w:rPr>
      </w:pPr>
    </w:p>
    <w:p w14:paraId="38E3F6E3">
      <w:pPr>
        <w:pStyle w:val="20"/>
        <w:spacing w:line="360" w:lineRule="auto"/>
        <w:jc w:val="center"/>
        <w:outlineLvl w:val="9"/>
        <w:rPr>
          <w:rFonts w:hint="eastAsia" w:ascii="宋体" w:hAnsi="宋体" w:eastAsia="宋体" w:cs="宋体"/>
          <w:b/>
          <w:kern w:val="0"/>
          <w:szCs w:val="21"/>
          <w:highlight w:val="none"/>
        </w:rPr>
      </w:pPr>
    </w:p>
    <w:p w14:paraId="06E7996F">
      <w:pPr>
        <w:pStyle w:val="20"/>
        <w:spacing w:line="360" w:lineRule="auto"/>
        <w:jc w:val="center"/>
        <w:outlineLvl w:val="9"/>
        <w:rPr>
          <w:rFonts w:hint="eastAsia" w:ascii="宋体" w:hAnsi="宋体" w:eastAsia="宋体" w:cs="宋体"/>
          <w:b/>
          <w:kern w:val="0"/>
          <w:szCs w:val="21"/>
          <w:highlight w:val="none"/>
        </w:rPr>
      </w:pPr>
    </w:p>
    <w:p w14:paraId="5E772C2F">
      <w:pPr>
        <w:pStyle w:val="20"/>
        <w:spacing w:line="360" w:lineRule="auto"/>
        <w:jc w:val="center"/>
        <w:outlineLvl w:val="9"/>
        <w:rPr>
          <w:rFonts w:hint="eastAsia" w:ascii="宋体" w:hAnsi="宋体" w:eastAsia="宋体" w:cs="宋体"/>
          <w:b/>
          <w:kern w:val="0"/>
          <w:szCs w:val="21"/>
          <w:highlight w:val="none"/>
        </w:rPr>
      </w:pPr>
    </w:p>
    <w:p w14:paraId="192324A6">
      <w:pPr>
        <w:pStyle w:val="20"/>
        <w:spacing w:line="360" w:lineRule="auto"/>
        <w:jc w:val="center"/>
        <w:outlineLvl w:val="9"/>
        <w:rPr>
          <w:rFonts w:hint="eastAsia" w:ascii="宋体" w:hAnsi="宋体" w:eastAsia="宋体" w:cs="宋体"/>
          <w:color w:val="auto"/>
          <w:sz w:val="84"/>
          <w:highlight w:val="none"/>
        </w:rPr>
      </w:pPr>
      <w:r>
        <w:rPr>
          <w:rFonts w:hint="eastAsia" w:ascii="宋体" w:hAnsi="宋体" w:eastAsia="宋体" w:cs="宋体"/>
          <w:color w:val="auto"/>
          <w:sz w:val="84"/>
          <w:highlight w:val="none"/>
        </w:rPr>
        <w:t>投 标 文 件</w:t>
      </w:r>
    </w:p>
    <w:p w14:paraId="2C9BB805">
      <w:pPr>
        <w:pStyle w:val="20"/>
        <w:spacing w:line="360" w:lineRule="auto"/>
        <w:outlineLvl w:val="9"/>
        <w:rPr>
          <w:rFonts w:hint="eastAsia" w:ascii="宋体" w:hAnsi="宋体" w:eastAsia="宋体" w:cs="宋体"/>
          <w:color w:val="auto"/>
          <w:highlight w:val="none"/>
        </w:rPr>
      </w:pPr>
    </w:p>
    <w:p w14:paraId="2148A5FC">
      <w:pPr>
        <w:pStyle w:val="20"/>
        <w:spacing w:line="360" w:lineRule="auto"/>
        <w:outlineLvl w:val="9"/>
        <w:rPr>
          <w:rFonts w:hint="eastAsia" w:ascii="宋体" w:hAnsi="宋体" w:eastAsia="宋体" w:cs="宋体"/>
          <w:color w:val="auto"/>
          <w:highlight w:val="none"/>
        </w:rPr>
      </w:pPr>
    </w:p>
    <w:p w14:paraId="75593EBB">
      <w:pPr>
        <w:pStyle w:val="20"/>
        <w:spacing w:line="360" w:lineRule="auto"/>
        <w:outlineLvl w:val="9"/>
        <w:rPr>
          <w:rFonts w:hint="eastAsia" w:ascii="宋体" w:hAnsi="宋体" w:eastAsia="宋体" w:cs="宋体"/>
          <w:color w:val="auto"/>
          <w:highlight w:val="none"/>
        </w:rPr>
      </w:pPr>
    </w:p>
    <w:p w14:paraId="6D2AE15F">
      <w:pPr>
        <w:pStyle w:val="20"/>
        <w:spacing w:line="360" w:lineRule="auto"/>
        <w:outlineLvl w:val="9"/>
        <w:rPr>
          <w:rFonts w:hint="eastAsia" w:ascii="宋体" w:hAnsi="宋体" w:eastAsia="宋体" w:cs="宋体"/>
          <w:color w:val="auto"/>
          <w:highlight w:val="none"/>
        </w:rPr>
      </w:pPr>
    </w:p>
    <w:p w14:paraId="6968EFA4">
      <w:pPr>
        <w:pStyle w:val="20"/>
        <w:spacing w:line="360" w:lineRule="auto"/>
        <w:outlineLvl w:val="9"/>
        <w:rPr>
          <w:rFonts w:hint="eastAsia" w:ascii="宋体" w:hAnsi="宋体" w:eastAsia="宋体" w:cs="宋体"/>
          <w:color w:val="auto"/>
          <w:highlight w:val="none"/>
        </w:rPr>
      </w:pPr>
    </w:p>
    <w:p w14:paraId="245A4B0C">
      <w:pPr>
        <w:pStyle w:val="20"/>
        <w:spacing w:line="360" w:lineRule="auto"/>
        <w:outlineLvl w:val="9"/>
        <w:rPr>
          <w:rFonts w:hint="eastAsia" w:ascii="宋体" w:hAnsi="宋体" w:eastAsia="宋体" w:cs="宋体"/>
          <w:color w:val="auto"/>
          <w:highlight w:val="none"/>
        </w:rPr>
      </w:pPr>
    </w:p>
    <w:p w14:paraId="7EBA61B6">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招标编号：</w:t>
      </w:r>
      <w:r>
        <w:rPr>
          <w:rFonts w:hint="eastAsia" w:ascii="宋体" w:hAnsi="宋体" w:eastAsia="宋体" w:cs="宋体"/>
          <w:color w:val="auto"/>
          <w:sz w:val="30"/>
          <w:highlight w:val="none"/>
          <w:u w:val="single"/>
        </w:rPr>
        <w:t xml:space="preserve">                      </w:t>
      </w:r>
    </w:p>
    <w:p w14:paraId="76BE20BB">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项目名称：</w:t>
      </w:r>
      <w:r>
        <w:rPr>
          <w:rFonts w:hint="eastAsia" w:ascii="宋体" w:hAnsi="宋体" w:eastAsia="宋体" w:cs="宋体"/>
          <w:color w:val="auto"/>
          <w:sz w:val="30"/>
          <w:highlight w:val="none"/>
          <w:u w:val="single"/>
        </w:rPr>
        <w:t xml:space="preserve">                      </w:t>
      </w:r>
    </w:p>
    <w:p w14:paraId="329D6E90">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投标文件内容：</w:t>
      </w:r>
      <w:r>
        <w:rPr>
          <w:rFonts w:hint="eastAsia" w:ascii="宋体" w:hAnsi="宋体" w:eastAsia="宋体" w:cs="宋体"/>
          <w:color w:val="auto"/>
          <w:sz w:val="30"/>
          <w:highlight w:val="none"/>
          <w:u w:val="single"/>
        </w:rPr>
        <w:t xml:space="preserve"> 投标文件技术标 </w:t>
      </w:r>
    </w:p>
    <w:p w14:paraId="00D5574F">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招标人：</w:t>
      </w:r>
      <w:r>
        <w:rPr>
          <w:rFonts w:hint="eastAsia" w:ascii="宋体" w:hAnsi="宋体" w:eastAsia="宋体" w:cs="宋体"/>
          <w:color w:val="auto"/>
          <w:sz w:val="30"/>
          <w:highlight w:val="none"/>
          <w:u w:val="single"/>
        </w:rPr>
        <w:t xml:space="preserve">                        </w:t>
      </w:r>
    </w:p>
    <w:p w14:paraId="08FF41A0">
      <w:pPr>
        <w:pStyle w:val="20"/>
        <w:spacing w:line="360" w:lineRule="auto"/>
        <w:ind w:firstLine="1875" w:firstLineChars="625"/>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投标人：</w:t>
      </w:r>
      <w:r>
        <w:rPr>
          <w:rFonts w:hint="eastAsia" w:ascii="宋体" w:hAnsi="宋体" w:eastAsia="宋体" w:cs="宋体"/>
          <w:color w:val="auto"/>
          <w:sz w:val="30"/>
          <w:highlight w:val="none"/>
          <w:u w:val="single"/>
        </w:rPr>
        <w:t xml:space="preserve">    （企业数字证书电子签名）   </w:t>
      </w:r>
    </w:p>
    <w:p w14:paraId="22315940">
      <w:pPr>
        <w:pStyle w:val="20"/>
        <w:spacing w:line="360" w:lineRule="auto"/>
        <w:ind w:firstLine="1875" w:firstLineChars="625"/>
        <w:rPr>
          <w:rFonts w:hint="eastAsia" w:ascii="宋体" w:hAnsi="宋体" w:eastAsia="宋体" w:cs="宋体"/>
          <w:color w:val="auto"/>
          <w:sz w:val="30"/>
          <w:highlight w:val="none"/>
        </w:rPr>
      </w:pPr>
      <w:r>
        <w:rPr>
          <w:rFonts w:hint="eastAsia" w:ascii="宋体" w:hAnsi="宋体" w:eastAsia="宋体" w:cs="宋体"/>
          <w:color w:val="auto"/>
          <w:sz w:val="30"/>
          <w:highlight w:val="none"/>
        </w:rPr>
        <w:t>日  期：</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年</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月</w:t>
      </w:r>
      <w:r>
        <w:rPr>
          <w:rFonts w:hint="eastAsia" w:ascii="宋体" w:hAnsi="宋体" w:eastAsia="宋体" w:cs="宋体"/>
          <w:color w:val="auto"/>
          <w:sz w:val="30"/>
          <w:highlight w:val="none"/>
          <w:u w:val="single"/>
        </w:rPr>
        <w:t xml:space="preserve">    </w:t>
      </w:r>
      <w:r>
        <w:rPr>
          <w:rFonts w:hint="eastAsia" w:ascii="宋体" w:hAnsi="宋体" w:eastAsia="宋体" w:cs="宋体"/>
          <w:color w:val="auto"/>
          <w:sz w:val="30"/>
          <w:highlight w:val="none"/>
        </w:rPr>
        <w:t>日</w:t>
      </w:r>
    </w:p>
    <w:p w14:paraId="2844DF73">
      <w:pPr>
        <w:pStyle w:val="20"/>
        <w:spacing w:line="360" w:lineRule="auto"/>
        <w:outlineLvl w:val="9"/>
        <w:rPr>
          <w:rFonts w:hint="eastAsia" w:ascii="宋体" w:hAnsi="宋体" w:eastAsia="宋体" w:cs="宋体"/>
          <w:color w:val="FF0000"/>
          <w:highlight w:val="none"/>
        </w:rPr>
      </w:pPr>
    </w:p>
    <w:p w14:paraId="7668BC96">
      <w:pPr>
        <w:pStyle w:val="20"/>
        <w:spacing w:line="360" w:lineRule="auto"/>
        <w:outlineLvl w:val="9"/>
        <w:rPr>
          <w:rFonts w:hint="eastAsia" w:ascii="宋体" w:hAnsi="宋体" w:eastAsia="宋体" w:cs="宋体"/>
          <w:color w:val="FF0000"/>
          <w:highlight w:val="none"/>
        </w:rPr>
      </w:pPr>
      <w:r>
        <w:rPr>
          <w:rFonts w:hint="eastAsia" w:ascii="宋体" w:hAnsi="宋体" w:eastAsia="宋体" w:cs="宋体"/>
          <w:color w:val="FF0000"/>
          <w:highlight w:val="none"/>
        </w:rPr>
        <w:br w:type="page"/>
      </w:r>
    </w:p>
    <w:p w14:paraId="667CC1AF">
      <w:pPr>
        <w:tabs>
          <w:tab w:val="left" w:pos="567"/>
        </w:tabs>
        <w:autoSpaceDE w:val="0"/>
        <w:autoSpaceDN w:val="0"/>
        <w:adjustRightInd w:val="0"/>
        <w:spacing w:line="360" w:lineRule="auto"/>
        <w:ind w:left="357" w:leftChars="-100" w:hanging="567"/>
        <w:jc w:val="center"/>
        <w:outlineLvl w:val="2"/>
        <w:rPr>
          <w:rFonts w:hint="eastAsia" w:ascii="宋体" w:hAnsi="宋体" w:eastAsia="宋体" w:cs="宋体"/>
          <w:b/>
          <w:color w:val="auto"/>
          <w:kern w:val="0"/>
          <w:sz w:val="24"/>
          <w:szCs w:val="24"/>
          <w:highlight w:val="none"/>
        </w:rPr>
      </w:pPr>
      <w:bookmarkStart w:id="688" w:name="_Toc31565"/>
      <w:bookmarkStart w:id="689" w:name="_Toc14054"/>
      <w:bookmarkStart w:id="690" w:name="_Toc23902"/>
      <w:bookmarkStart w:id="691" w:name="_Toc11390"/>
      <w:bookmarkStart w:id="692" w:name="_Toc8004"/>
      <w:bookmarkStart w:id="693" w:name="_Toc195714400"/>
      <w:r>
        <w:rPr>
          <w:rFonts w:hint="eastAsia" w:ascii="宋体" w:hAnsi="宋体" w:eastAsia="宋体" w:cs="宋体"/>
          <w:b/>
          <w:color w:val="auto"/>
          <w:kern w:val="0"/>
          <w:sz w:val="24"/>
          <w:szCs w:val="24"/>
          <w:highlight w:val="none"/>
        </w:rPr>
        <w:t>目录</w:t>
      </w:r>
      <w:bookmarkEnd w:id="688"/>
      <w:bookmarkEnd w:id="689"/>
      <w:bookmarkEnd w:id="690"/>
      <w:bookmarkEnd w:id="691"/>
      <w:bookmarkEnd w:id="692"/>
      <w:bookmarkEnd w:id="693"/>
    </w:p>
    <w:p w14:paraId="56F9ECF8">
      <w:pPr>
        <w:spacing w:line="360" w:lineRule="auto"/>
        <w:ind w:left="444" w:leftChars="77" w:hanging="282" w:hangingChars="134"/>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1、用户需求响应程度（即用户需求偏离表）；</w:t>
      </w:r>
    </w:p>
    <w:p w14:paraId="25FAA5E8">
      <w:pPr>
        <w:spacing w:line="360" w:lineRule="auto"/>
        <w:ind w:left="444" w:leftChars="77" w:hanging="282" w:hangingChars="134"/>
        <w:outlineLvl w:val="9"/>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sz w:val="21"/>
        </w:rPr>
        <w:t>承销人员及销售资源配备</w:t>
      </w:r>
      <w:r>
        <w:rPr>
          <w:rFonts w:hint="eastAsia" w:ascii="宋体" w:hAnsi="宋体" w:eastAsia="宋体" w:cs="宋体"/>
          <w:b/>
          <w:bCs/>
          <w:color w:val="auto"/>
          <w:kern w:val="0"/>
          <w:sz w:val="21"/>
          <w:szCs w:val="21"/>
          <w:highlight w:val="none"/>
          <w:lang w:eastAsia="zh-CN"/>
        </w:rPr>
        <w:t>；</w:t>
      </w:r>
    </w:p>
    <w:p w14:paraId="008D41D6">
      <w:pPr>
        <w:spacing w:line="360" w:lineRule="auto"/>
        <w:ind w:left="444" w:leftChars="77" w:hanging="282" w:hangingChars="134"/>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lang w:val="en-US" w:eastAsia="zh-CN"/>
        </w:rPr>
        <w:t>3、</w:t>
      </w:r>
      <w:r>
        <w:rPr>
          <w:rStyle w:val="204"/>
          <w:rFonts w:hint="eastAsia" w:ascii="宋体" w:hAnsi="宋体" w:eastAsia="宋体" w:cs="宋体"/>
          <w:b/>
          <w:bCs/>
          <w:color w:val="auto"/>
          <w:sz w:val="21"/>
          <w:lang w:val="en-US" w:eastAsia="zh-CN"/>
        </w:rPr>
        <w:t>受托管理费用</w:t>
      </w:r>
      <w:r>
        <w:rPr>
          <w:rFonts w:hint="eastAsia" w:ascii="宋体" w:hAnsi="宋体" w:eastAsia="宋体" w:cs="宋体"/>
          <w:b/>
          <w:bCs/>
          <w:color w:val="auto"/>
          <w:kern w:val="0"/>
          <w:szCs w:val="21"/>
          <w:lang w:eastAsia="zh-CN"/>
        </w:rPr>
        <w:t>；</w:t>
      </w:r>
    </w:p>
    <w:p w14:paraId="3CB14BF0">
      <w:pPr>
        <w:spacing w:line="360" w:lineRule="auto"/>
        <w:ind w:left="444" w:leftChars="77" w:hanging="282" w:hangingChars="134"/>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w:t>
      </w:r>
      <w:r>
        <w:rPr>
          <w:rStyle w:val="204"/>
          <w:rFonts w:hint="eastAsia" w:ascii="宋体" w:hAnsi="宋体" w:eastAsia="宋体" w:cs="宋体"/>
          <w:b/>
          <w:bCs/>
          <w:color w:val="auto"/>
          <w:sz w:val="21"/>
        </w:rPr>
        <w:t>发行</w:t>
      </w:r>
      <w:r>
        <w:rPr>
          <w:rStyle w:val="204"/>
          <w:rFonts w:hint="eastAsia" w:ascii="宋体" w:hAnsi="宋体" w:eastAsia="宋体" w:cs="宋体"/>
          <w:b/>
          <w:bCs/>
          <w:color w:val="auto"/>
          <w:sz w:val="21"/>
          <w:lang w:val="en-US" w:eastAsia="zh-CN"/>
        </w:rPr>
        <w:t>方案</w:t>
      </w:r>
      <w:r>
        <w:rPr>
          <w:rFonts w:hint="eastAsia" w:ascii="宋体" w:hAnsi="宋体" w:eastAsia="宋体" w:cs="宋体"/>
          <w:b/>
          <w:bCs/>
          <w:color w:val="auto"/>
          <w:kern w:val="0"/>
          <w:szCs w:val="21"/>
          <w:highlight w:val="none"/>
        </w:rPr>
        <w:t>；</w:t>
      </w:r>
    </w:p>
    <w:p w14:paraId="43D6387C">
      <w:pPr>
        <w:spacing w:line="360" w:lineRule="auto"/>
        <w:ind w:left="444" w:leftChars="77" w:hanging="282" w:hangingChars="134"/>
        <w:outlineLvl w:val="9"/>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5</w:t>
      </w:r>
      <w:r>
        <w:rPr>
          <w:rFonts w:hint="eastAsia" w:ascii="宋体" w:hAnsi="宋体" w:eastAsia="宋体" w:cs="宋体"/>
          <w:b/>
          <w:bCs/>
          <w:color w:val="auto"/>
          <w:kern w:val="0"/>
          <w:szCs w:val="21"/>
          <w:highlight w:val="none"/>
        </w:rPr>
        <w:t>、进度、质量保证措施及服务承</w:t>
      </w:r>
      <w:r>
        <w:rPr>
          <w:rFonts w:hint="eastAsia" w:ascii="宋体" w:hAnsi="宋体" w:eastAsia="宋体" w:cs="宋体"/>
          <w:b/>
          <w:bCs/>
          <w:color w:val="auto"/>
          <w:kern w:val="0"/>
          <w:szCs w:val="21"/>
          <w:highlight w:val="none"/>
          <w:lang w:val="en-US" w:eastAsia="zh-CN"/>
        </w:rPr>
        <w:t>诺</w:t>
      </w:r>
      <w:r>
        <w:rPr>
          <w:rFonts w:hint="eastAsia" w:ascii="宋体" w:hAnsi="宋体" w:eastAsia="宋体" w:cs="宋体"/>
          <w:b/>
          <w:bCs/>
          <w:color w:val="auto"/>
          <w:kern w:val="0"/>
          <w:szCs w:val="21"/>
          <w:highlight w:val="none"/>
        </w:rPr>
        <w:t>；</w:t>
      </w:r>
    </w:p>
    <w:p w14:paraId="256BB847">
      <w:pPr>
        <w:spacing w:line="360" w:lineRule="auto"/>
        <w:ind w:left="444" w:leftChars="77" w:hanging="282" w:hangingChars="134"/>
        <w:outlineLvl w:val="9"/>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投标人认为有必要提供的其它材料（不做强制要求）</w:t>
      </w:r>
      <w:r>
        <w:rPr>
          <w:rFonts w:hint="eastAsia" w:ascii="宋体" w:hAnsi="宋体" w:eastAsia="宋体" w:cs="宋体"/>
          <w:b/>
          <w:bCs/>
          <w:color w:val="auto"/>
          <w:kern w:val="0"/>
          <w:szCs w:val="21"/>
          <w:highlight w:val="none"/>
        </w:rPr>
        <w:t>。</w:t>
      </w:r>
    </w:p>
    <w:p w14:paraId="2C3EC1BD">
      <w:pPr>
        <w:outlineLvl w:val="9"/>
        <w:rPr>
          <w:rFonts w:hint="eastAsia" w:ascii="宋体" w:hAnsi="宋体" w:eastAsia="宋体" w:cs="宋体"/>
          <w:b/>
          <w:kern w:val="0"/>
          <w:sz w:val="30"/>
          <w:szCs w:val="30"/>
          <w:highlight w:val="none"/>
        </w:rPr>
      </w:pPr>
      <w:r>
        <w:rPr>
          <w:rFonts w:hint="eastAsia" w:ascii="宋体" w:hAnsi="宋体" w:eastAsia="宋体" w:cs="宋体"/>
          <w:b/>
          <w:kern w:val="0"/>
          <w:sz w:val="30"/>
          <w:szCs w:val="30"/>
          <w:highlight w:val="none"/>
        </w:rPr>
        <w:br w:type="page"/>
      </w:r>
    </w:p>
    <w:p w14:paraId="7DFEF472">
      <w:pPr>
        <w:tabs>
          <w:tab w:val="left" w:pos="567"/>
        </w:tabs>
        <w:autoSpaceDE w:val="0"/>
        <w:autoSpaceDN w:val="0"/>
        <w:adjustRightInd w:val="0"/>
        <w:spacing w:line="360" w:lineRule="auto"/>
        <w:jc w:val="left"/>
        <w:outlineLvl w:val="9"/>
        <w:rPr>
          <w:rFonts w:hint="eastAsia" w:ascii="宋体" w:hAnsi="宋体" w:eastAsia="宋体" w:cs="宋体"/>
          <w:b/>
          <w:kern w:val="0"/>
          <w:sz w:val="30"/>
          <w:szCs w:val="30"/>
          <w:highlight w:val="none"/>
        </w:rPr>
      </w:pPr>
      <w:bookmarkStart w:id="694" w:name="_Toc18999"/>
      <w:bookmarkStart w:id="695" w:name="_Toc27934"/>
      <w:bookmarkStart w:id="696" w:name="_Toc30448"/>
      <w:r>
        <w:rPr>
          <w:rFonts w:hint="eastAsia" w:ascii="宋体" w:hAnsi="宋体" w:eastAsia="宋体" w:cs="宋体"/>
          <w:b/>
          <w:kern w:val="0"/>
          <w:sz w:val="30"/>
          <w:szCs w:val="30"/>
          <w:highlight w:val="none"/>
          <w:lang w:val="en-US" w:eastAsia="zh-CN"/>
        </w:rPr>
        <w:t>一、</w:t>
      </w:r>
      <w:r>
        <w:rPr>
          <w:rFonts w:hint="eastAsia" w:ascii="宋体" w:hAnsi="宋体" w:eastAsia="宋体" w:cs="宋体"/>
          <w:b/>
          <w:kern w:val="0"/>
          <w:sz w:val="30"/>
          <w:szCs w:val="30"/>
          <w:highlight w:val="none"/>
        </w:rPr>
        <w:t>用户需求偏离表格式</w:t>
      </w:r>
      <w:bookmarkEnd w:id="680"/>
      <w:bookmarkEnd w:id="681"/>
      <w:bookmarkEnd w:id="682"/>
      <w:bookmarkEnd w:id="683"/>
      <w:bookmarkEnd w:id="684"/>
      <w:bookmarkEnd w:id="685"/>
      <w:bookmarkEnd w:id="686"/>
      <w:bookmarkEnd w:id="687"/>
      <w:bookmarkEnd w:id="694"/>
      <w:bookmarkEnd w:id="695"/>
      <w:bookmarkEnd w:id="696"/>
    </w:p>
    <w:p w14:paraId="7785EC63">
      <w:pPr>
        <w:spacing w:before="120" w:after="120" w:line="360" w:lineRule="auto"/>
        <w:jc w:val="center"/>
        <w:outlineLvl w:val="9"/>
        <w:rPr>
          <w:rFonts w:hint="eastAsia" w:ascii="宋体" w:hAnsi="宋体" w:eastAsia="宋体" w:cs="宋体"/>
          <w:kern w:val="0"/>
          <w:szCs w:val="21"/>
          <w:highlight w:val="none"/>
        </w:rPr>
      </w:pPr>
      <w:bookmarkStart w:id="697" w:name="_Toc17449_WPSOffice_Level3"/>
      <w:r>
        <w:rPr>
          <w:rFonts w:hint="eastAsia" w:ascii="宋体" w:hAnsi="宋体" w:eastAsia="宋体" w:cs="宋体"/>
          <w:b/>
          <w:kern w:val="0"/>
          <w:sz w:val="30"/>
          <w:szCs w:val="30"/>
          <w:highlight w:val="none"/>
          <w:lang w:val="zh-CN"/>
        </w:rPr>
        <w:t>用户需求偏离表</w:t>
      </w:r>
      <w:bookmarkEnd w:id="697"/>
    </w:p>
    <w:tbl>
      <w:tblPr>
        <w:tblStyle w:val="37"/>
        <w:tblW w:w="53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952"/>
        <w:gridCol w:w="6412"/>
        <w:gridCol w:w="722"/>
        <w:gridCol w:w="867"/>
        <w:gridCol w:w="830"/>
      </w:tblGrid>
      <w:tr w14:paraId="67348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83" w:type="pct"/>
            <w:vMerge w:val="restart"/>
            <w:vAlign w:val="center"/>
          </w:tcPr>
          <w:p w14:paraId="3F9008BD">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序号</w:t>
            </w:r>
          </w:p>
        </w:tc>
        <w:tc>
          <w:tcPr>
            <w:tcW w:w="3551" w:type="pct"/>
            <w:gridSpan w:val="2"/>
            <w:vAlign w:val="center"/>
          </w:tcPr>
          <w:p w14:paraId="2B8BB150">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招标文件要求</w:t>
            </w:r>
          </w:p>
        </w:tc>
        <w:tc>
          <w:tcPr>
            <w:tcW w:w="1165" w:type="pct"/>
            <w:gridSpan w:val="3"/>
            <w:vAlign w:val="center"/>
          </w:tcPr>
          <w:p w14:paraId="3F94051E">
            <w:pPr>
              <w:spacing w:line="400" w:lineRule="exact"/>
              <w:jc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投标文件内容</w:t>
            </w:r>
          </w:p>
        </w:tc>
      </w:tr>
      <w:tr w14:paraId="0328A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83" w:type="pct"/>
            <w:vMerge w:val="continue"/>
            <w:vAlign w:val="center"/>
          </w:tcPr>
          <w:p w14:paraId="2EA04C33">
            <w:pPr>
              <w:keepNext/>
              <w:keepLines/>
              <w:spacing w:line="400" w:lineRule="exact"/>
              <w:jc w:val="center"/>
              <w:outlineLvl w:val="9"/>
              <w:rPr>
                <w:rFonts w:hint="eastAsia" w:ascii="宋体" w:hAnsi="宋体" w:eastAsia="宋体" w:cs="宋体"/>
                <w:kern w:val="0"/>
                <w:sz w:val="21"/>
                <w:szCs w:val="21"/>
                <w:highlight w:val="none"/>
              </w:rPr>
            </w:pPr>
          </w:p>
        </w:tc>
        <w:tc>
          <w:tcPr>
            <w:tcW w:w="459" w:type="pct"/>
            <w:vAlign w:val="center"/>
          </w:tcPr>
          <w:p w14:paraId="67CB576E">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条款号</w:t>
            </w:r>
          </w:p>
        </w:tc>
        <w:tc>
          <w:tcPr>
            <w:tcW w:w="3092" w:type="pct"/>
            <w:vAlign w:val="center"/>
          </w:tcPr>
          <w:p w14:paraId="3C7D9022">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简要内容</w:t>
            </w:r>
          </w:p>
        </w:tc>
        <w:tc>
          <w:tcPr>
            <w:tcW w:w="348" w:type="pct"/>
            <w:vAlign w:val="center"/>
          </w:tcPr>
          <w:p w14:paraId="4B740975">
            <w:pPr>
              <w:spacing w:line="400" w:lineRule="exact"/>
              <w:jc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偏离情况</w:t>
            </w:r>
          </w:p>
        </w:tc>
        <w:tc>
          <w:tcPr>
            <w:tcW w:w="418" w:type="pct"/>
            <w:vAlign w:val="center"/>
          </w:tcPr>
          <w:p w14:paraId="659DAD6A">
            <w:pPr>
              <w:spacing w:line="400" w:lineRule="exact"/>
              <w:jc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实质性响应的具体内容</w:t>
            </w:r>
          </w:p>
        </w:tc>
        <w:tc>
          <w:tcPr>
            <w:tcW w:w="399" w:type="pct"/>
            <w:vAlign w:val="center"/>
          </w:tcPr>
          <w:p w14:paraId="72E2DB57">
            <w:pPr>
              <w:spacing w:line="400" w:lineRule="exact"/>
              <w:jc w:val="center"/>
              <w:rPr>
                <w:rFonts w:ascii="宋体" w:hAnsi="宋体" w:eastAsia="宋体" w:cs="宋体"/>
                <w:kern w:val="0"/>
                <w:sz w:val="18"/>
                <w:szCs w:val="18"/>
                <w:highlight w:val="none"/>
              </w:rPr>
            </w:pPr>
            <w:r>
              <w:rPr>
                <w:rFonts w:hint="eastAsia" w:ascii="宋体" w:hAnsi="宋体" w:eastAsia="宋体" w:cs="宋体"/>
                <w:kern w:val="0"/>
                <w:sz w:val="18"/>
                <w:szCs w:val="18"/>
                <w:highlight w:val="none"/>
              </w:rPr>
              <w:t>对应证明材料页码</w:t>
            </w:r>
          </w:p>
        </w:tc>
      </w:tr>
      <w:tr w14:paraId="7383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vAlign w:val="center"/>
          </w:tcPr>
          <w:p w14:paraId="563E8C09">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p>
        </w:tc>
        <w:tc>
          <w:tcPr>
            <w:tcW w:w="459" w:type="pct"/>
            <w:vAlign w:val="center"/>
          </w:tcPr>
          <w:p w14:paraId="78D3F264">
            <w:pPr>
              <w:spacing w:line="400" w:lineRule="exact"/>
              <w:jc w:val="center"/>
              <w:rPr>
                <w:rFonts w:hint="eastAsia" w:ascii="宋体" w:hAnsi="宋体" w:eastAsia="宋体" w:cs="宋体"/>
                <w:b w:val="0"/>
                <w:bCs/>
                <w:kern w:val="0"/>
                <w:sz w:val="21"/>
                <w:szCs w:val="21"/>
                <w:highlight w:val="none"/>
                <w:lang w:val="en-US" w:eastAsia="zh-CN"/>
              </w:rPr>
            </w:pPr>
            <w:r>
              <w:rPr>
                <w:rFonts w:hint="eastAsia" w:ascii="宋体" w:hAnsi="宋体" w:eastAsia="宋体" w:cs="宋体"/>
                <w:b w:val="0"/>
                <w:bCs/>
                <w:kern w:val="0"/>
                <w:sz w:val="21"/>
                <w:szCs w:val="21"/>
                <w:highlight w:val="none"/>
                <w:lang w:val="en-US" w:eastAsia="zh-CN"/>
              </w:rPr>
              <w:t>一</w:t>
            </w:r>
          </w:p>
        </w:tc>
        <w:tc>
          <w:tcPr>
            <w:tcW w:w="3092" w:type="pct"/>
            <w:vAlign w:val="center"/>
          </w:tcPr>
          <w:p w14:paraId="1163D17E">
            <w:pPr>
              <w:autoSpaceDE w:val="0"/>
              <w:autoSpaceDN w:val="0"/>
              <w:adjustRightInd w:val="0"/>
              <w:spacing w:line="400" w:lineRule="exact"/>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招标人基本情况描述</w:t>
            </w:r>
          </w:p>
        </w:tc>
        <w:tc>
          <w:tcPr>
            <w:tcW w:w="348" w:type="pct"/>
            <w:vAlign w:val="center"/>
          </w:tcPr>
          <w:p w14:paraId="7C2015A2">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194628A3">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56F4CED2">
            <w:pPr>
              <w:keepNext/>
              <w:keepLines/>
              <w:spacing w:line="400" w:lineRule="exact"/>
              <w:jc w:val="center"/>
              <w:outlineLvl w:val="9"/>
              <w:rPr>
                <w:rFonts w:ascii="宋体" w:hAnsi="宋体" w:eastAsia="宋体" w:cs="宋体"/>
                <w:kern w:val="0"/>
                <w:sz w:val="18"/>
                <w:szCs w:val="18"/>
                <w:highlight w:val="none"/>
              </w:rPr>
            </w:pPr>
          </w:p>
        </w:tc>
      </w:tr>
      <w:tr w14:paraId="4DE50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vAlign w:val="center"/>
          </w:tcPr>
          <w:p w14:paraId="6A5D7C71">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p>
        </w:tc>
        <w:tc>
          <w:tcPr>
            <w:tcW w:w="459" w:type="pct"/>
            <w:vAlign w:val="center"/>
          </w:tcPr>
          <w:p w14:paraId="25827173">
            <w:pPr>
              <w:spacing w:line="400" w:lineRule="exact"/>
              <w:jc w:val="center"/>
              <w:rPr>
                <w:rFonts w:hint="eastAsia" w:ascii="宋体" w:hAnsi="宋体" w:eastAsia="宋体" w:cs="宋体"/>
                <w:bCs/>
                <w:kern w:val="0"/>
                <w:sz w:val="21"/>
                <w:szCs w:val="21"/>
                <w:highlight w:val="none"/>
                <w:lang w:val="en-US" w:eastAsia="zh-CN"/>
              </w:rPr>
            </w:pPr>
            <w:r>
              <w:rPr>
                <w:rFonts w:hint="eastAsia" w:ascii="宋体" w:hAnsi="宋体" w:eastAsia="宋体" w:cs="宋体"/>
                <w:bCs/>
                <w:kern w:val="0"/>
                <w:sz w:val="21"/>
                <w:szCs w:val="21"/>
                <w:highlight w:val="none"/>
                <w:lang w:val="en-US" w:eastAsia="zh-CN"/>
              </w:rPr>
              <w:t>二</w:t>
            </w:r>
          </w:p>
        </w:tc>
        <w:tc>
          <w:tcPr>
            <w:tcW w:w="3092" w:type="pct"/>
            <w:vAlign w:val="center"/>
          </w:tcPr>
          <w:p w14:paraId="12FBF9A8">
            <w:pPr>
              <w:autoSpaceDE w:val="0"/>
              <w:autoSpaceDN w:val="0"/>
              <w:adjustRightInd w:val="0"/>
              <w:spacing w:line="400" w:lineRule="exact"/>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服务要求</w:t>
            </w:r>
          </w:p>
        </w:tc>
        <w:tc>
          <w:tcPr>
            <w:tcW w:w="348" w:type="pct"/>
            <w:vAlign w:val="center"/>
          </w:tcPr>
          <w:p w14:paraId="51E19B14">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65C396E1">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7E1DCE2B">
            <w:pPr>
              <w:keepNext/>
              <w:keepLines/>
              <w:spacing w:line="400" w:lineRule="exact"/>
              <w:jc w:val="center"/>
              <w:outlineLvl w:val="9"/>
              <w:rPr>
                <w:rFonts w:ascii="宋体" w:hAnsi="宋体" w:eastAsia="宋体" w:cs="宋体"/>
                <w:kern w:val="0"/>
                <w:sz w:val="18"/>
                <w:szCs w:val="18"/>
                <w:highlight w:val="none"/>
              </w:rPr>
            </w:pPr>
          </w:p>
        </w:tc>
      </w:tr>
      <w:tr w14:paraId="325D2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vAlign w:val="center"/>
          </w:tcPr>
          <w:p w14:paraId="794442AD">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w:t>
            </w:r>
          </w:p>
        </w:tc>
        <w:tc>
          <w:tcPr>
            <w:tcW w:w="459" w:type="pct"/>
            <w:vAlign w:val="center"/>
          </w:tcPr>
          <w:p w14:paraId="528B4169">
            <w:pPr>
              <w:spacing w:line="400" w:lineRule="exact"/>
              <w:jc w:val="center"/>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三</w:t>
            </w:r>
          </w:p>
        </w:tc>
        <w:tc>
          <w:tcPr>
            <w:tcW w:w="3092" w:type="pct"/>
            <w:vAlign w:val="center"/>
          </w:tcPr>
          <w:p w14:paraId="29A92767">
            <w:pPr>
              <w:autoSpaceDE w:val="0"/>
              <w:autoSpaceDN w:val="0"/>
              <w:adjustRightInd w:val="0"/>
              <w:spacing w:line="400" w:lineRule="exact"/>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服务期</w:t>
            </w:r>
          </w:p>
        </w:tc>
        <w:tc>
          <w:tcPr>
            <w:tcW w:w="348" w:type="pct"/>
            <w:vAlign w:val="center"/>
          </w:tcPr>
          <w:p w14:paraId="10513B4F">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7A7D9C0C">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523623D0">
            <w:pPr>
              <w:keepNext/>
              <w:keepLines/>
              <w:spacing w:line="400" w:lineRule="exact"/>
              <w:jc w:val="center"/>
              <w:outlineLvl w:val="9"/>
              <w:rPr>
                <w:rFonts w:ascii="宋体" w:hAnsi="宋体" w:eastAsia="宋体" w:cs="宋体"/>
                <w:kern w:val="0"/>
                <w:sz w:val="18"/>
                <w:szCs w:val="18"/>
                <w:highlight w:val="none"/>
              </w:rPr>
            </w:pPr>
          </w:p>
        </w:tc>
      </w:tr>
      <w:tr w14:paraId="5B03C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vAlign w:val="center"/>
          </w:tcPr>
          <w:p w14:paraId="73B9A158">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w:t>
            </w:r>
          </w:p>
        </w:tc>
        <w:tc>
          <w:tcPr>
            <w:tcW w:w="459" w:type="pct"/>
            <w:vAlign w:val="center"/>
          </w:tcPr>
          <w:p w14:paraId="40B20C06">
            <w:pPr>
              <w:spacing w:line="400" w:lineRule="exact"/>
              <w:jc w:val="center"/>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四</w:t>
            </w:r>
          </w:p>
        </w:tc>
        <w:tc>
          <w:tcPr>
            <w:tcW w:w="3092" w:type="pct"/>
            <w:vAlign w:val="center"/>
          </w:tcPr>
          <w:p w14:paraId="79F63162">
            <w:pPr>
              <w:autoSpaceDE w:val="0"/>
              <w:autoSpaceDN w:val="0"/>
              <w:adjustRightInd w:val="0"/>
              <w:spacing w:line="400" w:lineRule="exact"/>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费用组成及支付</w:t>
            </w:r>
          </w:p>
        </w:tc>
        <w:tc>
          <w:tcPr>
            <w:tcW w:w="348" w:type="pct"/>
            <w:vAlign w:val="center"/>
          </w:tcPr>
          <w:p w14:paraId="235E94F3">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2A0C5ED9">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2913B39F">
            <w:pPr>
              <w:keepNext/>
              <w:keepLines/>
              <w:spacing w:line="400" w:lineRule="exact"/>
              <w:jc w:val="center"/>
              <w:outlineLvl w:val="9"/>
              <w:rPr>
                <w:rFonts w:ascii="宋体" w:hAnsi="宋体" w:eastAsia="宋体" w:cs="宋体"/>
                <w:kern w:val="0"/>
                <w:sz w:val="18"/>
                <w:szCs w:val="18"/>
                <w:highlight w:val="none"/>
              </w:rPr>
            </w:pPr>
          </w:p>
        </w:tc>
      </w:tr>
      <w:tr w14:paraId="1575E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vAlign w:val="center"/>
          </w:tcPr>
          <w:p w14:paraId="56E8E622">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5</w:t>
            </w:r>
          </w:p>
        </w:tc>
        <w:tc>
          <w:tcPr>
            <w:tcW w:w="459" w:type="pct"/>
            <w:vAlign w:val="center"/>
          </w:tcPr>
          <w:p w14:paraId="42C6ABD9">
            <w:pPr>
              <w:spacing w:line="400" w:lineRule="exact"/>
              <w:jc w:val="center"/>
              <w:rPr>
                <w:rFonts w:hint="eastAsia" w:ascii="宋体" w:hAnsi="宋体" w:eastAsia="宋体" w:cs="宋体"/>
                <w:bCs/>
                <w:kern w:val="0"/>
                <w:sz w:val="21"/>
                <w:szCs w:val="21"/>
                <w:highlight w:val="none"/>
                <w:lang w:val="en-US" w:eastAsia="zh-CN"/>
              </w:rPr>
            </w:pPr>
            <w:r>
              <w:rPr>
                <w:rFonts w:hint="eastAsia" w:ascii="宋体" w:hAnsi="宋体" w:eastAsia="宋体" w:cs="宋体"/>
                <w:bCs/>
                <w:kern w:val="0"/>
                <w:sz w:val="21"/>
                <w:szCs w:val="21"/>
                <w:highlight w:val="none"/>
                <w:lang w:val="en-US" w:eastAsia="zh-CN"/>
              </w:rPr>
              <w:t>五</w:t>
            </w:r>
          </w:p>
        </w:tc>
        <w:tc>
          <w:tcPr>
            <w:tcW w:w="3092" w:type="pct"/>
            <w:vAlign w:val="center"/>
          </w:tcPr>
          <w:p w14:paraId="12262525">
            <w:pPr>
              <w:autoSpaceDE w:val="0"/>
              <w:autoSpaceDN w:val="0"/>
              <w:adjustRightInd w:val="0"/>
              <w:spacing w:line="400" w:lineRule="exact"/>
              <w:jc w:val="left"/>
              <w:rPr>
                <w:rFonts w:hint="eastAsia" w:ascii="宋体" w:hAnsi="宋体" w:eastAsia="宋体" w:cs="宋体"/>
                <w:bCs/>
                <w:kern w:val="0"/>
                <w:sz w:val="21"/>
                <w:szCs w:val="21"/>
                <w:highlight w:val="none"/>
              </w:rPr>
            </w:pPr>
            <w:r>
              <w:rPr>
                <w:rFonts w:hint="eastAsia" w:ascii="宋体" w:hAnsi="宋体" w:eastAsia="宋体" w:cs="宋体"/>
                <w:bCs/>
                <w:kern w:val="0"/>
                <w:sz w:val="21"/>
                <w:szCs w:val="21"/>
                <w:highlight w:val="none"/>
              </w:rPr>
              <w:t>争端的解决</w:t>
            </w:r>
          </w:p>
        </w:tc>
        <w:tc>
          <w:tcPr>
            <w:tcW w:w="348" w:type="pct"/>
            <w:vAlign w:val="center"/>
          </w:tcPr>
          <w:p w14:paraId="122979CD">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7F4DB3DA">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19AEFF26">
            <w:pPr>
              <w:keepNext/>
              <w:keepLines/>
              <w:spacing w:line="400" w:lineRule="exact"/>
              <w:jc w:val="center"/>
              <w:outlineLvl w:val="9"/>
              <w:rPr>
                <w:rFonts w:ascii="宋体" w:hAnsi="宋体" w:eastAsia="宋体" w:cs="宋体"/>
                <w:kern w:val="0"/>
                <w:sz w:val="18"/>
                <w:szCs w:val="18"/>
                <w:highlight w:val="none"/>
              </w:rPr>
            </w:pPr>
          </w:p>
        </w:tc>
      </w:tr>
      <w:tr w14:paraId="23A0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6"/>
            <w:vAlign w:val="center"/>
          </w:tcPr>
          <w:p w14:paraId="1673E701">
            <w:pPr>
              <w:keepNext/>
              <w:keepLines/>
              <w:spacing w:line="400" w:lineRule="exact"/>
              <w:jc w:val="both"/>
              <w:outlineLvl w:val="9"/>
              <w:rPr>
                <w:rFonts w:hint="eastAsia" w:ascii="宋体" w:hAnsi="宋体" w:eastAsia="宋体" w:cs="宋体"/>
                <w:kern w:val="0"/>
                <w:sz w:val="21"/>
                <w:szCs w:val="21"/>
                <w:highlight w:val="none"/>
              </w:rPr>
            </w:pPr>
            <w:r>
              <w:rPr>
                <w:rFonts w:hint="eastAsia" w:ascii="宋体" w:hAnsi="宋体" w:eastAsia="宋体" w:cs="宋体"/>
                <w:b/>
                <w:bCs/>
                <w:color w:val="auto"/>
                <w:kern w:val="2"/>
                <w:sz w:val="21"/>
                <w:szCs w:val="21"/>
                <w:highlight w:val="none"/>
                <w:lang w:val="en-US" w:eastAsia="zh-CN" w:bidi="ar"/>
              </w:rPr>
              <w:t>用户需求书</w:t>
            </w:r>
            <w:r>
              <w:rPr>
                <w:rFonts w:hint="eastAsia" w:ascii="宋体" w:hAnsi="宋体" w:eastAsia="宋体" w:cs="宋体"/>
                <w:b/>
                <w:bCs/>
                <w:color w:val="auto"/>
                <w:szCs w:val="21"/>
                <w:highlight w:val="none"/>
                <w:u w:val="none"/>
                <w:lang w:bidi="ar"/>
              </w:rPr>
              <w:t>“★”条款</w:t>
            </w:r>
            <w:r>
              <w:rPr>
                <w:rFonts w:hint="eastAsia" w:ascii="宋体" w:hAnsi="宋体" w:eastAsia="宋体" w:cs="宋体"/>
                <w:b/>
                <w:bCs/>
                <w:color w:val="auto"/>
                <w:szCs w:val="21"/>
                <w:highlight w:val="none"/>
                <w:u w:val="none"/>
                <w:lang w:val="en-US" w:eastAsia="zh-CN" w:bidi="ar"/>
              </w:rPr>
              <w:t>汇总</w:t>
            </w:r>
          </w:p>
        </w:tc>
      </w:tr>
      <w:tr w14:paraId="0EADC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83" w:type="pct"/>
            <w:vAlign w:val="center"/>
          </w:tcPr>
          <w:p w14:paraId="402C5BEA">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6</w:t>
            </w:r>
          </w:p>
        </w:tc>
        <w:tc>
          <w:tcPr>
            <w:tcW w:w="459" w:type="pct"/>
            <w:vAlign w:val="center"/>
          </w:tcPr>
          <w:p w14:paraId="5B7072B2">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一</w:t>
            </w:r>
          </w:p>
        </w:tc>
        <w:tc>
          <w:tcPr>
            <w:tcW w:w="3092" w:type="pct"/>
            <w:vAlign w:val="center"/>
          </w:tcPr>
          <w:p w14:paraId="398BD982">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kern w:val="2"/>
                <w:szCs w:val="21"/>
              </w:rPr>
              <w:t>★中标人须</w:t>
            </w:r>
            <w:r>
              <w:rPr>
                <w:rFonts w:hint="eastAsia" w:ascii="宋体" w:hAnsi="宋体" w:eastAsia="宋体" w:cs="宋体"/>
                <w:b/>
                <w:bCs/>
                <w:kern w:val="2"/>
                <w:szCs w:val="21"/>
                <w:lang w:val="en-US" w:eastAsia="zh-CN"/>
              </w:rPr>
              <w:t>同意</w:t>
            </w:r>
            <w:r>
              <w:rPr>
                <w:rFonts w:hint="eastAsia" w:ascii="宋体" w:hAnsi="宋体" w:eastAsia="宋体" w:cs="宋体"/>
                <w:b/>
                <w:bCs/>
                <w:kern w:val="2"/>
                <w:szCs w:val="21"/>
              </w:rPr>
              <w:t>，在本次招标结束后，招标人有权视实际情况增聘1家具备公司债主承销资质及发行经验的境内证券公司作为联席主承销商，协同完成本次债券注册发行工作。</w:t>
            </w:r>
          </w:p>
        </w:tc>
        <w:tc>
          <w:tcPr>
            <w:tcW w:w="348" w:type="pct"/>
            <w:vAlign w:val="center"/>
          </w:tcPr>
          <w:p w14:paraId="0DE9F141">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648E2359">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6DE35803">
            <w:pPr>
              <w:keepNext/>
              <w:keepLines/>
              <w:spacing w:line="400" w:lineRule="exact"/>
              <w:jc w:val="center"/>
              <w:outlineLvl w:val="9"/>
              <w:rPr>
                <w:rFonts w:ascii="宋体" w:hAnsi="宋体" w:eastAsia="宋体" w:cs="宋体"/>
                <w:kern w:val="0"/>
                <w:sz w:val="18"/>
                <w:szCs w:val="18"/>
                <w:highlight w:val="none"/>
              </w:rPr>
            </w:pPr>
          </w:p>
        </w:tc>
      </w:tr>
      <w:tr w14:paraId="6035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83" w:type="pct"/>
            <w:vAlign w:val="center"/>
          </w:tcPr>
          <w:p w14:paraId="4998C75B">
            <w:pPr>
              <w:spacing w:line="400" w:lineRule="exact"/>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7</w:t>
            </w:r>
          </w:p>
        </w:tc>
        <w:tc>
          <w:tcPr>
            <w:tcW w:w="459" w:type="pct"/>
            <w:vAlign w:val="center"/>
          </w:tcPr>
          <w:p w14:paraId="0E7B4ECC">
            <w:pPr>
              <w:spacing w:line="400" w:lineRule="exact"/>
              <w:jc w:val="center"/>
              <w:rPr>
                <w:rFonts w:hint="eastAsia" w:ascii="宋体" w:hAnsi="宋体" w:eastAsia="宋体" w:cs="宋体"/>
                <w:kern w:val="0"/>
                <w:sz w:val="21"/>
                <w:szCs w:val="21"/>
                <w:highlight w:val="none"/>
                <w:lang w:val="en-US" w:eastAsia="zh-CN"/>
              </w:rPr>
            </w:pPr>
          </w:p>
        </w:tc>
        <w:tc>
          <w:tcPr>
            <w:tcW w:w="3092" w:type="pct"/>
            <w:vAlign w:val="center"/>
          </w:tcPr>
          <w:p w14:paraId="39F621E8">
            <w:pPr>
              <w:spacing w:line="360" w:lineRule="auto"/>
              <w:ind w:firstLine="422" w:firstLineChars="200"/>
              <w:rPr>
                <w:rFonts w:hint="eastAsia" w:ascii="宋体" w:hAnsi="宋体" w:eastAsia="宋体" w:cs="宋体"/>
                <w:b/>
                <w:bCs/>
                <w:kern w:val="2"/>
                <w:szCs w:val="21"/>
              </w:rPr>
            </w:pPr>
            <w:r>
              <w:rPr>
                <w:rFonts w:hint="eastAsia" w:ascii="宋体" w:hAnsi="宋体" w:eastAsia="宋体" w:cs="宋体"/>
                <w:b/>
                <w:bCs/>
                <w:kern w:val="2"/>
                <w:szCs w:val="21"/>
              </w:rPr>
              <w:t>★</w:t>
            </w:r>
            <w:r>
              <w:rPr>
                <w:rFonts w:hint="eastAsia" w:ascii="宋体" w:hAnsi="宋体" w:eastAsia="宋体" w:cs="宋体"/>
                <w:b/>
                <w:bCs/>
                <w:sz w:val="21"/>
                <w:szCs w:val="21"/>
              </w:rPr>
              <w:t>（三）起草、完善本次注册发行公司债相关文件，对其他中介机构提供的申报材料进行总体把关，以完成全套申报材料的制作。</w:t>
            </w:r>
          </w:p>
        </w:tc>
        <w:tc>
          <w:tcPr>
            <w:tcW w:w="348" w:type="pct"/>
            <w:vAlign w:val="center"/>
          </w:tcPr>
          <w:p w14:paraId="64EB5089">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6E8D2F10">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78D4FD29">
            <w:pPr>
              <w:keepNext/>
              <w:keepLines/>
              <w:spacing w:line="400" w:lineRule="exact"/>
              <w:jc w:val="center"/>
              <w:outlineLvl w:val="9"/>
              <w:rPr>
                <w:rFonts w:ascii="宋体" w:hAnsi="宋体" w:eastAsia="宋体" w:cs="宋体"/>
                <w:kern w:val="0"/>
                <w:sz w:val="18"/>
                <w:szCs w:val="18"/>
                <w:highlight w:val="none"/>
              </w:rPr>
            </w:pPr>
          </w:p>
        </w:tc>
      </w:tr>
      <w:tr w14:paraId="2E05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277E4AFF">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8</w:t>
            </w:r>
          </w:p>
        </w:tc>
        <w:tc>
          <w:tcPr>
            <w:tcW w:w="459" w:type="pct"/>
            <w:vAlign w:val="center"/>
          </w:tcPr>
          <w:p w14:paraId="70DBF539">
            <w:pPr>
              <w:spacing w:line="400" w:lineRule="exact"/>
              <w:jc w:val="center"/>
              <w:rPr>
                <w:rFonts w:hint="eastAsia" w:ascii="宋体" w:hAnsi="宋体" w:eastAsia="宋体" w:cs="宋体"/>
                <w:kern w:val="0"/>
                <w:sz w:val="21"/>
                <w:szCs w:val="21"/>
                <w:highlight w:val="none"/>
              </w:rPr>
            </w:pPr>
          </w:p>
        </w:tc>
        <w:tc>
          <w:tcPr>
            <w:tcW w:w="3092" w:type="pct"/>
            <w:vAlign w:val="center"/>
          </w:tcPr>
          <w:p w14:paraId="15D8678C">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kern w:val="2"/>
                <w:szCs w:val="21"/>
              </w:rPr>
              <w:t>★</w:t>
            </w:r>
            <w:r>
              <w:rPr>
                <w:rFonts w:hint="eastAsia" w:ascii="宋体" w:hAnsi="宋体" w:eastAsia="宋体" w:cs="宋体"/>
                <w:b/>
                <w:bCs/>
                <w:sz w:val="21"/>
                <w:szCs w:val="21"/>
              </w:rPr>
              <w:t>（四）负责申报材料上报后，与监管部门沟通，推进审批进程，确保审批顺利。</w:t>
            </w:r>
          </w:p>
        </w:tc>
        <w:tc>
          <w:tcPr>
            <w:tcW w:w="348" w:type="pct"/>
            <w:vAlign w:val="center"/>
          </w:tcPr>
          <w:p w14:paraId="42050067">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0A257A90">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1C02D794">
            <w:pPr>
              <w:keepNext/>
              <w:keepLines/>
              <w:spacing w:line="400" w:lineRule="exact"/>
              <w:jc w:val="center"/>
              <w:outlineLvl w:val="9"/>
              <w:rPr>
                <w:rFonts w:ascii="宋体" w:hAnsi="宋体" w:eastAsia="宋体" w:cs="宋体"/>
                <w:kern w:val="0"/>
                <w:sz w:val="18"/>
                <w:szCs w:val="18"/>
                <w:highlight w:val="none"/>
              </w:rPr>
            </w:pPr>
          </w:p>
        </w:tc>
      </w:tr>
      <w:tr w14:paraId="446E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5BE6611D">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w:t>
            </w:r>
          </w:p>
        </w:tc>
        <w:tc>
          <w:tcPr>
            <w:tcW w:w="459" w:type="pct"/>
            <w:vAlign w:val="center"/>
          </w:tcPr>
          <w:p w14:paraId="5C98BCD1">
            <w:pPr>
              <w:spacing w:line="400" w:lineRule="exact"/>
              <w:jc w:val="center"/>
              <w:rPr>
                <w:rFonts w:hint="eastAsia" w:ascii="宋体" w:hAnsi="宋体" w:eastAsia="宋体" w:cs="宋体"/>
                <w:kern w:val="0"/>
                <w:sz w:val="21"/>
                <w:szCs w:val="21"/>
                <w:highlight w:val="none"/>
              </w:rPr>
            </w:pPr>
          </w:p>
        </w:tc>
        <w:tc>
          <w:tcPr>
            <w:tcW w:w="3092" w:type="pct"/>
            <w:vAlign w:val="center"/>
          </w:tcPr>
          <w:p w14:paraId="28E3DA1A">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kern w:val="2"/>
                <w:szCs w:val="21"/>
              </w:rPr>
              <w:t>★</w:t>
            </w:r>
            <w:r>
              <w:rPr>
                <w:rFonts w:hint="eastAsia" w:ascii="宋体" w:hAnsi="宋体" w:eastAsia="宋体" w:cs="宋体"/>
                <w:b/>
                <w:bCs/>
                <w:sz w:val="21"/>
                <w:szCs w:val="21"/>
              </w:rPr>
              <w:t>（五）在簿记建档前的初次询价结束后、簿记建档截标前、簿记建档结束后三个时间点向招标人提供“投资者认购单”。并汇总投资者反馈的信息，与招标人讨论确定合理价格区间。“投资者认购单”应至少包括：（1）投资者名称；（2）申购金额；（3）申购利率三个要素。</w:t>
            </w:r>
          </w:p>
        </w:tc>
        <w:tc>
          <w:tcPr>
            <w:tcW w:w="348" w:type="pct"/>
            <w:vAlign w:val="center"/>
          </w:tcPr>
          <w:p w14:paraId="4B4C4C30">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34533E38">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67F72A74">
            <w:pPr>
              <w:keepNext/>
              <w:keepLines/>
              <w:spacing w:line="400" w:lineRule="exact"/>
              <w:jc w:val="center"/>
              <w:outlineLvl w:val="9"/>
              <w:rPr>
                <w:rFonts w:ascii="宋体" w:hAnsi="宋体" w:eastAsia="宋体" w:cs="宋体"/>
                <w:kern w:val="0"/>
                <w:sz w:val="18"/>
                <w:szCs w:val="18"/>
                <w:highlight w:val="none"/>
              </w:rPr>
            </w:pPr>
          </w:p>
        </w:tc>
      </w:tr>
      <w:tr w14:paraId="036C9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1A985F47">
            <w:pPr>
              <w:spacing w:line="400" w:lineRule="exact"/>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10</w:t>
            </w:r>
          </w:p>
        </w:tc>
        <w:tc>
          <w:tcPr>
            <w:tcW w:w="459" w:type="pct"/>
            <w:vAlign w:val="center"/>
          </w:tcPr>
          <w:p w14:paraId="041E4716">
            <w:pPr>
              <w:spacing w:line="400" w:lineRule="exact"/>
              <w:jc w:val="center"/>
              <w:rPr>
                <w:rFonts w:hint="eastAsia" w:ascii="宋体" w:hAnsi="宋体" w:eastAsia="宋体" w:cs="宋体"/>
                <w:kern w:val="0"/>
                <w:sz w:val="21"/>
                <w:szCs w:val="21"/>
                <w:highlight w:val="none"/>
              </w:rPr>
            </w:pPr>
          </w:p>
        </w:tc>
        <w:tc>
          <w:tcPr>
            <w:tcW w:w="3092" w:type="pct"/>
            <w:vAlign w:val="center"/>
          </w:tcPr>
          <w:p w14:paraId="5D8FF64F">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kern w:val="2"/>
                <w:szCs w:val="21"/>
              </w:rPr>
              <w:t>★</w:t>
            </w:r>
            <w:r>
              <w:rPr>
                <w:rFonts w:hint="eastAsia" w:ascii="宋体" w:hAnsi="宋体" w:eastAsia="宋体" w:cs="宋体"/>
                <w:b/>
                <w:bCs/>
                <w:sz w:val="21"/>
                <w:szCs w:val="21"/>
              </w:rPr>
              <w:t>（六）承销比例由</w:t>
            </w:r>
            <w:r>
              <w:rPr>
                <w:rFonts w:hint="eastAsia" w:ascii="宋体" w:hAnsi="宋体" w:eastAsia="宋体" w:cs="宋体"/>
                <w:b/>
                <w:bCs/>
                <w:sz w:val="21"/>
                <w:szCs w:val="21"/>
                <w:lang w:val="en-US" w:eastAsia="zh-CN"/>
              </w:rPr>
              <w:t>各</w:t>
            </w:r>
            <w:r>
              <w:rPr>
                <w:rFonts w:hint="eastAsia" w:ascii="宋体" w:hAnsi="宋体" w:eastAsia="宋体" w:cs="宋体"/>
                <w:b/>
                <w:bCs/>
                <w:sz w:val="21"/>
                <w:szCs w:val="21"/>
              </w:rPr>
              <w:t>家承销商自行商议确定，各承销商应依托自身客户资源，按承销比例履行余额包销义务。</w:t>
            </w:r>
          </w:p>
        </w:tc>
        <w:tc>
          <w:tcPr>
            <w:tcW w:w="348" w:type="pct"/>
            <w:vAlign w:val="center"/>
          </w:tcPr>
          <w:p w14:paraId="18E3D4A2">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77D4F8F3">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0D2DC2A7">
            <w:pPr>
              <w:keepNext/>
              <w:keepLines/>
              <w:spacing w:line="400" w:lineRule="exact"/>
              <w:jc w:val="center"/>
              <w:outlineLvl w:val="9"/>
              <w:rPr>
                <w:rFonts w:ascii="宋体" w:hAnsi="宋体" w:eastAsia="宋体" w:cs="宋体"/>
                <w:kern w:val="0"/>
                <w:sz w:val="18"/>
                <w:szCs w:val="18"/>
                <w:highlight w:val="none"/>
              </w:rPr>
            </w:pPr>
          </w:p>
        </w:tc>
      </w:tr>
      <w:tr w14:paraId="7F649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08953192">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11</w:t>
            </w:r>
          </w:p>
        </w:tc>
        <w:tc>
          <w:tcPr>
            <w:tcW w:w="459" w:type="pct"/>
            <w:vAlign w:val="center"/>
          </w:tcPr>
          <w:p w14:paraId="57E3A1F7">
            <w:pPr>
              <w:spacing w:line="400" w:lineRule="exact"/>
              <w:jc w:val="center"/>
              <w:rPr>
                <w:rFonts w:hint="eastAsia" w:ascii="宋体" w:hAnsi="宋体" w:eastAsia="宋体" w:cs="宋体"/>
                <w:kern w:val="0"/>
                <w:sz w:val="21"/>
                <w:szCs w:val="21"/>
                <w:highlight w:val="none"/>
              </w:rPr>
            </w:pPr>
          </w:p>
        </w:tc>
        <w:tc>
          <w:tcPr>
            <w:tcW w:w="3092" w:type="pct"/>
            <w:vAlign w:val="center"/>
          </w:tcPr>
          <w:p w14:paraId="605D8852">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kern w:val="2"/>
                <w:szCs w:val="21"/>
              </w:rPr>
              <w:t>★</w:t>
            </w:r>
            <w:r>
              <w:rPr>
                <w:rFonts w:hint="eastAsia" w:ascii="宋体" w:hAnsi="宋体" w:eastAsia="宋体" w:cs="宋体"/>
                <w:b/>
                <w:bCs/>
                <w:sz w:val="21"/>
                <w:szCs w:val="21"/>
              </w:rPr>
              <w:t>（九）协助付息及本金兑付工作，跟踪做好年度信息或重大信息披露工作。</w:t>
            </w:r>
          </w:p>
        </w:tc>
        <w:tc>
          <w:tcPr>
            <w:tcW w:w="348" w:type="pct"/>
            <w:vAlign w:val="center"/>
          </w:tcPr>
          <w:p w14:paraId="0B5FCF3D">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1A9A3890">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074CE4A1">
            <w:pPr>
              <w:keepNext/>
              <w:keepLines/>
              <w:spacing w:line="400" w:lineRule="exact"/>
              <w:jc w:val="center"/>
              <w:outlineLvl w:val="9"/>
              <w:rPr>
                <w:rFonts w:ascii="宋体" w:hAnsi="宋体" w:eastAsia="宋体" w:cs="宋体"/>
                <w:kern w:val="0"/>
                <w:sz w:val="18"/>
                <w:szCs w:val="18"/>
                <w:highlight w:val="none"/>
              </w:rPr>
            </w:pPr>
          </w:p>
        </w:tc>
      </w:tr>
      <w:tr w14:paraId="72215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3" w:type="pct"/>
            <w:vAlign w:val="center"/>
          </w:tcPr>
          <w:p w14:paraId="5D3927B5">
            <w:pPr>
              <w:spacing w:line="400" w:lineRule="exact"/>
              <w:jc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11</w:t>
            </w:r>
          </w:p>
        </w:tc>
        <w:tc>
          <w:tcPr>
            <w:tcW w:w="459" w:type="pct"/>
            <w:vAlign w:val="center"/>
          </w:tcPr>
          <w:p w14:paraId="76C18F48">
            <w:pPr>
              <w:spacing w:line="400" w:lineRule="exact"/>
              <w:jc w:val="center"/>
              <w:rPr>
                <w:rFonts w:hint="eastAsia" w:ascii="宋体" w:hAnsi="宋体" w:eastAsia="宋体" w:cs="宋体"/>
                <w:kern w:val="0"/>
                <w:sz w:val="21"/>
                <w:szCs w:val="21"/>
                <w:highlight w:val="none"/>
              </w:rPr>
            </w:pPr>
            <w:r>
              <w:rPr>
                <w:rFonts w:hint="eastAsia" w:ascii="宋体" w:hAnsi="宋体" w:eastAsia="宋体" w:cs="宋体"/>
                <w:b/>
                <w:bCs/>
                <w:sz w:val="21"/>
                <w:szCs w:val="21"/>
              </w:rPr>
              <w:t>四</w:t>
            </w:r>
          </w:p>
        </w:tc>
        <w:tc>
          <w:tcPr>
            <w:tcW w:w="3092" w:type="pct"/>
            <w:vAlign w:val="center"/>
          </w:tcPr>
          <w:p w14:paraId="66A46BB7">
            <w:pPr>
              <w:autoSpaceDE/>
              <w:autoSpaceDN/>
              <w:adjustRightInd/>
              <w:spacing w:line="360" w:lineRule="auto"/>
              <w:ind w:firstLine="422" w:firstLineChars="200"/>
              <w:rPr>
                <w:rFonts w:hint="eastAsia" w:ascii="宋体" w:hAnsi="宋体" w:eastAsia="宋体" w:cs="宋体"/>
                <w:sz w:val="21"/>
                <w:szCs w:val="21"/>
              </w:rPr>
            </w:pPr>
            <w:r>
              <w:rPr>
                <w:rFonts w:hint="eastAsia" w:ascii="宋体" w:hAnsi="宋体" w:eastAsia="宋体" w:cs="宋体"/>
                <w:b/>
                <w:bCs/>
                <w:sz w:val="21"/>
                <w:szCs w:val="21"/>
              </w:rPr>
              <w:t>★1.承销费用。本项目采用承销费率的方式进行报价，即以承销费占募集款项的比例的形式报价。本次费用已含中标人履行本招标内容全部义务的一切费用，包括但不限于发行费、文本制作费、信息披露费、修改费、咨询费、审查费、报批费用、现场服务费、差旅费、通讯费、现场办公费、税金及利润、路演推介费等投标人全面妥善履行发行工作内容的全部费用，除律师费、评级费、会计师费、登记托管兑付费以及双方另有约定的应由招标人支付的项目外，招标人不再支付其他任何费用。</w:t>
            </w:r>
          </w:p>
          <w:p w14:paraId="529BC594">
            <w:pPr>
              <w:spacing w:line="36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在本项目服务过程中，招标人将向受托管理人</w:t>
            </w:r>
            <w:r>
              <w:rPr>
                <w:rFonts w:hint="eastAsia" w:ascii="宋体" w:hAnsi="宋体" w:eastAsia="宋体" w:cs="宋体"/>
                <w:b/>
                <w:bCs/>
                <w:color w:val="auto"/>
                <w:sz w:val="21"/>
                <w:szCs w:val="21"/>
                <w:highlight w:val="none"/>
                <w:lang w:val="en-US" w:eastAsia="zh-CN"/>
              </w:rPr>
              <w:t>（即牵头主承销商）</w:t>
            </w:r>
            <w:r>
              <w:rPr>
                <w:rFonts w:hint="eastAsia" w:ascii="宋体" w:hAnsi="宋体" w:eastAsia="宋体" w:cs="宋体"/>
                <w:b/>
                <w:bCs/>
                <w:color w:val="auto"/>
                <w:sz w:val="21"/>
                <w:szCs w:val="21"/>
                <w:lang w:val="en-US" w:eastAsia="zh-CN"/>
              </w:rPr>
              <w:t>支付受托管理费，受托管理费的含税最高限价为150,000.00元（大写：人民币壹拾伍万元整），投标人须单独填报受托管理费投标报价，且投标报价不得超过含税最高限价。该费用为固定总价包干（包含牵头主承销商在存续期内所有受托管理服务的成本、税费，不包含承销费、登记托管费等发行阶段费用），除发生合同约定的变更情形外，结算时不予调整</w:t>
            </w:r>
            <w:r>
              <w:rPr>
                <w:rFonts w:hint="eastAsia" w:ascii="宋体" w:hAnsi="宋体" w:eastAsia="宋体" w:cs="宋体"/>
                <w:b/>
                <w:bCs/>
                <w:color w:val="auto"/>
                <w:sz w:val="21"/>
                <w:szCs w:val="21"/>
              </w:rPr>
              <w:t>。</w:t>
            </w:r>
          </w:p>
          <w:p w14:paraId="45C98BB4">
            <w:pPr>
              <w:spacing w:line="360" w:lineRule="auto"/>
              <w:ind w:firstLine="422" w:firstLineChars="200"/>
              <w:rPr>
                <w:rFonts w:hint="eastAsia" w:ascii="宋体" w:hAnsi="宋体" w:eastAsia="宋体" w:cs="宋体"/>
                <w:sz w:val="21"/>
                <w:szCs w:val="21"/>
                <w:highlight w:val="none"/>
              </w:rPr>
            </w:pPr>
            <w:r>
              <w:rPr>
                <w:rFonts w:hint="eastAsia" w:ascii="宋体" w:hAnsi="宋体" w:eastAsia="宋体" w:cs="宋体"/>
                <w:b/>
                <w:bCs/>
                <w:color w:val="auto"/>
                <w:sz w:val="21"/>
                <w:szCs w:val="21"/>
              </w:rPr>
              <w:t>★联席主承销商报价若高于主承销商报价，则联席主承销商承销费率</w:t>
            </w:r>
            <w:r>
              <w:rPr>
                <w:rFonts w:hint="eastAsia" w:ascii="宋体" w:hAnsi="宋体" w:eastAsia="宋体" w:cs="宋体"/>
                <w:b/>
                <w:bCs/>
                <w:color w:val="auto"/>
                <w:sz w:val="21"/>
                <w:szCs w:val="21"/>
                <w:lang w:val="en-US" w:eastAsia="zh-CN"/>
              </w:rPr>
              <w:t>必须</w:t>
            </w:r>
            <w:r>
              <w:rPr>
                <w:rFonts w:hint="eastAsia" w:ascii="宋体" w:hAnsi="宋体" w:eastAsia="宋体" w:cs="宋体"/>
                <w:b/>
                <w:bCs/>
                <w:color w:val="auto"/>
                <w:sz w:val="21"/>
                <w:szCs w:val="21"/>
              </w:rPr>
              <w:t>以主承销商报价作为最终承销费率收取标准。</w:t>
            </w:r>
          </w:p>
        </w:tc>
        <w:tc>
          <w:tcPr>
            <w:tcW w:w="348" w:type="pct"/>
            <w:vAlign w:val="center"/>
          </w:tcPr>
          <w:p w14:paraId="05EF7CFD">
            <w:pPr>
              <w:keepNext/>
              <w:keepLines/>
              <w:spacing w:line="400" w:lineRule="exact"/>
              <w:jc w:val="center"/>
              <w:outlineLvl w:val="9"/>
              <w:rPr>
                <w:rFonts w:ascii="宋体" w:hAnsi="宋体" w:eastAsia="宋体" w:cs="宋体"/>
                <w:kern w:val="0"/>
                <w:sz w:val="18"/>
                <w:szCs w:val="18"/>
                <w:highlight w:val="none"/>
              </w:rPr>
            </w:pPr>
          </w:p>
        </w:tc>
        <w:tc>
          <w:tcPr>
            <w:tcW w:w="418" w:type="pct"/>
            <w:vAlign w:val="center"/>
          </w:tcPr>
          <w:p w14:paraId="017885AB">
            <w:pPr>
              <w:keepNext/>
              <w:keepLines/>
              <w:spacing w:line="400" w:lineRule="exact"/>
              <w:jc w:val="center"/>
              <w:outlineLvl w:val="9"/>
              <w:rPr>
                <w:rFonts w:ascii="宋体" w:hAnsi="宋体" w:eastAsia="宋体" w:cs="宋体"/>
                <w:kern w:val="0"/>
                <w:sz w:val="18"/>
                <w:szCs w:val="18"/>
                <w:highlight w:val="none"/>
              </w:rPr>
            </w:pPr>
          </w:p>
        </w:tc>
        <w:tc>
          <w:tcPr>
            <w:tcW w:w="399" w:type="pct"/>
            <w:vAlign w:val="center"/>
          </w:tcPr>
          <w:p w14:paraId="7CC7A459">
            <w:pPr>
              <w:keepNext/>
              <w:keepLines/>
              <w:spacing w:line="400" w:lineRule="exact"/>
              <w:jc w:val="center"/>
              <w:outlineLvl w:val="9"/>
              <w:rPr>
                <w:rFonts w:ascii="宋体" w:hAnsi="宋体" w:eastAsia="宋体" w:cs="宋体"/>
                <w:kern w:val="0"/>
                <w:sz w:val="18"/>
                <w:szCs w:val="18"/>
                <w:highlight w:val="none"/>
              </w:rPr>
            </w:pPr>
          </w:p>
        </w:tc>
      </w:tr>
    </w:tbl>
    <w:p w14:paraId="5C97CC86">
      <w:pPr>
        <w:spacing w:line="360" w:lineRule="auto"/>
        <w:outlineLvl w:val="9"/>
        <w:rPr>
          <w:rFonts w:hint="eastAsia" w:ascii="宋体" w:hAnsi="宋体" w:eastAsia="宋体" w:cs="宋体"/>
          <w:szCs w:val="21"/>
          <w:highlight w:val="none"/>
        </w:rPr>
      </w:pPr>
    </w:p>
    <w:p w14:paraId="49BDA773">
      <w:pPr>
        <w:spacing w:line="360" w:lineRule="auto"/>
        <w:outlineLvl w:val="9"/>
        <w:rPr>
          <w:rFonts w:hint="eastAsia" w:ascii="宋体" w:hAnsi="宋体" w:eastAsia="宋体" w:cs="宋体"/>
          <w:szCs w:val="21"/>
          <w:highlight w:val="none"/>
        </w:rPr>
      </w:pPr>
      <w:r>
        <w:rPr>
          <w:rFonts w:hint="eastAsia" w:ascii="宋体" w:hAnsi="宋体" w:eastAsia="宋体" w:cs="宋体"/>
          <w:szCs w:val="21"/>
          <w:highlight w:val="none"/>
        </w:rPr>
        <w:t>备注：</w:t>
      </w:r>
    </w:p>
    <w:p w14:paraId="03E756C3">
      <w:pPr>
        <w:spacing w:line="360" w:lineRule="auto"/>
        <w:ind w:left="605" w:leftChars="18" w:hanging="567" w:hangingChars="270"/>
        <w:outlineLvl w:val="9"/>
        <w:rPr>
          <w:rFonts w:hint="eastAsia" w:ascii="宋体" w:hAnsi="宋体" w:eastAsia="宋体" w:cs="宋体"/>
          <w:b/>
          <w:bCs w:val="0"/>
          <w:color w:val="auto"/>
          <w:szCs w:val="21"/>
          <w:highlight w:val="none"/>
          <w:u w:val="single"/>
        </w:rPr>
      </w:pPr>
      <w:r>
        <w:rPr>
          <w:rFonts w:hint="eastAsia" w:ascii="宋体" w:hAnsi="宋体" w:eastAsia="宋体" w:cs="宋体"/>
          <w:szCs w:val="21"/>
          <w:highlight w:val="none"/>
        </w:rPr>
        <w:t>（1）</w:t>
      </w:r>
      <w:r>
        <w:rPr>
          <w:rFonts w:hint="eastAsia" w:ascii="宋体" w:hAnsi="宋体" w:eastAsia="宋体" w:cs="宋体"/>
          <w:b/>
          <w:color w:val="auto"/>
          <w:szCs w:val="21"/>
          <w:highlight w:val="none"/>
          <w:u w:val="single"/>
        </w:rPr>
        <w:t>投标人应对照招标文件用户需求书的响应</w:t>
      </w:r>
      <w:r>
        <w:rPr>
          <w:rFonts w:hint="eastAsia" w:ascii="宋体" w:hAnsi="宋体" w:eastAsia="宋体" w:cs="宋体"/>
          <w:b/>
          <w:color w:val="auto"/>
          <w:szCs w:val="21"/>
          <w:highlight w:val="none"/>
          <w:u w:val="single"/>
          <w:lang w:eastAsia="zh-CN"/>
        </w:rPr>
        <w:t>（其中“一、招标人基本情况描述”除外）</w:t>
      </w:r>
      <w:r>
        <w:rPr>
          <w:rFonts w:hint="eastAsia" w:ascii="宋体" w:hAnsi="宋体" w:eastAsia="宋体" w:cs="宋体"/>
          <w:b/>
          <w:color w:val="auto"/>
          <w:szCs w:val="21"/>
          <w:highlight w:val="none"/>
          <w:u w:val="single"/>
        </w:rPr>
        <w:t>，逐条逐项、如实地填写“偏离情况”，</w:t>
      </w:r>
      <w:r>
        <w:rPr>
          <w:rFonts w:hint="eastAsia" w:ascii="宋体" w:hAnsi="宋体" w:eastAsia="宋体" w:cs="宋体"/>
          <w:b/>
          <w:color w:val="auto"/>
          <w:kern w:val="0"/>
          <w:szCs w:val="21"/>
          <w:highlight w:val="none"/>
          <w:u w:val="single"/>
        </w:rPr>
        <w:t>若发现未填写本表，或虚假填写本表，或伪造、变造证明材料的，按无效投标文件处理</w:t>
      </w:r>
      <w:r>
        <w:rPr>
          <w:rFonts w:hint="eastAsia" w:ascii="宋体" w:hAnsi="宋体" w:eastAsia="宋体" w:cs="宋体"/>
          <w:b/>
          <w:color w:val="auto"/>
          <w:szCs w:val="21"/>
          <w:highlight w:val="none"/>
          <w:u w:val="single"/>
        </w:rPr>
        <w:t>。若招标文件用户需求书中有“★”条款须逐条逐项、如实地填写“偏离情况”，未填写“★”条款以外的条款的，视为完全满足招标文件要求。</w:t>
      </w:r>
    </w:p>
    <w:p w14:paraId="01E4B896">
      <w:pPr>
        <w:spacing w:line="360" w:lineRule="auto"/>
        <w:ind w:left="605" w:leftChars="18" w:hanging="567" w:hangingChars="270"/>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偏离情况（投标文件对招标文件用户需求的响应程度）分为：正偏离、负偏离、无偏离。正偏离是指投标人对用户需求响应优于招标文件的要求；负偏离是指投标人对用户需求响应不满足或不完全满足招标文件的要求；无偏离是指投标人对用户需求响应完全满足招标文件的要求。 </w:t>
      </w:r>
    </w:p>
    <w:p w14:paraId="51404C86">
      <w:pPr>
        <w:spacing w:line="360" w:lineRule="auto"/>
        <w:ind w:left="607" w:leftChars="18" w:hanging="569" w:hangingChars="270"/>
        <w:outlineLvl w:val="9"/>
        <w:rPr>
          <w:rFonts w:hint="eastAsia" w:ascii="宋体" w:hAnsi="宋体" w:eastAsia="宋体" w:cs="宋体"/>
          <w:b/>
          <w:color w:val="auto"/>
          <w:kern w:val="0"/>
          <w:szCs w:val="21"/>
          <w:highlight w:val="none"/>
          <w:u w:val="single"/>
        </w:rPr>
      </w:pPr>
      <w:r>
        <w:rPr>
          <w:rFonts w:hint="eastAsia" w:ascii="宋体" w:hAnsi="宋体" w:eastAsia="宋体" w:cs="宋体"/>
          <w:b/>
          <w:color w:val="auto"/>
          <w:szCs w:val="21"/>
          <w:highlight w:val="none"/>
        </w:rPr>
        <w:t>（3）</w:t>
      </w:r>
      <w:r>
        <w:rPr>
          <w:rFonts w:hint="eastAsia" w:ascii="宋体" w:hAnsi="宋体" w:eastAsia="宋体" w:cs="宋体"/>
          <w:b/>
          <w:color w:val="auto"/>
          <w:kern w:val="0"/>
          <w:szCs w:val="21"/>
          <w:highlight w:val="none"/>
          <w:u w:val="single"/>
        </w:rPr>
        <w:t>应逐条</w:t>
      </w:r>
      <w:r>
        <w:rPr>
          <w:rFonts w:hint="eastAsia" w:ascii="宋体" w:hAnsi="宋体" w:eastAsia="宋体" w:cs="宋体"/>
          <w:b/>
          <w:color w:val="auto"/>
          <w:szCs w:val="21"/>
          <w:highlight w:val="none"/>
          <w:u w:val="single"/>
        </w:rPr>
        <w:t>逐项</w:t>
      </w:r>
      <w:r>
        <w:rPr>
          <w:rFonts w:hint="eastAsia" w:ascii="宋体" w:hAnsi="宋体" w:eastAsia="宋体" w:cs="宋体"/>
          <w:b/>
          <w:color w:val="auto"/>
          <w:kern w:val="0"/>
          <w:szCs w:val="21"/>
          <w:highlight w:val="none"/>
          <w:u w:val="single"/>
        </w:rPr>
        <w:t>、如实地填写“偏离情况”。“偏离情况”项为正偏离（或负偏离）的，必须在“实质性响应的具体内容”项内详细说明与招标文件的偏离内容，“偏离情况”项为无偏离的，在“实质性响应的具体内容”项内填“完全响应招标文件要求”即可，也可进一步说明投标响应的具体内容。投标人可将反映</w:t>
      </w:r>
      <w:r>
        <w:rPr>
          <w:rFonts w:hint="eastAsia" w:ascii="宋体" w:hAnsi="宋体" w:eastAsia="宋体" w:cs="宋体"/>
          <w:b/>
          <w:color w:val="auto"/>
          <w:kern w:val="0"/>
          <w:szCs w:val="21"/>
          <w:highlight w:val="none"/>
          <w:u w:val="single"/>
          <w:lang w:val="en-US" w:eastAsia="zh-CN"/>
        </w:rPr>
        <w:t>服务能力</w:t>
      </w:r>
      <w:r>
        <w:rPr>
          <w:rFonts w:hint="eastAsia" w:ascii="宋体" w:hAnsi="宋体" w:eastAsia="宋体" w:cs="宋体"/>
          <w:b/>
          <w:color w:val="auto"/>
          <w:kern w:val="0"/>
          <w:szCs w:val="21"/>
          <w:highlight w:val="none"/>
          <w:u w:val="single"/>
        </w:rPr>
        <w:t>的技术支持资料作为本表的附件，并在本偏离表“对应证明材料页码”项内注明其在投标文件中的具体页码。</w:t>
      </w:r>
    </w:p>
    <w:p w14:paraId="30A7EF6F">
      <w:pPr>
        <w:spacing w:line="360" w:lineRule="auto"/>
        <w:ind w:left="607" w:leftChars="18" w:hanging="569" w:hangingChars="270"/>
        <w:outlineLvl w:val="9"/>
        <w:rPr>
          <w:rFonts w:hint="eastAsia" w:ascii="宋体" w:hAnsi="宋体" w:eastAsia="宋体" w:cs="宋体"/>
          <w:b/>
          <w:color w:val="auto"/>
          <w:kern w:val="0"/>
          <w:szCs w:val="21"/>
          <w:highlight w:val="none"/>
          <w:u w:val="single"/>
        </w:rPr>
      </w:pPr>
      <w:r>
        <w:rPr>
          <w:rFonts w:hint="eastAsia" w:ascii="宋体" w:hAnsi="宋体" w:eastAsia="宋体" w:cs="宋体"/>
          <w:b/>
          <w:color w:val="auto"/>
          <w:szCs w:val="21"/>
          <w:highlight w:val="none"/>
        </w:rPr>
        <w:t>（4）</w:t>
      </w:r>
      <w:r>
        <w:rPr>
          <w:rFonts w:hint="eastAsia" w:ascii="宋体" w:hAnsi="宋体" w:eastAsia="宋体" w:cs="宋体"/>
          <w:b/>
          <w:color w:val="auto"/>
          <w:kern w:val="0"/>
          <w:szCs w:val="21"/>
          <w:highlight w:val="none"/>
          <w:u w:val="single"/>
        </w:rPr>
        <w:t>凡标有“★”的地方均被视为重要的技术指标要求或性能要求。投标人要特别加以注意，必须对此回答并完全满足这些要求，否则若有一项带“★”的指标未响应或不满足，将按无效投标处</w:t>
      </w:r>
      <w:r>
        <w:rPr>
          <w:rFonts w:hint="eastAsia" w:ascii="宋体" w:hAnsi="宋体" w:eastAsia="宋体" w:cs="宋体"/>
          <w:b/>
          <w:bCs w:val="0"/>
          <w:color w:val="auto"/>
          <w:kern w:val="0"/>
          <w:szCs w:val="21"/>
          <w:highlight w:val="none"/>
          <w:u w:val="single"/>
        </w:rPr>
        <w:t>理</w:t>
      </w:r>
      <w:r>
        <w:rPr>
          <w:rFonts w:hint="eastAsia" w:ascii="宋体" w:hAnsi="宋体" w:eastAsia="宋体" w:cs="宋体"/>
          <w:b/>
          <w:bCs w:val="0"/>
          <w:color w:val="auto"/>
          <w:kern w:val="0"/>
          <w:sz w:val="24"/>
          <w:szCs w:val="21"/>
          <w:highlight w:val="none"/>
          <w:u w:val="single"/>
          <w:lang w:val="zh-CN"/>
        </w:rPr>
        <w:t>。</w:t>
      </w:r>
    </w:p>
    <w:p w14:paraId="03346D80">
      <w:pPr>
        <w:spacing w:line="360" w:lineRule="auto"/>
        <w:outlineLvl w:val="9"/>
        <w:rPr>
          <w:rFonts w:hint="eastAsia" w:ascii="宋体" w:hAnsi="宋体" w:eastAsia="宋体" w:cs="宋体"/>
          <w:szCs w:val="21"/>
          <w:highlight w:val="none"/>
        </w:rPr>
      </w:pPr>
    </w:p>
    <w:p w14:paraId="6E63F02D">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65031B3C">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435688BF">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6179C6AB">
      <w:pPr>
        <w:widowControl/>
        <w:autoSpaceDE w:val="0"/>
        <w:autoSpaceDN w:val="0"/>
        <w:adjustRightInd w:val="0"/>
        <w:spacing w:line="360" w:lineRule="auto"/>
        <w:jc w:val="center"/>
        <w:rPr>
          <w:rFonts w:hint="eastAsia" w:ascii="宋体" w:hAnsi="宋体" w:eastAsia="宋体" w:cs="宋体"/>
          <w:color w:val="auto"/>
          <w:szCs w:val="21"/>
          <w:highlight w:val="none"/>
        </w:rPr>
      </w:pPr>
      <w:r>
        <w:rPr>
          <w:rFonts w:hint="eastAsia" w:ascii="宋体" w:hAnsi="宋体" w:eastAsia="宋体" w:cs="宋体"/>
          <w:b/>
          <w:bCs/>
          <w:color w:val="auto"/>
          <w:szCs w:val="24"/>
          <w:highlight w:val="none"/>
          <w:lang w:val="zh-CN"/>
        </w:rPr>
        <w:t>说明：由投标人使用投标人的企业数字证书电子签名。</w:t>
      </w:r>
    </w:p>
    <w:p w14:paraId="0091DFEB">
      <w:pPr>
        <w:tabs>
          <w:tab w:val="left" w:pos="567"/>
        </w:tabs>
        <w:autoSpaceDE w:val="0"/>
        <w:autoSpaceDN w:val="0"/>
        <w:adjustRightInd w:val="0"/>
        <w:spacing w:line="360" w:lineRule="auto"/>
        <w:jc w:val="left"/>
        <w:outlineLvl w:val="9"/>
        <w:rPr>
          <w:rFonts w:hint="eastAsia" w:ascii="宋体" w:hAnsi="宋体" w:eastAsia="宋体" w:cs="宋体"/>
          <w:b/>
          <w:kern w:val="0"/>
          <w:sz w:val="30"/>
          <w:szCs w:val="30"/>
          <w:highlight w:val="none"/>
          <w:lang w:eastAsia="zh-CN"/>
        </w:rPr>
      </w:pPr>
      <w:r>
        <w:rPr>
          <w:rFonts w:hint="eastAsia" w:ascii="宋体" w:hAnsi="宋体" w:eastAsia="宋体" w:cs="宋体"/>
          <w:b/>
          <w:kern w:val="0"/>
          <w:sz w:val="30"/>
          <w:szCs w:val="30"/>
          <w:highlight w:val="none"/>
        </w:rPr>
        <w:br w:type="page"/>
      </w:r>
    </w:p>
    <w:p w14:paraId="2A36800A">
      <w:pPr>
        <w:autoSpaceDE/>
        <w:autoSpaceDN/>
        <w:adjustRightInd/>
        <w:spacing w:line="240" w:lineRule="auto"/>
        <w:jc w:val="left"/>
        <w:outlineLvl w:val="9"/>
        <w:rPr>
          <w:rFonts w:hint="eastAsia" w:ascii="宋体" w:hAnsi="宋体" w:eastAsia="宋体" w:cs="宋体"/>
          <w:b/>
          <w:color w:val="auto"/>
          <w:kern w:val="0"/>
          <w:sz w:val="30"/>
          <w:szCs w:val="30"/>
          <w:highlight w:val="none"/>
          <w:lang w:eastAsia="zh-CN"/>
        </w:rPr>
      </w:pPr>
      <w:r>
        <w:rPr>
          <w:rFonts w:hint="eastAsia" w:ascii="宋体" w:hAnsi="宋体" w:eastAsia="宋体" w:cs="宋体"/>
          <w:b/>
          <w:bCs w:val="0"/>
          <w:color w:val="auto"/>
          <w:kern w:val="0"/>
          <w:sz w:val="30"/>
          <w:szCs w:val="30"/>
          <w:highlight w:val="none"/>
          <w:lang w:val="en-US" w:eastAsia="zh-CN"/>
        </w:rPr>
        <w:t>二、</w:t>
      </w:r>
      <w:r>
        <w:rPr>
          <w:rFonts w:hint="eastAsia" w:ascii="宋体" w:hAnsi="宋体" w:eastAsia="宋体" w:cs="宋体"/>
          <w:b/>
          <w:color w:val="auto"/>
          <w:kern w:val="0"/>
          <w:sz w:val="30"/>
          <w:szCs w:val="30"/>
          <w:highlight w:val="none"/>
        </w:rPr>
        <w:t>承销人员及销售资源配备</w:t>
      </w:r>
    </w:p>
    <w:p w14:paraId="0926700F">
      <w:pPr>
        <w:pStyle w:val="45"/>
        <w:rPr>
          <w:rFonts w:hint="eastAsia"/>
        </w:rPr>
      </w:pPr>
    </w:p>
    <w:p w14:paraId="677E0373">
      <w:pPr>
        <w:pageBreakBefore/>
        <w:rPr>
          <w:rFonts w:hint="eastAsia" w:ascii="宋体" w:hAnsi="宋体" w:eastAsia="宋体" w:cs="宋体"/>
          <w:b/>
          <w:kern w:val="0"/>
          <w:sz w:val="30"/>
          <w:szCs w:val="30"/>
          <w:highlight w:val="none"/>
          <w:lang w:val="en-US" w:eastAsia="zh-CN"/>
        </w:rPr>
      </w:pPr>
      <w:bookmarkStart w:id="698" w:name="_Toc102860438"/>
      <w:bookmarkStart w:id="699" w:name="_Toc142508389"/>
      <w:bookmarkStart w:id="700" w:name="_Toc104991896"/>
      <w:bookmarkStart w:id="701" w:name="_Toc140596949"/>
      <w:bookmarkStart w:id="702" w:name="_Toc102860094"/>
      <w:bookmarkStart w:id="703" w:name="_Toc533708139"/>
      <w:r>
        <w:rPr>
          <w:rFonts w:hint="eastAsia" w:ascii="宋体" w:hAnsi="宋体" w:eastAsia="宋体" w:cs="宋体"/>
          <w:b/>
          <w:kern w:val="0"/>
          <w:sz w:val="30"/>
          <w:szCs w:val="30"/>
          <w:highlight w:val="none"/>
          <w:lang w:val="en-US" w:eastAsia="zh-CN"/>
        </w:rPr>
        <w:t>三、受托管理费用</w:t>
      </w:r>
    </w:p>
    <w:p w14:paraId="326A7685">
      <w:pPr>
        <w:spacing w:line="360" w:lineRule="auto"/>
        <w:jc w:val="center"/>
        <w:rPr>
          <w:rFonts w:hint="eastAsia" w:ascii="宋体" w:hAnsi="宋体" w:eastAsia="宋体" w:cs="宋体"/>
          <w:b/>
          <w:bCs/>
          <w:kern w:val="2"/>
          <w:sz w:val="30"/>
          <w:szCs w:val="30"/>
          <w:highlight w:val="none"/>
          <w:lang w:val="zh-CN" w:eastAsia="zh-CN"/>
        </w:rPr>
      </w:pPr>
      <w:r>
        <w:rPr>
          <w:rFonts w:hint="eastAsia" w:ascii="宋体" w:hAnsi="宋体" w:eastAsia="宋体" w:cs="宋体"/>
          <w:b/>
          <w:bCs/>
          <w:sz w:val="30"/>
          <w:szCs w:val="30"/>
          <w:highlight w:val="none"/>
          <w:lang w:val="zh-CN" w:eastAsia="zh-CN" w:bidi="ar"/>
        </w:rPr>
        <w:t>受托管理费用报价书</w:t>
      </w:r>
    </w:p>
    <w:p w14:paraId="5CFC4E0F">
      <w:pPr>
        <w:spacing w:line="360" w:lineRule="auto"/>
        <w:rPr>
          <w:rFonts w:hint="eastAsia" w:ascii="宋体" w:hAnsi="宋体" w:eastAsia="宋体" w:cs="宋体"/>
          <w:b/>
          <w:bCs/>
          <w:kern w:val="0"/>
          <w:szCs w:val="21"/>
          <w:highlight w:val="none"/>
          <w:lang w:eastAsia="zh-CN"/>
        </w:rPr>
      </w:pPr>
      <w:r>
        <w:rPr>
          <w:rFonts w:hint="eastAsia" w:ascii="宋体" w:hAnsi="宋体" w:eastAsia="宋体" w:cs="宋体"/>
          <w:b/>
          <w:bCs/>
          <w:kern w:val="0"/>
          <w:szCs w:val="21"/>
          <w:highlight w:val="none"/>
        </w:rPr>
        <w:t>项目名称：</w:t>
      </w:r>
      <w:r>
        <w:rPr>
          <w:rFonts w:hint="eastAsia" w:ascii="宋体" w:hAnsi="宋体" w:eastAsia="宋体" w:cs="宋体"/>
          <w:kern w:val="0"/>
          <w:szCs w:val="21"/>
          <w:highlight w:val="none"/>
          <w:u w:val="single"/>
          <w:lang w:eastAsia="zh-CN"/>
        </w:rPr>
        <w:t>东莞市水务环境投资控股集团有限公司注册发行60亿元公司债承销商采购项目（重新招标）</w:t>
      </w:r>
    </w:p>
    <w:p w14:paraId="1C8F0640">
      <w:pPr>
        <w:spacing w:line="360" w:lineRule="auto"/>
        <w:rPr>
          <w:rFonts w:hint="default" w:ascii="宋体" w:hAnsi="宋体" w:eastAsia="宋体" w:cs="宋体"/>
          <w:kern w:val="0"/>
          <w:szCs w:val="21"/>
          <w:highlight w:val="none"/>
          <w:u w:val="single"/>
          <w:lang w:val="en-US" w:eastAsia="zh-CN"/>
        </w:rPr>
      </w:pPr>
      <w:r>
        <w:rPr>
          <w:rFonts w:hint="eastAsia" w:ascii="宋体" w:hAnsi="宋体" w:eastAsia="宋体" w:cs="宋体"/>
          <w:b/>
          <w:kern w:val="0"/>
          <w:szCs w:val="21"/>
          <w:highlight w:val="none"/>
        </w:rPr>
        <w:t>招标编号：</w:t>
      </w:r>
      <w:r>
        <w:rPr>
          <w:rFonts w:hint="eastAsia" w:ascii="宋体" w:hAnsi="宋体" w:eastAsia="宋体" w:cs="宋体"/>
          <w:kern w:val="0"/>
          <w:szCs w:val="21"/>
          <w:highlight w:val="none"/>
          <w:u w:val="single"/>
          <w:lang w:val="en-US" w:eastAsia="zh-CN"/>
        </w:rPr>
        <w:t xml:space="preserve">                          </w:t>
      </w:r>
    </w:p>
    <w:tbl>
      <w:tblPr>
        <w:tblStyle w:val="37"/>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65"/>
        <w:gridCol w:w="3795"/>
        <w:gridCol w:w="3673"/>
        <w:gridCol w:w="1243"/>
      </w:tblGrid>
      <w:tr w14:paraId="7B16A5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499" w:type="pct"/>
            <w:tcBorders>
              <w:top w:val="single" w:color="auto" w:sz="4" w:space="0"/>
              <w:left w:val="single" w:color="auto" w:sz="4" w:space="0"/>
              <w:bottom w:val="single" w:color="auto" w:sz="4" w:space="0"/>
              <w:right w:val="single" w:color="auto" w:sz="4" w:space="0"/>
            </w:tcBorders>
            <w:vAlign w:val="center"/>
          </w:tcPr>
          <w:p w14:paraId="16DD7C02">
            <w:pPr>
              <w:autoSpaceDE w:val="0"/>
              <w:autoSpaceDN w:val="0"/>
              <w:spacing w:line="360" w:lineRule="auto"/>
              <w:jc w:val="center"/>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序号</w:t>
            </w:r>
          </w:p>
        </w:tc>
        <w:tc>
          <w:tcPr>
            <w:tcW w:w="1960" w:type="pct"/>
            <w:tcBorders>
              <w:top w:val="single" w:color="auto" w:sz="4" w:space="0"/>
              <w:left w:val="single" w:color="auto" w:sz="4" w:space="0"/>
              <w:bottom w:val="single" w:color="auto" w:sz="4" w:space="0"/>
              <w:right w:val="single" w:color="auto" w:sz="4" w:space="0"/>
            </w:tcBorders>
            <w:vAlign w:val="center"/>
          </w:tcPr>
          <w:p w14:paraId="73A9CEE2">
            <w:pPr>
              <w:autoSpaceDE w:val="0"/>
              <w:autoSpaceDN w:val="0"/>
              <w:spacing w:line="360" w:lineRule="auto"/>
              <w:jc w:val="center"/>
              <w:rPr>
                <w:rFonts w:ascii="宋体" w:hAnsi="宋体" w:eastAsia="宋体" w:cs="Times New Roman"/>
                <w:b/>
                <w:color w:val="auto"/>
                <w:kern w:val="0"/>
                <w:szCs w:val="21"/>
                <w:highlight w:val="none"/>
              </w:rPr>
            </w:pPr>
            <w:r>
              <w:rPr>
                <w:rFonts w:hint="eastAsia" w:ascii="宋体" w:hAnsi="宋体" w:eastAsia="宋体" w:cs="宋体"/>
                <w:b/>
                <w:bCs/>
                <w:sz w:val="21"/>
                <w:szCs w:val="21"/>
              </w:rPr>
              <w:t>投标人名称</w:t>
            </w:r>
          </w:p>
        </w:tc>
        <w:tc>
          <w:tcPr>
            <w:tcW w:w="1897" w:type="pct"/>
            <w:tcBorders>
              <w:top w:val="single" w:color="auto" w:sz="4" w:space="0"/>
              <w:left w:val="single" w:color="auto" w:sz="4" w:space="0"/>
              <w:bottom w:val="single" w:color="auto" w:sz="4" w:space="0"/>
              <w:right w:val="single" w:color="auto" w:sz="4" w:space="0"/>
            </w:tcBorders>
            <w:vAlign w:val="center"/>
          </w:tcPr>
          <w:p w14:paraId="4E4EE7E1">
            <w:pPr>
              <w:tabs>
                <w:tab w:val="left" w:pos="654"/>
                <w:tab w:val="left" w:pos="1734"/>
                <w:tab w:val="left" w:pos="2814"/>
                <w:tab w:val="left" w:pos="3894"/>
                <w:tab w:val="left" w:pos="5334"/>
                <w:tab w:val="left" w:pos="6414"/>
                <w:tab w:val="left" w:pos="7254"/>
                <w:tab w:val="left" w:pos="8574"/>
                <w:tab w:val="left" w:pos="9654"/>
              </w:tabs>
              <w:snapToGrid w:val="0"/>
              <w:spacing w:line="560" w:lineRule="exact"/>
              <w:jc w:val="center"/>
              <w:rPr>
                <w:rFonts w:hint="default" w:ascii="宋体" w:hAnsi="宋体" w:eastAsia="宋体" w:cs="Times New Roman"/>
                <w:b/>
                <w:color w:val="auto"/>
                <w:kern w:val="0"/>
                <w:szCs w:val="21"/>
                <w:highlight w:val="none"/>
                <w:lang w:val="en-US"/>
              </w:rPr>
            </w:pPr>
            <w:r>
              <w:rPr>
                <w:rFonts w:hint="eastAsia" w:ascii="宋体" w:hAnsi="宋体" w:eastAsia="宋体" w:cs="宋体"/>
                <w:b/>
                <w:bCs/>
                <w:sz w:val="21"/>
                <w:szCs w:val="21"/>
                <w:lang w:val="en-US" w:eastAsia="zh-CN"/>
              </w:rPr>
              <w:t>受托管理费(元)</w:t>
            </w:r>
          </w:p>
        </w:tc>
        <w:tc>
          <w:tcPr>
            <w:tcW w:w="642" w:type="pct"/>
            <w:tcBorders>
              <w:top w:val="single" w:color="auto" w:sz="4" w:space="0"/>
              <w:left w:val="single" w:color="auto" w:sz="4" w:space="0"/>
              <w:bottom w:val="single" w:color="auto" w:sz="4" w:space="0"/>
              <w:right w:val="single" w:color="auto" w:sz="4" w:space="0"/>
            </w:tcBorders>
            <w:vAlign w:val="center"/>
          </w:tcPr>
          <w:p w14:paraId="1D12AD5E">
            <w:pPr>
              <w:autoSpaceDE w:val="0"/>
              <w:autoSpaceDN w:val="0"/>
              <w:spacing w:line="360" w:lineRule="auto"/>
              <w:jc w:val="center"/>
              <w:rPr>
                <w:rFonts w:ascii="宋体" w:hAnsi="宋体" w:eastAsia="宋体" w:cs="Times New Roman"/>
                <w:b/>
                <w:color w:val="auto"/>
                <w:kern w:val="0"/>
                <w:szCs w:val="21"/>
                <w:highlight w:val="none"/>
              </w:rPr>
            </w:pPr>
            <w:r>
              <w:rPr>
                <w:rFonts w:hint="eastAsia" w:ascii="宋体" w:hAnsi="宋体" w:eastAsia="宋体" w:cs="Times New Roman"/>
                <w:b/>
                <w:color w:val="auto"/>
                <w:kern w:val="0"/>
                <w:szCs w:val="21"/>
                <w:highlight w:val="none"/>
              </w:rPr>
              <w:t>备注</w:t>
            </w:r>
          </w:p>
        </w:tc>
      </w:tr>
      <w:tr w14:paraId="6C922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499" w:type="pct"/>
            <w:tcBorders>
              <w:top w:val="single" w:color="auto" w:sz="4" w:space="0"/>
              <w:left w:val="single" w:color="auto" w:sz="4" w:space="0"/>
              <w:right w:val="single" w:color="auto" w:sz="4" w:space="0"/>
            </w:tcBorders>
            <w:vAlign w:val="center"/>
          </w:tcPr>
          <w:p w14:paraId="2DFF62E7">
            <w:pPr>
              <w:autoSpaceDE w:val="0"/>
              <w:autoSpaceDN w:val="0"/>
              <w:spacing w:line="360" w:lineRule="auto"/>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1960" w:type="pct"/>
            <w:tcBorders>
              <w:top w:val="single" w:color="auto" w:sz="4" w:space="0"/>
              <w:left w:val="single" w:color="auto" w:sz="4" w:space="0"/>
              <w:right w:val="single" w:color="auto" w:sz="4" w:space="0"/>
            </w:tcBorders>
            <w:vAlign w:val="center"/>
          </w:tcPr>
          <w:p w14:paraId="7647A628">
            <w:pPr>
              <w:autoSpaceDE w:val="0"/>
              <w:autoSpaceDN w:val="0"/>
              <w:spacing w:line="360" w:lineRule="auto"/>
              <w:jc w:val="center"/>
              <w:rPr>
                <w:rFonts w:ascii="宋体" w:hAnsi="宋体" w:eastAsia="宋体" w:cs="Times New Roman"/>
                <w:color w:val="auto"/>
                <w:kern w:val="0"/>
                <w:szCs w:val="21"/>
                <w:highlight w:val="none"/>
              </w:rPr>
            </w:pPr>
          </w:p>
        </w:tc>
        <w:tc>
          <w:tcPr>
            <w:tcW w:w="1897" w:type="pct"/>
            <w:tcBorders>
              <w:top w:val="single" w:color="auto" w:sz="4" w:space="0"/>
              <w:left w:val="single" w:color="auto" w:sz="4" w:space="0"/>
              <w:right w:val="single" w:color="auto" w:sz="4" w:space="0"/>
            </w:tcBorders>
            <w:vAlign w:val="center"/>
          </w:tcPr>
          <w:p w14:paraId="3B5D10EF">
            <w:pPr>
              <w:tabs>
                <w:tab w:val="left" w:pos="8610"/>
              </w:tabs>
              <w:spacing w:line="360" w:lineRule="auto"/>
              <w:jc w:val="center"/>
              <w:rPr>
                <w:rFonts w:ascii="宋体" w:hAnsi="宋体" w:eastAsia="宋体" w:cs="Times New Roman"/>
                <w:color w:val="auto"/>
                <w:kern w:val="0"/>
                <w:szCs w:val="21"/>
                <w:highlight w:val="none"/>
              </w:rPr>
            </w:pPr>
          </w:p>
        </w:tc>
        <w:tc>
          <w:tcPr>
            <w:tcW w:w="642" w:type="pct"/>
            <w:tcBorders>
              <w:top w:val="single" w:color="auto" w:sz="4" w:space="0"/>
              <w:left w:val="single" w:color="auto" w:sz="4" w:space="0"/>
              <w:right w:val="single" w:color="auto" w:sz="4" w:space="0"/>
            </w:tcBorders>
            <w:vAlign w:val="center"/>
          </w:tcPr>
          <w:p w14:paraId="5CC04F4F">
            <w:pPr>
              <w:tabs>
                <w:tab w:val="left" w:pos="8610"/>
              </w:tabs>
              <w:spacing w:line="360" w:lineRule="auto"/>
              <w:jc w:val="center"/>
              <w:rPr>
                <w:rFonts w:ascii="宋体" w:hAnsi="宋体" w:eastAsia="宋体" w:cs="Times New Roman"/>
                <w:color w:val="auto"/>
                <w:kern w:val="0"/>
                <w:szCs w:val="21"/>
                <w:highlight w:val="none"/>
              </w:rPr>
            </w:pPr>
          </w:p>
        </w:tc>
      </w:tr>
    </w:tbl>
    <w:p w14:paraId="70AC6718">
      <w:pPr>
        <w:autoSpaceDE w:val="0"/>
        <w:autoSpaceDN w:val="0"/>
        <w:adjustRightInd w:val="0"/>
        <w:spacing w:line="360" w:lineRule="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p w14:paraId="06442156">
      <w:pPr>
        <w:autoSpaceDE w:val="0"/>
        <w:autoSpaceDN w:val="0"/>
        <w:adjustRightInd w:val="0"/>
        <w:snapToGrid w:val="0"/>
        <w:spacing w:line="360" w:lineRule="auto"/>
        <w:ind w:left="605" w:leftChars="18" w:hanging="567" w:hangingChars="27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hint="eastAsia" w:ascii="宋体" w:hAnsi="宋体" w:eastAsia="宋体" w:cs="宋体"/>
          <w:kern w:val="2"/>
          <w:sz w:val="21"/>
          <w:szCs w:val="21"/>
        </w:rPr>
        <w:t>报价为</w:t>
      </w:r>
      <w:r>
        <w:rPr>
          <w:rFonts w:hint="eastAsia" w:ascii="宋体" w:hAnsi="宋体" w:eastAsia="宋体" w:cs="宋体"/>
          <w:kern w:val="2"/>
          <w:sz w:val="21"/>
          <w:szCs w:val="21"/>
          <w:lang w:val="en-US" w:eastAsia="zh-CN"/>
        </w:rPr>
        <w:t>固定总价包干（包含主承销商在存续期内所有受托管理服务的成本、税费，不包含承销费、登记托管费等发行阶段费用），除发生合同约定的变更情形外，结算时不予调整</w:t>
      </w:r>
      <w:r>
        <w:rPr>
          <w:rFonts w:hint="eastAsia" w:ascii="宋体" w:hAnsi="宋体" w:eastAsia="宋体" w:cs="Times New Roman"/>
          <w:color w:val="auto"/>
          <w:kern w:val="0"/>
          <w:szCs w:val="21"/>
          <w:highlight w:val="none"/>
        </w:rPr>
        <w:t>。</w:t>
      </w:r>
    </w:p>
    <w:p w14:paraId="487CAE41">
      <w:pPr>
        <w:autoSpaceDE w:val="0"/>
        <w:autoSpaceDN w:val="0"/>
        <w:adjustRightInd w:val="0"/>
        <w:snapToGrid w:val="0"/>
        <w:spacing w:line="360" w:lineRule="auto"/>
        <w:ind w:left="607" w:leftChars="18" w:hanging="569" w:hangingChars="270"/>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w:t>
      </w:r>
      <w:r>
        <w:rPr>
          <w:rFonts w:ascii="宋体" w:hAnsi="宋体" w:eastAsia="宋体" w:cs="Times New Roman"/>
          <w:b/>
          <w:bCs/>
          <w:color w:val="auto"/>
          <w:kern w:val="0"/>
          <w:szCs w:val="21"/>
          <w:highlight w:val="none"/>
        </w:rPr>
        <w:t>2</w:t>
      </w:r>
      <w:r>
        <w:rPr>
          <w:rFonts w:hint="eastAsia" w:ascii="宋体" w:hAnsi="宋体" w:eastAsia="宋体" w:cs="Times New Roman"/>
          <w:b/>
          <w:bCs/>
          <w:color w:val="auto"/>
          <w:kern w:val="0"/>
          <w:szCs w:val="21"/>
          <w:highlight w:val="none"/>
        </w:rPr>
        <w:t>）投标人的</w:t>
      </w:r>
      <w:r>
        <w:rPr>
          <w:rFonts w:hint="eastAsia" w:ascii="宋体" w:hAnsi="宋体" w:eastAsia="宋体" w:cs="宋体"/>
          <w:b/>
          <w:bCs/>
          <w:sz w:val="21"/>
          <w:szCs w:val="21"/>
          <w:lang w:val="en-US" w:eastAsia="zh-CN"/>
        </w:rPr>
        <w:t>受托管理费</w:t>
      </w:r>
      <w:r>
        <w:rPr>
          <w:rFonts w:hint="eastAsia" w:ascii="宋体" w:hAnsi="宋体" w:eastAsia="宋体" w:cs="宋体"/>
          <w:b/>
          <w:color w:val="000000"/>
          <w:sz w:val="21"/>
          <w:szCs w:val="21"/>
        </w:rPr>
        <w:t>报价高于招标文件</w:t>
      </w:r>
      <w:r>
        <w:rPr>
          <w:rFonts w:hint="eastAsia" w:ascii="宋体" w:hAnsi="宋体" w:eastAsia="宋体" w:cs="宋体"/>
          <w:b/>
          <w:bCs/>
          <w:sz w:val="21"/>
          <w:szCs w:val="21"/>
          <w:lang w:val="en-US" w:eastAsia="zh-CN"/>
        </w:rPr>
        <w:t>受托管理费的含税最高限价</w:t>
      </w:r>
      <w:r>
        <w:rPr>
          <w:rFonts w:hint="eastAsia" w:ascii="宋体" w:hAnsi="宋体" w:eastAsia="宋体" w:cs="宋体"/>
          <w:b/>
          <w:color w:val="000000"/>
          <w:sz w:val="21"/>
          <w:szCs w:val="21"/>
        </w:rPr>
        <w:t>的</w:t>
      </w:r>
      <w:r>
        <w:rPr>
          <w:rFonts w:hint="eastAsia" w:ascii="宋体" w:hAnsi="宋体" w:eastAsia="宋体" w:cs="Times New Roman"/>
          <w:b/>
          <w:bCs/>
          <w:color w:val="auto"/>
          <w:kern w:val="0"/>
          <w:szCs w:val="21"/>
          <w:highlight w:val="none"/>
        </w:rPr>
        <w:t>，该投标人的投标文件将被视为无效投标。</w:t>
      </w:r>
    </w:p>
    <w:p w14:paraId="40F0A610">
      <w:pPr>
        <w:autoSpaceDE w:val="0"/>
        <w:autoSpaceDN w:val="0"/>
        <w:adjustRightInd w:val="0"/>
        <w:snapToGrid w:val="0"/>
        <w:spacing w:line="360" w:lineRule="auto"/>
        <w:ind w:left="605" w:leftChars="18" w:hanging="567" w:hangingChars="270"/>
        <w:jc w:val="left"/>
        <w:rPr>
          <w:rFonts w:hint="eastAsia" w:ascii="宋体" w:hAnsi="宋体" w:eastAsia="宋体" w:cs="Times New Roman"/>
          <w:color w:val="auto"/>
          <w:kern w:val="0"/>
          <w:szCs w:val="21"/>
          <w:highlight w:val="none"/>
        </w:rPr>
      </w:pPr>
      <w:r>
        <w:rPr>
          <w:rFonts w:hint="eastAsia" w:ascii="宋体" w:hAnsi="宋体" w:eastAsia="宋体" w:cs="Times New Roman"/>
          <w:bCs/>
          <w:color w:val="auto"/>
          <w:kern w:val="0"/>
          <w:szCs w:val="21"/>
          <w:highlight w:val="none"/>
          <w:lang w:val="zh-CN"/>
        </w:rPr>
        <w:t>（</w:t>
      </w:r>
      <w:r>
        <w:rPr>
          <w:rFonts w:hint="eastAsia" w:ascii="宋体" w:hAnsi="宋体" w:eastAsia="宋体" w:cs="Times New Roman"/>
          <w:bCs/>
          <w:color w:val="auto"/>
          <w:kern w:val="0"/>
          <w:szCs w:val="21"/>
          <w:highlight w:val="none"/>
          <w:lang w:val="en-US" w:eastAsia="zh-CN"/>
        </w:rPr>
        <w:t>4</w:t>
      </w:r>
      <w:r>
        <w:rPr>
          <w:rFonts w:hint="eastAsia" w:ascii="宋体" w:hAnsi="宋体" w:eastAsia="宋体" w:cs="Times New Roman"/>
          <w:bCs/>
          <w:color w:val="auto"/>
          <w:kern w:val="0"/>
          <w:szCs w:val="21"/>
          <w:highlight w:val="none"/>
          <w:lang w:val="zh-CN"/>
        </w:rPr>
        <w:t>）</w:t>
      </w:r>
      <w:r>
        <w:rPr>
          <w:rFonts w:hint="eastAsia" w:ascii="宋体" w:hAnsi="宋体" w:eastAsia="宋体" w:cs="Times New Roman"/>
          <w:color w:val="auto"/>
          <w:kern w:val="0"/>
          <w:szCs w:val="21"/>
          <w:highlight w:val="none"/>
        </w:rPr>
        <w:t>报价保留小数点后两位。</w:t>
      </w:r>
    </w:p>
    <w:p w14:paraId="4F64C3E1">
      <w:pPr>
        <w:autoSpaceDE w:val="0"/>
        <w:autoSpaceDN w:val="0"/>
        <w:adjustRightInd w:val="0"/>
        <w:snapToGrid w:val="0"/>
        <w:spacing w:line="360" w:lineRule="auto"/>
        <w:ind w:left="605" w:leftChars="18" w:hanging="567" w:hangingChars="270"/>
        <w:jc w:val="left"/>
        <w:rPr>
          <w:rFonts w:hint="eastAsia" w:ascii="宋体" w:hAnsi="宋体" w:eastAsia="宋体" w:cs="Times New Roman"/>
          <w:color w:val="auto"/>
          <w:kern w:val="0"/>
          <w:szCs w:val="21"/>
          <w:highlight w:val="none"/>
        </w:rPr>
      </w:pPr>
    </w:p>
    <w:p w14:paraId="460D1A42">
      <w:pPr>
        <w:autoSpaceDE w:val="0"/>
        <w:autoSpaceDN w:val="0"/>
        <w:adjustRightInd w:val="0"/>
        <w:spacing w:line="360" w:lineRule="auto"/>
        <w:ind w:firstLine="3780" w:firstLineChars="18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投标人：</w:t>
      </w:r>
      <w:r>
        <w:rPr>
          <w:rFonts w:hint="eastAsia" w:ascii="宋体" w:hAnsi="宋体" w:eastAsia="宋体" w:cs="宋体"/>
          <w:color w:val="auto"/>
          <w:szCs w:val="21"/>
          <w:highlight w:val="none"/>
          <w:u w:val="single"/>
          <w:lang w:val="zh-CN"/>
        </w:rPr>
        <w:t xml:space="preserve">             （企业数字证书电子签名）</w:t>
      </w:r>
    </w:p>
    <w:p w14:paraId="2E0A3259">
      <w:pPr>
        <w:autoSpaceDE w:val="0"/>
        <w:autoSpaceDN w:val="0"/>
        <w:adjustRightInd w:val="0"/>
        <w:spacing w:line="360" w:lineRule="auto"/>
        <w:ind w:firstLine="3780" w:firstLineChars="1800"/>
        <w:rPr>
          <w:rFonts w:hint="eastAsia" w:ascii="宋体" w:hAnsi="宋体" w:eastAsia="宋体" w:cs="宋体"/>
          <w:color w:val="auto"/>
          <w:szCs w:val="24"/>
          <w:highlight w:val="none"/>
          <w:lang w:val="zh-CN"/>
        </w:rPr>
      </w:pPr>
      <w:r>
        <w:rPr>
          <w:rFonts w:hint="eastAsia" w:ascii="宋体" w:hAnsi="宋体" w:eastAsia="宋体" w:cs="宋体"/>
          <w:color w:val="auto"/>
          <w:szCs w:val="21"/>
          <w:highlight w:val="none"/>
          <w:lang w:val="zh-CN"/>
        </w:rPr>
        <w:t>日</w:t>
      </w:r>
      <w:r>
        <w:rPr>
          <w:rFonts w:hint="eastAsia" w:ascii="宋体" w:hAnsi="宋体" w:eastAsia="宋体" w:cs="宋体"/>
          <w:color w:val="auto"/>
          <w:szCs w:val="24"/>
          <w:highlight w:val="none"/>
          <w:lang w:val="zh-CN"/>
        </w:rPr>
        <w:t>期：   年   月   日</w:t>
      </w:r>
    </w:p>
    <w:p w14:paraId="75A72901">
      <w:pPr>
        <w:autoSpaceDE w:val="0"/>
        <w:autoSpaceDN w:val="0"/>
        <w:adjustRightInd w:val="0"/>
        <w:spacing w:line="360" w:lineRule="auto"/>
        <w:jc w:val="center"/>
        <w:rPr>
          <w:rFonts w:hint="eastAsia" w:ascii="宋体" w:hAnsi="宋体" w:eastAsia="宋体" w:cs="宋体"/>
          <w:b/>
          <w:bCs/>
          <w:color w:val="auto"/>
          <w:szCs w:val="24"/>
          <w:highlight w:val="none"/>
          <w:lang w:val="zh-CN"/>
        </w:rPr>
      </w:pPr>
    </w:p>
    <w:p w14:paraId="213E32B0">
      <w:pPr>
        <w:widowControl/>
        <w:autoSpaceDE w:val="0"/>
        <w:autoSpaceDN w:val="0"/>
        <w:adjustRightInd w:val="0"/>
        <w:spacing w:line="360" w:lineRule="auto"/>
        <w:jc w:val="center"/>
        <w:rPr>
          <w:rFonts w:hint="eastAsia" w:ascii="宋体" w:hAnsi="宋体" w:eastAsia="宋体" w:cs="宋体"/>
          <w:color w:val="auto"/>
          <w:szCs w:val="21"/>
          <w:highlight w:val="none"/>
        </w:rPr>
      </w:pPr>
      <w:r>
        <w:rPr>
          <w:rFonts w:hint="eastAsia" w:ascii="宋体" w:hAnsi="宋体" w:eastAsia="宋体" w:cs="宋体"/>
          <w:b/>
          <w:bCs/>
          <w:color w:val="auto"/>
          <w:szCs w:val="24"/>
          <w:highlight w:val="none"/>
          <w:lang w:val="zh-CN"/>
        </w:rPr>
        <w:t>说明：由投标人使用投标人的企业数字证书电子签名。</w:t>
      </w:r>
    </w:p>
    <w:p w14:paraId="77E901E9">
      <w:pPr>
        <w:autoSpaceDE w:val="0"/>
        <w:autoSpaceDN w:val="0"/>
        <w:adjustRightInd w:val="0"/>
        <w:snapToGrid w:val="0"/>
        <w:spacing w:line="360" w:lineRule="auto"/>
        <w:ind w:left="605" w:leftChars="18" w:hanging="567" w:hangingChars="270"/>
        <w:jc w:val="left"/>
        <w:rPr>
          <w:rFonts w:hint="eastAsia" w:ascii="宋体" w:hAnsi="宋体" w:eastAsia="宋体" w:cs="Times New Roman"/>
          <w:color w:val="auto"/>
          <w:kern w:val="0"/>
          <w:szCs w:val="21"/>
          <w:highlight w:val="none"/>
          <w:lang w:val="zh-CN"/>
        </w:rPr>
      </w:pPr>
    </w:p>
    <w:p w14:paraId="60A84C90">
      <w:pPr>
        <w:outlineLvl w:val="9"/>
        <w:rPr>
          <w:rFonts w:hint="default" w:ascii="宋体" w:hAnsi="宋体" w:eastAsia="宋体" w:cs="宋体"/>
          <w:b/>
          <w:kern w:val="0"/>
          <w:sz w:val="30"/>
          <w:szCs w:val="30"/>
          <w:highlight w:val="none"/>
          <w:lang w:val="en-US" w:eastAsia="zh-CN"/>
        </w:rPr>
      </w:pPr>
    </w:p>
    <w:p w14:paraId="475815E4">
      <w:pPr>
        <w:pageBreakBefore/>
        <w:outlineLvl w:val="9"/>
        <w:rPr>
          <w:rFonts w:hint="eastAsia" w:ascii="宋体" w:hAnsi="宋体" w:eastAsia="宋体" w:cs="宋体"/>
          <w:b/>
          <w:kern w:val="0"/>
          <w:sz w:val="30"/>
          <w:szCs w:val="30"/>
          <w:highlight w:val="none"/>
          <w:lang w:val="en-US" w:eastAsia="zh-CN"/>
        </w:rPr>
      </w:pPr>
      <w:r>
        <w:rPr>
          <w:rFonts w:hint="eastAsia" w:ascii="宋体" w:hAnsi="宋体" w:eastAsia="宋体" w:cs="宋体"/>
          <w:b/>
          <w:kern w:val="0"/>
          <w:sz w:val="30"/>
          <w:szCs w:val="30"/>
          <w:highlight w:val="none"/>
          <w:lang w:val="en-US" w:eastAsia="zh-CN"/>
        </w:rPr>
        <w:t>四、发行方案</w:t>
      </w:r>
      <w:r>
        <w:rPr>
          <w:rFonts w:hint="eastAsia" w:ascii="宋体" w:hAnsi="宋体" w:eastAsia="宋体" w:cs="宋体"/>
          <w:b/>
          <w:kern w:val="0"/>
          <w:sz w:val="30"/>
          <w:szCs w:val="30"/>
          <w:highlight w:val="none"/>
          <w:lang w:val="en-US" w:eastAsia="zh-CN"/>
        </w:rPr>
        <w:br w:type="page"/>
      </w:r>
    </w:p>
    <w:p w14:paraId="3CF6C7FA">
      <w:pPr>
        <w:outlineLvl w:val="9"/>
        <w:rPr>
          <w:rFonts w:hint="eastAsia" w:ascii="宋体" w:hAnsi="宋体" w:eastAsia="宋体" w:cs="宋体"/>
          <w:b/>
          <w:kern w:val="0"/>
          <w:sz w:val="30"/>
          <w:szCs w:val="30"/>
          <w:highlight w:val="none"/>
          <w:lang w:val="en-US" w:eastAsia="zh-CN"/>
        </w:rPr>
      </w:pPr>
      <w:r>
        <w:rPr>
          <w:rFonts w:hint="eastAsia" w:ascii="宋体" w:hAnsi="宋体" w:eastAsia="宋体" w:cs="宋体"/>
          <w:b/>
          <w:kern w:val="0"/>
          <w:sz w:val="30"/>
          <w:szCs w:val="30"/>
          <w:highlight w:val="none"/>
          <w:lang w:val="en-US" w:eastAsia="zh-CN"/>
        </w:rPr>
        <w:t>五、进度、质量保证措施及服务承诺</w:t>
      </w:r>
      <w:r>
        <w:rPr>
          <w:rFonts w:hint="eastAsia" w:ascii="宋体" w:hAnsi="宋体" w:eastAsia="宋体" w:cs="宋体"/>
          <w:b/>
          <w:kern w:val="0"/>
          <w:sz w:val="30"/>
          <w:szCs w:val="30"/>
          <w:highlight w:val="none"/>
          <w:lang w:val="en-US" w:eastAsia="zh-CN"/>
        </w:rPr>
        <w:br w:type="page"/>
      </w:r>
    </w:p>
    <w:p w14:paraId="0B5801E4">
      <w:pPr>
        <w:autoSpaceDE w:val="0"/>
        <w:autoSpaceDN w:val="0"/>
        <w:adjustRightInd w:val="0"/>
        <w:spacing w:line="360" w:lineRule="auto"/>
        <w:jc w:val="left"/>
        <w:outlineLvl w:val="9"/>
        <w:rPr>
          <w:rFonts w:hint="eastAsia" w:ascii="宋体" w:hAnsi="宋体" w:eastAsia="宋体" w:cs="宋体"/>
          <w:b/>
          <w:kern w:val="0"/>
          <w:sz w:val="30"/>
          <w:szCs w:val="30"/>
          <w:highlight w:val="none"/>
          <w:lang w:val="en-US" w:eastAsia="zh-CN"/>
        </w:rPr>
      </w:pPr>
      <w:bookmarkStart w:id="704" w:name="_Toc30545"/>
      <w:bookmarkStart w:id="705" w:name="_Toc18180"/>
      <w:bookmarkStart w:id="706" w:name="_Toc3750"/>
      <w:r>
        <w:rPr>
          <w:rFonts w:hint="eastAsia" w:ascii="宋体" w:hAnsi="宋体" w:eastAsia="宋体" w:cs="宋体"/>
          <w:b/>
          <w:kern w:val="0"/>
          <w:sz w:val="30"/>
          <w:szCs w:val="30"/>
          <w:highlight w:val="none"/>
          <w:lang w:val="en-US" w:eastAsia="zh-CN"/>
        </w:rPr>
        <w:t>六、</w:t>
      </w:r>
      <w:r>
        <w:rPr>
          <w:rFonts w:hint="eastAsia" w:ascii="宋体" w:hAnsi="宋体" w:eastAsia="宋体" w:cs="宋体"/>
          <w:b/>
          <w:kern w:val="0"/>
          <w:sz w:val="30"/>
          <w:szCs w:val="30"/>
          <w:highlight w:val="none"/>
        </w:rPr>
        <w:t>投标人认为有必要提供的其它材料（不做强制要求）</w:t>
      </w:r>
    </w:p>
    <w:p w14:paraId="6C77BF81">
      <w:pPr>
        <w:autoSpaceDE/>
        <w:autoSpaceDN/>
        <w:adjustRightInd/>
        <w:spacing w:line="240" w:lineRule="auto"/>
        <w:jc w:val="left"/>
        <w:outlineLvl w:val="9"/>
        <w:rPr>
          <w:rFonts w:hint="eastAsia" w:ascii="宋体" w:hAnsi="宋体" w:eastAsia="宋体" w:cs="宋体"/>
          <w:b/>
          <w:kern w:val="0"/>
          <w:sz w:val="30"/>
          <w:szCs w:val="30"/>
          <w:highlight w:val="none"/>
          <w:lang w:val="en-US" w:eastAsia="zh-CN"/>
        </w:rPr>
      </w:pPr>
      <w:r>
        <w:rPr>
          <w:rFonts w:hint="eastAsia" w:ascii="宋体" w:hAnsi="宋体" w:eastAsia="宋体" w:cs="宋体"/>
          <w:b/>
          <w:kern w:val="0"/>
          <w:sz w:val="30"/>
          <w:szCs w:val="30"/>
          <w:highlight w:val="none"/>
          <w:lang w:val="en-US" w:eastAsia="zh-CN"/>
        </w:rPr>
        <w:br w:type="page"/>
      </w:r>
    </w:p>
    <w:bookmarkEnd w:id="698"/>
    <w:bookmarkEnd w:id="699"/>
    <w:bookmarkEnd w:id="700"/>
    <w:bookmarkEnd w:id="701"/>
    <w:bookmarkEnd w:id="702"/>
    <w:bookmarkEnd w:id="704"/>
    <w:bookmarkEnd w:id="705"/>
    <w:bookmarkEnd w:id="706"/>
    <w:p w14:paraId="088227A9">
      <w:pPr>
        <w:widowControl/>
        <w:jc w:val="center"/>
        <w:outlineLvl w:val="9"/>
        <w:rPr>
          <w:rFonts w:hint="eastAsia" w:ascii="宋体" w:hAnsi="宋体" w:eastAsia="宋体" w:cs="宋体"/>
          <w:b/>
          <w:color w:val="auto"/>
          <w:kern w:val="0"/>
          <w:sz w:val="32"/>
          <w:szCs w:val="32"/>
          <w:highlight w:val="none"/>
        </w:rPr>
      </w:pPr>
      <w:bookmarkStart w:id="707" w:name="_Toc29896"/>
      <w:bookmarkStart w:id="708" w:name="_Toc13980"/>
      <w:bookmarkStart w:id="709" w:name="_Toc18687"/>
      <w:bookmarkStart w:id="710" w:name="_Toc195714410"/>
      <w:bookmarkStart w:id="711" w:name="_Toc22748"/>
      <w:bookmarkStart w:id="712" w:name="_Toc13597"/>
      <w:r>
        <w:rPr>
          <w:rFonts w:hint="eastAsia" w:ascii="宋体" w:hAnsi="宋体" w:eastAsia="宋体" w:cs="宋体"/>
          <w:b/>
          <w:color w:val="auto"/>
          <w:kern w:val="0"/>
          <w:sz w:val="32"/>
          <w:szCs w:val="32"/>
          <w:highlight w:val="none"/>
        </w:rPr>
        <w:t>三  投标文件报价信封格式</w:t>
      </w:r>
      <w:bookmarkEnd w:id="707"/>
      <w:bookmarkEnd w:id="708"/>
      <w:bookmarkEnd w:id="709"/>
      <w:bookmarkEnd w:id="710"/>
      <w:bookmarkEnd w:id="711"/>
      <w:bookmarkEnd w:id="712"/>
    </w:p>
    <w:p w14:paraId="2F070417">
      <w:pPr>
        <w:jc w:val="center"/>
        <w:rPr>
          <w:rFonts w:hint="eastAsia" w:ascii="宋体" w:hAnsi="宋体" w:eastAsia="宋体" w:cs="宋体"/>
          <w:b/>
          <w:color w:val="auto"/>
          <w:kern w:val="0"/>
          <w:sz w:val="32"/>
          <w:szCs w:val="32"/>
          <w:highlight w:val="none"/>
        </w:rPr>
      </w:pPr>
    </w:p>
    <w:p w14:paraId="38D54B6E">
      <w:pPr>
        <w:autoSpaceDE w:val="0"/>
        <w:autoSpaceDN w:val="0"/>
        <w:adjustRightInd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本部分由投标人使用电子标书制作软件编制并生成报价信封。报价信封的编制要求详见第二篇投标人须知第17.6.3项。由投标人按格式要求进行电子签名。</w:t>
      </w:r>
    </w:p>
    <w:p w14:paraId="3D193E34">
      <w:pPr>
        <w:autoSpaceDE w:val="0"/>
        <w:autoSpaceDN w:val="0"/>
        <w:adjustRightInd w:val="0"/>
        <w:jc w:val="left"/>
        <w:rPr>
          <w:rFonts w:hint="eastAsia" w:ascii="宋体" w:hAnsi="宋体" w:eastAsia="宋体" w:cs="宋体"/>
          <w:kern w:val="0"/>
          <w:sz w:val="24"/>
          <w:szCs w:val="24"/>
          <w:highlight w:val="none"/>
        </w:rPr>
      </w:pPr>
    </w:p>
    <w:p w14:paraId="594298CE">
      <w:pPr>
        <w:keepNext w:val="0"/>
        <w:keepLines w:val="0"/>
        <w:pageBreakBefore/>
        <w:widowControl w:val="0"/>
        <w:tabs>
          <w:tab w:val="left" w:pos="1080"/>
        </w:tabs>
        <w:kinsoku/>
        <w:wordWrap/>
        <w:overflowPunct/>
        <w:topLinePunct w:val="0"/>
        <w:autoSpaceDE w:val="0"/>
        <w:autoSpaceDN w:val="0"/>
        <w:bidi w:val="0"/>
        <w:adjustRightInd w:val="0"/>
        <w:snapToGrid/>
        <w:spacing w:line="360" w:lineRule="auto"/>
        <w:jc w:val="left"/>
        <w:textAlignment w:val="auto"/>
        <w:outlineLvl w:val="0"/>
        <w:rPr>
          <w:rFonts w:hint="eastAsia" w:ascii="宋体" w:hAnsi="宋体" w:eastAsia="宋体" w:cs="宋体"/>
          <w:b/>
          <w:bCs/>
          <w:kern w:val="44"/>
          <w:sz w:val="32"/>
          <w:szCs w:val="32"/>
          <w:highlight w:val="none"/>
          <w:lang w:val="zh-CN"/>
        </w:rPr>
      </w:pPr>
      <w:bookmarkStart w:id="713" w:name="_Toc21059"/>
      <w:bookmarkStart w:id="714" w:name="_Toc142508390"/>
      <w:bookmarkStart w:id="715" w:name="_Toc14977"/>
      <w:bookmarkStart w:id="716" w:name="_Toc22667"/>
      <w:bookmarkStart w:id="717" w:name="_Toc521918141"/>
      <w:bookmarkStart w:id="718" w:name="_Toc22601_WPSOffice_Level1"/>
      <w:bookmarkStart w:id="719" w:name="_Toc522047402"/>
      <w:r>
        <w:rPr>
          <w:rFonts w:hint="eastAsia" w:ascii="宋体" w:hAnsi="宋体" w:eastAsia="宋体" w:cs="宋体"/>
          <w:b/>
          <w:bCs/>
          <w:kern w:val="44"/>
          <w:sz w:val="32"/>
          <w:szCs w:val="32"/>
          <w:highlight w:val="none"/>
          <w:lang w:val="zh-CN"/>
        </w:rPr>
        <w:t>附件一：评标工作大纲</w:t>
      </w:r>
      <w:bookmarkEnd w:id="713"/>
      <w:bookmarkEnd w:id="714"/>
      <w:bookmarkEnd w:id="715"/>
      <w:bookmarkEnd w:id="716"/>
    </w:p>
    <w:p w14:paraId="4E70F73E">
      <w:pPr>
        <w:autoSpaceDE w:val="0"/>
        <w:autoSpaceDN w:val="0"/>
        <w:adjustRightInd w:val="0"/>
        <w:spacing w:line="400" w:lineRule="atLeast"/>
        <w:jc w:val="center"/>
        <w:rPr>
          <w:rFonts w:hint="eastAsia" w:ascii="宋体" w:hAnsi="宋体" w:eastAsia="宋体" w:cs="宋体"/>
          <w:b/>
          <w:bCs/>
          <w:szCs w:val="21"/>
          <w:highlight w:val="none"/>
        </w:rPr>
      </w:pPr>
    </w:p>
    <w:p w14:paraId="67926563">
      <w:pPr>
        <w:autoSpaceDE w:val="0"/>
        <w:autoSpaceDN w:val="0"/>
        <w:adjustRightInd w:val="0"/>
        <w:spacing w:line="400" w:lineRule="atLeast"/>
        <w:jc w:val="center"/>
        <w:rPr>
          <w:rFonts w:hint="eastAsia" w:ascii="宋体" w:hAnsi="宋体" w:eastAsia="宋体" w:cs="宋体"/>
          <w:b/>
          <w:bCs/>
          <w:szCs w:val="21"/>
          <w:highlight w:val="none"/>
        </w:rPr>
      </w:pPr>
    </w:p>
    <w:p w14:paraId="0A38346E">
      <w:pPr>
        <w:autoSpaceDE w:val="0"/>
        <w:autoSpaceDN w:val="0"/>
        <w:adjustRightInd w:val="0"/>
        <w:spacing w:line="400" w:lineRule="atLeast"/>
        <w:jc w:val="center"/>
        <w:rPr>
          <w:rFonts w:hint="eastAsia" w:ascii="宋体" w:hAnsi="宋体" w:eastAsia="宋体" w:cs="宋体"/>
          <w:b/>
          <w:bCs/>
          <w:szCs w:val="21"/>
          <w:highlight w:val="none"/>
        </w:rPr>
      </w:pPr>
    </w:p>
    <w:p w14:paraId="73128785">
      <w:pPr>
        <w:autoSpaceDE w:val="0"/>
        <w:autoSpaceDN w:val="0"/>
        <w:adjustRightInd w:val="0"/>
        <w:spacing w:line="400" w:lineRule="atLeast"/>
        <w:jc w:val="center"/>
        <w:rPr>
          <w:rFonts w:hint="eastAsia" w:ascii="宋体" w:hAnsi="宋体" w:eastAsia="宋体" w:cs="宋体"/>
          <w:b/>
          <w:bCs/>
          <w:szCs w:val="21"/>
          <w:highlight w:val="none"/>
        </w:rPr>
      </w:pPr>
    </w:p>
    <w:p w14:paraId="1D474925">
      <w:pPr>
        <w:autoSpaceDE w:val="0"/>
        <w:autoSpaceDN w:val="0"/>
        <w:adjustRightInd w:val="0"/>
        <w:spacing w:line="360" w:lineRule="auto"/>
        <w:jc w:val="center"/>
        <w:rPr>
          <w:rFonts w:hint="eastAsia" w:ascii="宋体" w:hAnsi="宋体" w:eastAsia="宋体" w:cs="宋体"/>
          <w:b/>
          <w:bCs/>
          <w:sz w:val="36"/>
          <w:szCs w:val="44"/>
          <w:highlight w:val="none"/>
          <w:lang w:eastAsia="zh-CN"/>
        </w:rPr>
      </w:pPr>
      <w:r>
        <w:rPr>
          <w:rFonts w:hint="eastAsia" w:ascii="宋体" w:hAnsi="宋体" w:eastAsia="宋体" w:cs="宋体"/>
          <w:b/>
          <w:bCs/>
          <w:sz w:val="40"/>
          <w:szCs w:val="36"/>
          <w:highlight w:val="none"/>
          <w:lang w:eastAsia="zh-CN"/>
        </w:rPr>
        <w:t>东莞市水务环境投资控股集团有限公司注册发行60亿元公司债承销商采购项目（重新招标）</w:t>
      </w:r>
    </w:p>
    <w:p w14:paraId="75D32D26">
      <w:pPr>
        <w:autoSpaceDE w:val="0"/>
        <w:autoSpaceDN w:val="0"/>
        <w:adjustRightInd w:val="0"/>
        <w:spacing w:line="360" w:lineRule="auto"/>
        <w:jc w:val="center"/>
        <w:rPr>
          <w:rFonts w:hint="eastAsia" w:ascii="宋体" w:hAnsi="宋体" w:eastAsia="宋体" w:cs="宋体"/>
          <w:b/>
          <w:bCs/>
          <w:sz w:val="36"/>
          <w:szCs w:val="36"/>
          <w:highlight w:val="none"/>
        </w:rPr>
      </w:pPr>
      <w:bookmarkStart w:id="720" w:name="_Toc14752_WPSOffice_Level1"/>
      <w:r>
        <w:rPr>
          <w:rFonts w:hint="eastAsia" w:ascii="宋体" w:hAnsi="宋体" w:eastAsia="宋体" w:cs="宋体"/>
          <w:b/>
          <w:bCs/>
          <w:sz w:val="36"/>
          <w:szCs w:val="36"/>
          <w:highlight w:val="none"/>
          <w:lang w:val="zh-CN"/>
        </w:rPr>
        <w:t>（招标编号：SSSSSZ12501633_1）</w:t>
      </w:r>
      <w:bookmarkEnd w:id="720"/>
    </w:p>
    <w:p w14:paraId="18A1F2A7">
      <w:pPr>
        <w:autoSpaceDE w:val="0"/>
        <w:autoSpaceDN w:val="0"/>
        <w:adjustRightInd w:val="0"/>
        <w:spacing w:line="400" w:lineRule="atLeast"/>
        <w:jc w:val="center"/>
        <w:rPr>
          <w:rFonts w:hint="eastAsia" w:ascii="宋体" w:hAnsi="宋体" w:eastAsia="宋体" w:cs="宋体"/>
          <w:b/>
          <w:bCs/>
          <w:sz w:val="36"/>
          <w:szCs w:val="36"/>
          <w:highlight w:val="none"/>
        </w:rPr>
      </w:pPr>
    </w:p>
    <w:p w14:paraId="3502A957">
      <w:pPr>
        <w:autoSpaceDE w:val="0"/>
        <w:autoSpaceDN w:val="0"/>
        <w:adjustRightInd w:val="0"/>
        <w:spacing w:line="400" w:lineRule="atLeast"/>
        <w:jc w:val="center"/>
        <w:rPr>
          <w:rFonts w:hint="eastAsia" w:ascii="宋体" w:hAnsi="宋体" w:eastAsia="宋体" w:cs="宋体"/>
          <w:b/>
          <w:bCs/>
          <w:sz w:val="36"/>
          <w:szCs w:val="36"/>
          <w:highlight w:val="none"/>
        </w:rPr>
      </w:pPr>
    </w:p>
    <w:p w14:paraId="4AEFB667">
      <w:pPr>
        <w:autoSpaceDE w:val="0"/>
        <w:autoSpaceDN w:val="0"/>
        <w:adjustRightInd w:val="0"/>
        <w:spacing w:line="400" w:lineRule="atLeast"/>
        <w:jc w:val="center"/>
        <w:rPr>
          <w:rFonts w:hint="eastAsia" w:ascii="宋体" w:hAnsi="宋体" w:eastAsia="宋体" w:cs="宋体"/>
          <w:b/>
          <w:bCs/>
          <w:sz w:val="36"/>
          <w:szCs w:val="36"/>
          <w:highlight w:val="none"/>
        </w:rPr>
      </w:pPr>
    </w:p>
    <w:p w14:paraId="3A31856D">
      <w:pPr>
        <w:autoSpaceDE w:val="0"/>
        <w:autoSpaceDN w:val="0"/>
        <w:adjustRightInd w:val="0"/>
        <w:spacing w:line="400" w:lineRule="atLeast"/>
        <w:jc w:val="center"/>
        <w:rPr>
          <w:rFonts w:hint="eastAsia" w:ascii="宋体" w:hAnsi="宋体" w:eastAsia="宋体" w:cs="宋体"/>
          <w:b/>
          <w:bCs/>
          <w:sz w:val="36"/>
          <w:szCs w:val="36"/>
          <w:highlight w:val="none"/>
        </w:rPr>
      </w:pPr>
    </w:p>
    <w:p w14:paraId="4EA15332">
      <w:pPr>
        <w:autoSpaceDE w:val="0"/>
        <w:autoSpaceDN w:val="0"/>
        <w:adjustRightInd w:val="0"/>
        <w:spacing w:line="400" w:lineRule="atLeast"/>
        <w:jc w:val="center"/>
        <w:rPr>
          <w:rFonts w:hint="eastAsia" w:ascii="宋体" w:hAnsi="宋体" w:eastAsia="宋体" w:cs="宋体"/>
          <w:b/>
          <w:bCs/>
          <w:sz w:val="72"/>
          <w:szCs w:val="72"/>
          <w:highlight w:val="none"/>
          <w:lang w:val="zh-CN"/>
        </w:rPr>
      </w:pPr>
      <w:bookmarkStart w:id="721" w:name="_Toc18947_WPSOffice_Level2"/>
      <w:r>
        <w:rPr>
          <w:rFonts w:hint="eastAsia" w:ascii="宋体" w:hAnsi="宋体" w:eastAsia="宋体" w:cs="宋体"/>
          <w:b/>
          <w:bCs/>
          <w:sz w:val="72"/>
          <w:szCs w:val="72"/>
          <w:highlight w:val="none"/>
          <w:lang w:val="zh-CN"/>
        </w:rPr>
        <w:t>评标工作大纲</w:t>
      </w:r>
      <w:bookmarkEnd w:id="721"/>
    </w:p>
    <w:p w14:paraId="1CBA674A">
      <w:pPr>
        <w:autoSpaceDE w:val="0"/>
        <w:autoSpaceDN w:val="0"/>
        <w:adjustRightInd w:val="0"/>
        <w:spacing w:line="400" w:lineRule="atLeast"/>
        <w:jc w:val="center"/>
        <w:rPr>
          <w:rFonts w:hint="eastAsia" w:ascii="宋体" w:hAnsi="宋体" w:eastAsia="宋体" w:cs="宋体"/>
          <w:b/>
          <w:bCs/>
          <w:sz w:val="36"/>
          <w:szCs w:val="36"/>
          <w:highlight w:val="none"/>
        </w:rPr>
      </w:pPr>
    </w:p>
    <w:p w14:paraId="068B0F22">
      <w:pPr>
        <w:autoSpaceDE w:val="0"/>
        <w:autoSpaceDN w:val="0"/>
        <w:adjustRightInd w:val="0"/>
        <w:spacing w:line="400" w:lineRule="atLeast"/>
        <w:rPr>
          <w:rFonts w:hint="eastAsia" w:ascii="宋体" w:hAnsi="宋体" w:eastAsia="宋体" w:cs="宋体"/>
          <w:b/>
          <w:bCs/>
          <w:sz w:val="36"/>
          <w:szCs w:val="36"/>
          <w:highlight w:val="none"/>
        </w:rPr>
      </w:pPr>
    </w:p>
    <w:p w14:paraId="55711B2F">
      <w:pPr>
        <w:autoSpaceDE w:val="0"/>
        <w:autoSpaceDN w:val="0"/>
        <w:adjustRightInd w:val="0"/>
        <w:spacing w:line="400" w:lineRule="atLeast"/>
        <w:jc w:val="center"/>
        <w:rPr>
          <w:rFonts w:hint="eastAsia" w:ascii="宋体" w:hAnsi="宋体" w:eastAsia="宋体" w:cs="宋体"/>
          <w:b/>
          <w:bCs/>
          <w:sz w:val="36"/>
          <w:szCs w:val="36"/>
          <w:highlight w:val="none"/>
        </w:rPr>
      </w:pPr>
    </w:p>
    <w:p w14:paraId="68D24B16">
      <w:pPr>
        <w:autoSpaceDE w:val="0"/>
        <w:autoSpaceDN w:val="0"/>
        <w:adjustRightInd w:val="0"/>
        <w:spacing w:line="400" w:lineRule="atLeast"/>
        <w:jc w:val="center"/>
        <w:rPr>
          <w:rFonts w:hint="eastAsia" w:ascii="宋体" w:hAnsi="宋体" w:eastAsia="宋体" w:cs="宋体"/>
          <w:b/>
          <w:bCs/>
          <w:sz w:val="36"/>
          <w:szCs w:val="36"/>
          <w:highlight w:val="none"/>
        </w:rPr>
      </w:pPr>
    </w:p>
    <w:p w14:paraId="4A342A55">
      <w:pPr>
        <w:autoSpaceDE w:val="0"/>
        <w:autoSpaceDN w:val="0"/>
        <w:adjustRightInd w:val="0"/>
        <w:spacing w:line="400" w:lineRule="atLeast"/>
        <w:jc w:val="center"/>
        <w:rPr>
          <w:rFonts w:hint="eastAsia" w:ascii="宋体" w:hAnsi="宋体" w:eastAsia="宋体" w:cs="宋体"/>
          <w:b/>
          <w:bCs/>
          <w:sz w:val="36"/>
          <w:szCs w:val="36"/>
          <w:highlight w:val="none"/>
        </w:rPr>
      </w:pPr>
    </w:p>
    <w:p w14:paraId="6B4BA04B">
      <w:pPr>
        <w:autoSpaceDE w:val="0"/>
        <w:autoSpaceDN w:val="0"/>
        <w:adjustRightInd w:val="0"/>
        <w:spacing w:line="400" w:lineRule="atLeast"/>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lang w:val="zh-CN"/>
        </w:rPr>
        <w:t>广东有德招标采购有限公司</w:t>
      </w:r>
    </w:p>
    <w:p w14:paraId="49534816">
      <w:pPr>
        <w:autoSpaceDE w:val="0"/>
        <w:autoSpaceDN w:val="0"/>
        <w:adjustRightInd w:val="0"/>
        <w:spacing w:line="400" w:lineRule="atLeast"/>
        <w:jc w:val="center"/>
        <w:rPr>
          <w:rFonts w:hint="eastAsia" w:ascii="宋体" w:hAnsi="宋体" w:eastAsia="宋体" w:cs="宋体"/>
          <w:b/>
          <w:bCs/>
          <w:sz w:val="36"/>
          <w:szCs w:val="36"/>
          <w:highlight w:val="none"/>
        </w:rPr>
      </w:pPr>
    </w:p>
    <w:p w14:paraId="1F9A48CA">
      <w:pPr>
        <w:autoSpaceDE w:val="0"/>
        <w:autoSpaceDN w:val="0"/>
        <w:adjustRightInd w:val="0"/>
        <w:spacing w:line="400" w:lineRule="atLeast"/>
        <w:jc w:val="center"/>
        <w:rPr>
          <w:rFonts w:hint="eastAsia" w:ascii="宋体" w:hAnsi="宋体" w:eastAsia="宋体" w:cs="宋体"/>
          <w:b/>
          <w:bCs/>
          <w:sz w:val="36"/>
          <w:szCs w:val="36"/>
          <w:highlight w:val="none"/>
        </w:rPr>
      </w:pPr>
      <w:r>
        <w:rPr>
          <w:rFonts w:hint="eastAsia" w:ascii="宋体" w:hAnsi="宋体" w:eastAsia="宋体" w:cs="宋体"/>
          <w:sz w:val="44"/>
          <w:szCs w:val="44"/>
          <w:highlight w:val="none"/>
        </w:rPr>
        <w:br w:type="page"/>
      </w:r>
      <w:bookmarkStart w:id="722" w:name="_Toc32395_WPSOffice_Level1"/>
      <w:r>
        <w:rPr>
          <w:rFonts w:hint="eastAsia" w:ascii="宋体" w:hAnsi="宋体" w:eastAsia="宋体" w:cs="宋体"/>
          <w:b/>
          <w:bCs/>
          <w:sz w:val="36"/>
          <w:szCs w:val="36"/>
          <w:highlight w:val="none"/>
          <w:lang w:val="zh-CN"/>
        </w:rPr>
        <w:t>目录</w:t>
      </w:r>
      <w:bookmarkEnd w:id="722"/>
    </w:p>
    <w:p w14:paraId="29C77E30">
      <w:pPr>
        <w:autoSpaceDE w:val="0"/>
        <w:autoSpaceDN w:val="0"/>
        <w:adjustRightInd w:val="0"/>
        <w:spacing w:line="400" w:lineRule="atLeast"/>
        <w:jc w:val="center"/>
        <w:rPr>
          <w:rFonts w:hint="eastAsia" w:ascii="宋体" w:hAnsi="宋体" w:eastAsia="宋体" w:cs="宋体"/>
          <w:sz w:val="44"/>
          <w:szCs w:val="44"/>
          <w:highlight w:val="none"/>
        </w:rPr>
      </w:pPr>
    </w:p>
    <w:p w14:paraId="2B6C87CA">
      <w:pPr>
        <w:autoSpaceDE w:val="0"/>
        <w:autoSpaceDN w:val="0"/>
        <w:adjustRightInd w:val="0"/>
        <w:spacing w:line="360" w:lineRule="auto"/>
        <w:ind w:left="567" w:hanging="567"/>
        <w:rPr>
          <w:rFonts w:hint="eastAsia" w:ascii="宋体" w:hAnsi="宋体" w:eastAsia="宋体" w:cs="宋体"/>
          <w:szCs w:val="30"/>
          <w:highlight w:val="none"/>
        </w:rPr>
      </w:pPr>
      <w:bookmarkStart w:id="723" w:name="_Toc21604_WPSOffice_Level1"/>
      <w:r>
        <w:rPr>
          <w:rFonts w:hint="eastAsia" w:ascii="宋体" w:hAnsi="宋体" w:eastAsia="宋体" w:cs="宋体"/>
          <w:szCs w:val="30"/>
          <w:highlight w:val="none"/>
          <w:lang w:val="zh-CN"/>
        </w:rPr>
        <w:t>一、</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总则</w:t>
      </w:r>
      <w:bookmarkEnd w:id="723"/>
    </w:p>
    <w:p w14:paraId="2B976A9F">
      <w:pPr>
        <w:autoSpaceDE w:val="0"/>
        <w:autoSpaceDN w:val="0"/>
        <w:adjustRightInd w:val="0"/>
        <w:spacing w:line="360" w:lineRule="auto"/>
        <w:ind w:left="567" w:hanging="567"/>
        <w:rPr>
          <w:rFonts w:hint="eastAsia" w:ascii="宋体" w:hAnsi="宋体" w:eastAsia="宋体" w:cs="宋体"/>
          <w:szCs w:val="30"/>
          <w:highlight w:val="none"/>
        </w:rPr>
      </w:pPr>
      <w:bookmarkStart w:id="724" w:name="_Toc1387_WPSOffice_Level1"/>
      <w:r>
        <w:rPr>
          <w:rFonts w:hint="eastAsia" w:ascii="宋体" w:hAnsi="宋体" w:eastAsia="宋体" w:cs="宋体"/>
          <w:szCs w:val="30"/>
          <w:highlight w:val="none"/>
          <w:lang w:val="zh-CN"/>
        </w:rPr>
        <w:t>二、</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投标文件的初审</w:t>
      </w:r>
      <w:bookmarkEnd w:id="724"/>
    </w:p>
    <w:p w14:paraId="792916B6">
      <w:pPr>
        <w:autoSpaceDE w:val="0"/>
        <w:autoSpaceDN w:val="0"/>
        <w:adjustRightInd w:val="0"/>
        <w:spacing w:line="360" w:lineRule="auto"/>
        <w:ind w:left="567" w:hanging="567"/>
        <w:rPr>
          <w:rFonts w:hint="eastAsia" w:ascii="宋体" w:hAnsi="宋体" w:eastAsia="宋体" w:cs="宋体"/>
          <w:szCs w:val="30"/>
          <w:highlight w:val="none"/>
        </w:rPr>
      </w:pPr>
      <w:bookmarkStart w:id="725" w:name="_Toc30284_WPSOffice_Level1"/>
      <w:r>
        <w:rPr>
          <w:rFonts w:hint="eastAsia" w:ascii="宋体" w:hAnsi="宋体" w:eastAsia="宋体" w:cs="宋体"/>
          <w:szCs w:val="30"/>
          <w:highlight w:val="none"/>
          <w:lang w:val="zh-CN"/>
        </w:rPr>
        <w:t>三、</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澄清有关问题</w:t>
      </w:r>
      <w:bookmarkEnd w:id="725"/>
    </w:p>
    <w:p w14:paraId="320F102F">
      <w:pPr>
        <w:autoSpaceDE w:val="0"/>
        <w:autoSpaceDN w:val="0"/>
        <w:adjustRightInd w:val="0"/>
        <w:spacing w:line="360" w:lineRule="auto"/>
        <w:ind w:left="567" w:hanging="567"/>
        <w:rPr>
          <w:rFonts w:hint="eastAsia" w:ascii="宋体" w:hAnsi="宋体" w:eastAsia="宋体" w:cs="宋体"/>
          <w:szCs w:val="30"/>
          <w:highlight w:val="none"/>
        </w:rPr>
      </w:pPr>
      <w:bookmarkStart w:id="726" w:name="_Toc1206_WPSOffice_Level1"/>
      <w:r>
        <w:rPr>
          <w:rFonts w:hint="eastAsia" w:ascii="宋体" w:hAnsi="宋体" w:eastAsia="宋体" w:cs="宋体"/>
          <w:szCs w:val="30"/>
          <w:highlight w:val="none"/>
        </w:rPr>
        <w:t>四、 比较和评价</w:t>
      </w:r>
      <w:bookmarkEnd w:id="726"/>
    </w:p>
    <w:p w14:paraId="411E3B8A">
      <w:pPr>
        <w:autoSpaceDE w:val="0"/>
        <w:autoSpaceDN w:val="0"/>
        <w:adjustRightInd w:val="0"/>
        <w:spacing w:line="360" w:lineRule="auto"/>
        <w:ind w:left="567" w:hanging="567"/>
        <w:rPr>
          <w:rFonts w:hint="eastAsia" w:ascii="宋体" w:hAnsi="宋体" w:eastAsia="宋体" w:cs="宋体"/>
          <w:szCs w:val="30"/>
          <w:highlight w:val="none"/>
        </w:rPr>
      </w:pPr>
      <w:bookmarkStart w:id="727" w:name="_Toc12163_WPSOffice_Level1"/>
      <w:r>
        <w:rPr>
          <w:rFonts w:hint="eastAsia" w:ascii="宋体" w:hAnsi="宋体" w:eastAsia="宋体" w:cs="宋体"/>
          <w:szCs w:val="30"/>
          <w:highlight w:val="none"/>
          <w:lang w:val="zh-CN"/>
        </w:rPr>
        <w:t>五、</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推荐中标候选人名单</w:t>
      </w:r>
      <w:bookmarkEnd w:id="727"/>
    </w:p>
    <w:p w14:paraId="25C3AAB5">
      <w:pPr>
        <w:autoSpaceDE w:val="0"/>
        <w:autoSpaceDN w:val="0"/>
        <w:adjustRightInd w:val="0"/>
        <w:spacing w:line="360" w:lineRule="auto"/>
        <w:ind w:left="567" w:hanging="567"/>
        <w:rPr>
          <w:rFonts w:hint="eastAsia" w:ascii="宋体" w:hAnsi="宋体" w:eastAsia="宋体" w:cs="宋体"/>
          <w:szCs w:val="30"/>
          <w:highlight w:val="none"/>
        </w:rPr>
      </w:pPr>
      <w:bookmarkStart w:id="728" w:name="_Toc366_WPSOffice_Level1"/>
      <w:r>
        <w:rPr>
          <w:rFonts w:hint="eastAsia" w:ascii="宋体" w:hAnsi="宋体" w:eastAsia="宋体" w:cs="宋体"/>
          <w:szCs w:val="30"/>
          <w:highlight w:val="none"/>
          <w:lang w:val="zh-CN"/>
        </w:rPr>
        <w:t>六、</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编写评标报告</w:t>
      </w:r>
      <w:bookmarkEnd w:id="728"/>
    </w:p>
    <w:p w14:paraId="2E7CD8EC">
      <w:pPr>
        <w:autoSpaceDE w:val="0"/>
        <w:autoSpaceDN w:val="0"/>
        <w:adjustRightInd w:val="0"/>
        <w:spacing w:line="360" w:lineRule="auto"/>
        <w:ind w:left="567" w:hanging="567"/>
        <w:rPr>
          <w:rFonts w:hint="eastAsia" w:ascii="宋体" w:hAnsi="宋体" w:eastAsia="宋体" w:cs="宋体"/>
          <w:szCs w:val="30"/>
          <w:highlight w:val="none"/>
        </w:rPr>
      </w:pPr>
      <w:bookmarkStart w:id="729" w:name="_Toc22378_WPSOffice_Level1"/>
      <w:r>
        <w:rPr>
          <w:rFonts w:hint="eastAsia" w:ascii="宋体" w:hAnsi="宋体" w:eastAsia="宋体" w:cs="宋体"/>
          <w:szCs w:val="30"/>
          <w:highlight w:val="none"/>
          <w:lang w:val="zh-CN"/>
        </w:rPr>
        <w:t>七、</w:t>
      </w:r>
      <w:r>
        <w:rPr>
          <w:rFonts w:hint="eastAsia" w:ascii="宋体" w:hAnsi="宋体" w:eastAsia="宋体" w:cs="宋体"/>
          <w:szCs w:val="30"/>
          <w:highlight w:val="none"/>
          <w:lang w:val="zh-CN"/>
        </w:rPr>
        <w:tab/>
      </w:r>
      <w:r>
        <w:rPr>
          <w:rFonts w:hint="eastAsia" w:ascii="宋体" w:hAnsi="宋体" w:eastAsia="宋体" w:cs="宋体"/>
          <w:szCs w:val="30"/>
          <w:highlight w:val="none"/>
          <w:lang w:val="zh-CN"/>
        </w:rPr>
        <w:t>注意事项</w:t>
      </w:r>
      <w:bookmarkEnd w:id="729"/>
    </w:p>
    <w:p w14:paraId="36C4C0BB">
      <w:pPr>
        <w:tabs>
          <w:tab w:val="right" w:pos="7320"/>
        </w:tabs>
        <w:autoSpaceDE w:val="0"/>
        <w:autoSpaceDN w:val="0"/>
        <w:adjustRightInd w:val="0"/>
        <w:spacing w:line="360" w:lineRule="auto"/>
        <w:ind w:left="720" w:hanging="720"/>
        <w:rPr>
          <w:rFonts w:hint="eastAsia" w:ascii="宋体" w:hAnsi="宋体" w:eastAsia="宋体" w:cs="宋体"/>
          <w:szCs w:val="30"/>
          <w:highlight w:val="none"/>
        </w:rPr>
      </w:pPr>
    </w:p>
    <w:p w14:paraId="5F390FC5">
      <w:pPr>
        <w:tabs>
          <w:tab w:val="right" w:pos="7320"/>
        </w:tabs>
        <w:autoSpaceDE w:val="0"/>
        <w:autoSpaceDN w:val="0"/>
        <w:adjustRightInd w:val="0"/>
        <w:spacing w:line="360" w:lineRule="auto"/>
        <w:ind w:left="720" w:hanging="720"/>
        <w:rPr>
          <w:rFonts w:hint="eastAsia" w:ascii="宋体" w:hAnsi="宋体" w:eastAsia="宋体" w:cs="宋体"/>
          <w:szCs w:val="30"/>
          <w:highlight w:val="none"/>
        </w:rPr>
      </w:pPr>
    </w:p>
    <w:p w14:paraId="108AA57B">
      <w:pPr>
        <w:tabs>
          <w:tab w:val="left" w:pos="1080"/>
          <w:tab w:val="right" w:pos="7320"/>
        </w:tabs>
        <w:autoSpaceDE w:val="0"/>
        <w:autoSpaceDN w:val="0"/>
        <w:adjustRightInd w:val="0"/>
        <w:spacing w:line="400" w:lineRule="atLeast"/>
        <w:ind w:left="720" w:hanging="720"/>
        <w:rPr>
          <w:rFonts w:hint="eastAsia" w:ascii="宋体" w:hAnsi="宋体" w:eastAsia="宋体" w:cs="宋体"/>
          <w:szCs w:val="30"/>
          <w:highlight w:val="none"/>
        </w:rPr>
      </w:pPr>
    </w:p>
    <w:p w14:paraId="040E0F24">
      <w:pPr>
        <w:tabs>
          <w:tab w:val="left" w:pos="1140"/>
        </w:tabs>
        <w:autoSpaceDE w:val="0"/>
        <w:autoSpaceDN w:val="0"/>
        <w:adjustRightInd w:val="0"/>
        <w:spacing w:line="360" w:lineRule="auto"/>
        <w:jc w:val="center"/>
        <w:rPr>
          <w:rFonts w:hint="eastAsia" w:ascii="宋体" w:hAnsi="宋体" w:eastAsia="宋体" w:cs="宋体"/>
          <w:b/>
          <w:bCs/>
          <w:sz w:val="28"/>
          <w:szCs w:val="28"/>
          <w:highlight w:val="none"/>
        </w:rPr>
      </w:pPr>
      <w:r>
        <w:rPr>
          <w:rFonts w:hint="eastAsia" w:ascii="宋体" w:hAnsi="宋体" w:eastAsia="宋体" w:cs="宋体"/>
          <w:sz w:val="30"/>
          <w:szCs w:val="30"/>
          <w:highlight w:val="none"/>
        </w:rPr>
        <w:br w:type="page"/>
      </w:r>
      <w:bookmarkStart w:id="730" w:name="_Toc27181_WPSOffice_Level1"/>
      <w:r>
        <w:rPr>
          <w:rFonts w:hint="eastAsia" w:ascii="宋体" w:hAnsi="宋体" w:eastAsia="宋体" w:cs="宋体"/>
          <w:sz w:val="28"/>
          <w:szCs w:val="28"/>
          <w:highlight w:val="none"/>
          <w:lang w:val="zh-CN"/>
        </w:rPr>
        <w:t>一、</w:t>
      </w:r>
      <w:r>
        <w:rPr>
          <w:rFonts w:hint="eastAsia" w:ascii="宋体" w:hAnsi="宋体" w:eastAsia="宋体" w:cs="宋体"/>
          <w:b/>
          <w:bCs/>
          <w:sz w:val="28"/>
          <w:szCs w:val="28"/>
          <w:highlight w:val="none"/>
          <w:lang w:val="zh-CN"/>
        </w:rPr>
        <w:t>总则</w:t>
      </w:r>
      <w:bookmarkEnd w:id="730"/>
    </w:p>
    <w:p w14:paraId="7B171EAE">
      <w:pPr>
        <w:tabs>
          <w:tab w:val="left" w:pos="567"/>
          <w:tab w:val="left" w:pos="600"/>
        </w:tabs>
        <w:autoSpaceDE w:val="0"/>
        <w:autoSpaceDN w:val="0"/>
        <w:adjustRightInd w:val="0"/>
        <w:spacing w:line="360" w:lineRule="auto"/>
        <w:ind w:left="600" w:hanging="600"/>
        <w:rPr>
          <w:rFonts w:hint="eastAsia" w:ascii="宋体" w:hAnsi="宋体" w:eastAsia="宋体" w:cs="宋体"/>
          <w:b/>
          <w:bCs/>
          <w:szCs w:val="24"/>
          <w:highlight w:val="none"/>
          <w:lang w:val="zh-CN"/>
        </w:rPr>
      </w:pPr>
      <w:r>
        <w:rPr>
          <w:rFonts w:hint="eastAsia" w:ascii="宋体" w:hAnsi="宋体" w:eastAsia="宋体" w:cs="宋体"/>
          <w:b/>
          <w:bCs/>
          <w:szCs w:val="24"/>
          <w:highlight w:val="none"/>
          <w:lang w:val="zh-CN"/>
        </w:rPr>
        <w:t>1、一般规定</w:t>
      </w:r>
    </w:p>
    <w:p w14:paraId="206BD437">
      <w:pPr>
        <w:autoSpaceDE w:val="0"/>
        <w:autoSpaceDN w:val="0"/>
        <w:adjustRightInd w:val="0"/>
        <w:spacing w:line="360" w:lineRule="auto"/>
        <w:ind w:left="567" w:hanging="567"/>
        <w:rPr>
          <w:rFonts w:hint="eastAsia" w:ascii="宋体" w:hAnsi="宋体" w:eastAsia="宋体" w:cs="宋体"/>
          <w:kern w:val="0"/>
          <w:szCs w:val="32"/>
          <w:highlight w:val="none"/>
        </w:rPr>
      </w:pPr>
      <w:r>
        <w:rPr>
          <w:rFonts w:hint="eastAsia" w:ascii="宋体" w:hAnsi="宋体" w:eastAsia="宋体" w:cs="宋体"/>
          <w:szCs w:val="21"/>
          <w:highlight w:val="none"/>
          <w:lang w:val="zh-CN"/>
        </w:rPr>
        <w:t>1.1</w:t>
      </w:r>
      <w:r>
        <w:rPr>
          <w:rFonts w:hint="eastAsia" w:ascii="宋体" w:hAnsi="宋体" w:eastAsia="宋体" w:cs="宋体"/>
          <w:szCs w:val="21"/>
          <w:highlight w:val="none"/>
          <w:lang w:val="zh-CN"/>
        </w:rPr>
        <w:tab/>
      </w:r>
      <w:r>
        <w:rPr>
          <w:rFonts w:hint="eastAsia" w:ascii="宋体" w:hAnsi="宋体" w:eastAsia="宋体" w:cs="宋体"/>
          <w:kern w:val="0"/>
          <w:szCs w:val="21"/>
          <w:highlight w:val="none"/>
          <w:lang w:eastAsia="zh-CN"/>
        </w:rPr>
        <w:t>东莞市水务环境投资控股集团有限公司注册发行60亿元公司债承销商采购项目（重新招标）</w:t>
      </w:r>
      <w:r>
        <w:rPr>
          <w:rFonts w:hint="eastAsia" w:ascii="宋体" w:hAnsi="宋体" w:eastAsia="宋体" w:cs="宋体"/>
          <w:szCs w:val="21"/>
          <w:highlight w:val="none"/>
          <w:lang w:val="zh-CN"/>
        </w:rPr>
        <w:t>(招标编号：SSSSSZ12501633_1</w:t>
      </w:r>
      <w:r>
        <w:rPr>
          <w:rFonts w:hint="eastAsia" w:ascii="宋体" w:hAnsi="宋体" w:eastAsia="宋体" w:cs="宋体"/>
          <w:kern w:val="0"/>
          <w:szCs w:val="32"/>
          <w:highlight w:val="none"/>
        </w:rPr>
        <w:t>)的</w:t>
      </w:r>
      <w:r>
        <w:rPr>
          <w:rFonts w:hint="eastAsia" w:ascii="宋体" w:hAnsi="宋体" w:eastAsia="宋体" w:cs="宋体"/>
          <w:szCs w:val="21"/>
          <w:highlight w:val="none"/>
          <w:lang w:val="zh-CN"/>
        </w:rPr>
        <w:t>招标</w:t>
      </w:r>
      <w:r>
        <w:rPr>
          <w:rFonts w:hint="eastAsia" w:ascii="宋体" w:hAnsi="宋体" w:eastAsia="宋体" w:cs="宋体"/>
          <w:kern w:val="0"/>
          <w:szCs w:val="32"/>
          <w:highlight w:val="none"/>
        </w:rPr>
        <w:t>按照《中华人民共和国招标投标法》等有关规定进行。</w:t>
      </w:r>
    </w:p>
    <w:p w14:paraId="3C2CCD92">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1.2</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评标必须遵循公平、公正、诚实信用的原则。</w:t>
      </w:r>
    </w:p>
    <w:p w14:paraId="48B25966">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1.3</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招标代理机构</w:t>
      </w:r>
      <w:r>
        <w:rPr>
          <w:rFonts w:hint="eastAsia" w:ascii="宋体" w:hAnsi="宋体" w:eastAsia="宋体" w:cs="宋体"/>
          <w:kern w:val="0"/>
          <w:szCs w:val="32"/>
          <w:highlight w:val="none"/>
        </w:rPr>
        <w:t>(</w:t>
      </w:r>
      <w:r>
        <w:rPr>
          <w:rFonts w:hint="eastAsia" w:ascii="宋体" w:hAnsi="宋体" w:eastAsia="宋体" w:cs="宋体"/>
          <w:kern w:val="0"/>
          <w:szCs w:val="32"/>
          <w:highlight w:val="none"/>
          <w:lang w:eastAsia="zh-CN"/>
        </w:rPr>
        <w:t>广东有德招标采购有限公司</w:t>
      </w:r>
      <w:r>
        <w:rPr>
          <w:rFonts w:hint="eastAsia" w:ascii="宋体" w:hAnsi="宋体" w:eastAsia="宋体" w:cs="宋体"/>
          <w:kern w:val="0"/>
          <w:szCs w:val="32"/>
          <w:highlight w:val="none"/>
        </w:rPr>
        <w:t>）组</w:t>
      </w:r>
      <w:r>
        <w:rPr>
          <w:rFonts w:hint="eastAsia" w:ascii="宋体" w:hAnsi="宋体" w:eastAsia="宋体" w:cs="宋体"/>
          <w:szCs w:val="24"/>
          <w:highlight w:val="none"/>
          <w:lang w:val="zh-CN"/>
        </w:rPr>
        <w:t>织评标工作，全过程接受招标人及相关部门的监督、管理和指导。</w:t>
      </w:r>
    </w:p>
    <w:p w14:paraId="3FA4F217">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1.4</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评标按照招标文件规定的内容进行，采取综合评分</w:t>
      </w:r>
      <w:r>
        <w:rPr>
          <w:rFonts w:hint="eastAsia" w:ascii="宋体" w:hAnsi="宋体" w:eastAsia="宋体" w:cs="宋体"/>
          <w:szCs w:val="21"/>
          <w:highlight w:val="none"/>
        </w:rPr>
        <w:t>法进行评审</w:t>
      </w:r>
      <w:r>
        <w:rPr>
          <w:rFonts w:hint="eastAsia" w:ascii="宋体" w:hAnsi="宋体" w:eastAsia="宋体" w:cs="宋体"/>
          <w:szCs w:val="24"/>
          <w:highlight w:val="none"/>
          <w:lang w:val="zh-CN"/>
        </w:rPr>
        <w:t>。</w:t>
      </w:r>
    </w:p>
    <w:p w14:paraId="1CFF0C0D">
      <w:pPr>
        <w:numPr>
          <w:ilvl w:val="1"/>
          <w:numId w:val="3"/>
        </w:numPr>
        <w:autoSpaceDE w:val="0"/>
        <w:autoSpaceDN w:val="0"/>
        <w:adjustRightInd w:val="0"/>
        <w:spacing w:line="360" w:lineRule="auto"/>
        <w:ind w:left="565" w:hanging="564" w:hangingChars="269"/>
        <w:jc w:val="left"/>
        <w:rPr>
          <w:rFonts w:hint="eastAsia" w:ascii="宋体" w:hAnsi="宋体" w:eastAsia="宋体" w:cs="宋体"/>
          <w:szCs w:val="24"/>
          <w:highlight w:val="none"/>
          <w:lang w:val="zh-CN"/>
        </w:rPr>
      </w:pPr>
      <w:r>
        <w:rPr>
          <w:rFonts w:hint="eastAsia" w:ascii="宋体" w:hAnsi="宋体" w:eastAsia="宋体" w:cs="宋体"/>
          <w:szCs w:val="24"/>
          <w:highlight w:val="none"/>
          <w:lang w:val="en-US" w:eastAsia="zh-CN"/>
        </w:rPr>
        <w:t xml:space="preserve"> </w:t>
      </w:r>
      <w:r>
        <w:rPr>
          <w:rFonts w:hint="eastAsia" w:ascii="宋体" w:hAnsi="宋体" w:eastAsia="宋体" w:cs="宋体"/>
          <w:szCs w:val="24"/>
          <w:highlight w:val="none"/>
          <w:lang w:val="zh-CN"/>
        </w:rPr>
        <w:t>本办法的评审对象是指投标人按照招标文件要求提供的有效投标文件，包括投标人应评标委员会要求对原投标文件作出的正式书面澄清文件。</w:t>
      </w:r>
    </w:p>
    <w:p w14:paraId="6E9725A6">
      <w:pPr>
        <w:autoSpaceDE w:val="0"/>
        <w:autoSpaceDN w:val="0"/>
        <w:adjustRightInd w:val="0"/>
        <w:spacing w:line="360" w:lineRule="auto"/>
        <w:rPr>
          <w:rFonts w:hint="eastAsia" w:ascii="宋体" w:hAnsi="宋体" w:eastAsia="宋体" w:cs="宋体"/>
          <w:sz w:val="24"/>
          <w:szCs w:val="24"/>
          <w:highlight w:val="none"/>
          <w:lang w:val="zh-CN"/>
        </w:rPr>
      </w:pPr>
    </w:p>
    <w:p w14:paraId="717CED21">
      <w:pPr>
        <w:tabs>
          <w:tab w:val="left" w:pos="360"/>
          <w:tab w:val="left" w:pos="600"/>
        </w:tabs>
        <w:autoSpaceDE w:val="0"/>
        <w:autoSpaceDN w:val="0"/>
        <w:adjustRightInd w:val="0"/>
        <w:spacing w:line="360" w:lineRule="auto"/>
        <w:ind w:left="600" w:hanging="600"/>
        <w:rPr>
          <w:rFonts w:hint="eastAsia" w:ascii="宋体" w:hAnsi="宋体" w:eastAsia="宋体" w:cs="宋体"/>
          <w:b/>
          <w:bCs/>
          <w:szCs w:val="24"/>
          <w:highlight w:val="none"/>
          <w:lang w:val="zh-CN"/>
        </w:rPr>
      </w:pPr>
      <w:r>
        <w:rPr>
          <w:rFonts w:hint="eastAsia" w:ascii="宋体" w:hAnsi="宋体" w:eastAsia="宋体" w:cs="宋体"/>
          <w:b/>
          <w:bCs/>
          <w:szCs w:val="24"/>
          <w:highlight w:val="none"/>
          <w:lang w:val="zh-CN"/>
        </w:rPr>
        <w:t>2、</w:t>
      </w:r>
      <w:r>
        <w:rPr>
          <w:rFonts w:hint="eastAsia" w:ascii="宋体" w:hAnsi="宋体" w:eastAsia="宋体" w:cs="宋体"/>
          <w:b/>
          <w:bCs/>
          <w:szCs w:val="24"/>
          <w:highlight w:val="none"/>
          <w:lang w:val="zh-CN"/>
        </w:rPr>
        <w:tab/>
      </w:r>
      <w:r>
        <w:rPr>
          <w:rFonts w:hint="eastAsia" w:ascii="宋体" w:hAnsi="宋体" w:eastAsia="宋体" w:cs="宋体"/>
          <w:b/>
          <w:bCs/>
          <w:szCs w:val="24"/>
          <w:highlight w:val="none"/>
          <w:lang w:val="zh-CN"/>
        </w:rPr>
        <w:t>评标组织机构的组成</w:t>
      </w:r>
    </w:p>
    <w:p w14:paraId="5480B73D">
      <w:pPr>
        <w:tabs>
          <w:tab w:val="left" w:pos="567"/>
          <w:tab w:val="left" w:pos="1145"/>
        </w:tabs>
        <w:autoSpaceDE w:val="0"/>
        <w:autoSpaceDN w:val="0"/>
        <w:adjustRightInd w:val="0"/>
        <w:spacing w:line="360" w:lineRule="auto"/>
        <w:ind w:left="600" w:hanging="600"/>
        <w:rPr>
          <w:rFonts w:hint="eastAsia" w:ascii="宋体" w:hAnsi="宋体" w:eastAsia="宋体" w:cs="宋体"/>
          <w:szCs w:val="24"/>
          <w:highlight w:val="none"/>
          <w:lang w:val="zh-CN"/>
        </w:rPr>
      </w:pPr>
      <w:r>
        <w:rPr>
          <w:rFonts w:hint="eastAsia" w:ascii="宋体" w:hAnsi="宋体" w:eastAsia="宋体" w:cs="宋体"/>
          <w:szCs w:val="24"/>
          <w:highlight w:val="none"/>
          <w:lang w:val="zh-CN"/>
        </w:rPr>
        <w:t>2.1</w:t>
      </w:r>
      <w:r>
        <w:rPr>
          <w:rFonts w:hint="eastAsia" w:ascii="宋体" w:hAnsi="宋体" w:eastAsia="宋体" w:cs="宋体"/>
          <w:szCs w:val="24"/>
          <w:highlight w:val="none"/>
          <w:lang w:val="zh-CN"/>
        </w:rPr>
        <w:tab/>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4"/>
          <w:highlight w:val="none"/>
        </w:rPr>
        <w:t>由招标人和技术、经济等方面的专家组成，成员为</w:t>
      </w:r>
      <w:r>
        <w:rPr>
          <w:rFonts w:hint="eastAsia" w:ascii="宋体" w:hAnsi="宋体" w:eastAsia="宋体" w:cs="宋体"/>
          <w:b/>
          <w:bCs/>
          <w:color w:val="auto"/>
          <w:kern w:val="0"/>
          <w:szCs w:val="24"/>
          <w:highlight w:val="none"/>
          <w:lang w:val="en-US" w:eastAsia="zh-CN"/>
        </w:rPr>
        <w:t>7</w:t>
      </w:r>
      <w:r>
        <w:rPr>
          <w:rFonts w:hint="eastAsia" w:ascii="宋体" w:hAnsi="宋体" w:eastAsia="宋体" w:cs="宋体"/>
          <w:b/>
          <w:bCs/>
          <w:color w:val="auto"/>
          <w:kern w:val="0"/>
          <w:szCs w:val="24"/>
          <w:highlight w:val="none"/>
        </w:rPr>
        <w:t>人以上（含</w:t>
      </w:r>
      <w:r>
        <w:rPr>
          <w:rFonts w:hint="eastAsia" w:ascii="宋体" w:hAnsi="宋体" w:eastAsia="宋体" w:cs="宋体"/>
          <w:b/>
          <w:bCs/>
          <w:color w:val="auto"/>
          <w:kern w:val="0"/>
          <w:szCs w:val="24"/>
          <w:highlight w:val="none"/>
          <w:lang w:val="en-US" w:eastAsia="zh-CN"/>
        </w:rPr>
        <w:t>7</w:t>
      </w:r>
      <w:r>
        <w:rPr>
          <w:rFonts w:hint="eastAsia" w:ascii="宋体" w:hAnsi="宋体" w:eastAsia="宋体" w:cs="宋体"/>
          <w:b/>
          <w:bCs/>
          <w:color w:val="auto"/>
          <w:kern w:val="0"/>
          <w:szCs w:val="24"/>
          <w:highlight w:val="none"/>
        </w:rPr>
        <w:t>人）单数</w:t>
      </w:r>
      <w:r>
        <w:rPr>
          <w:rFonts w:hint="eastAsia" w:ascii="宋体" w:hAnsi="宋体" w:eastAsia="宋体" w:cs="宋体"/>
          <w:color w:val="auto"/>
          <w:kern w:val="0"/>
          <w:szCs w:val="24"/>
          <w:highlight w:val="none"/>
        </w:rPr>
        <w:t>，其中技术、经济等方面的专家不少于成员总</w:t>
      </w:r>
      <w:r>
        <w:rPr>
          <w:rFonts w:hint="eastAsia" w:ascii="宋体" w:hAnsi="宋体" w:eastAsia="宋体" w:cs="宋体"/>
          <w:kern w:val="0"/>
          <w:szCs w:val="24"/>
          <w:highlight w:val="none"/>
        </w:rPr>
        <w:t>数的三分之二。</w:t>
      </w:r>
      <w:r>
        <w:rPr>
          <w:rFonts w:hint="eastAsia" w:ascii="宋体" w:hAnsi="宋体" w:eastAsia="宋体" w:cs="宋体"/>
          <w:szCs w:val="24"/>
          <w:highlight w:val="none"/>
          <w:lang w:val="zh-CN"/>
        </w:rPr>
        <w:t>专家依法从</w:t>
      </w:r>
      <w:r>
        <w:rPr>
          <w:rFonts w:hint="eastAsia" w:ascii="宋体" w:hAnsi="宋体" w:eastAsia="宋体" w:cs="宋体"/>
          <w:kern w:val="0"/>
          <w:szCs w:val="24"/>
          <w:highlight w:val="none"/>
        </w:rPr>
        <w:t>专家库中随机抽取产生。</w:t>
      </w:r>
    </w:p>
    <w:p w14:paraId="1BAA691A">
      <w:pPr>
        <w:tabs>
          <w:tab w:val="left" w:pos="567"/>
          <w:tab w:val="left" w:pos="1145"/>
        </w:tabs>
        <w:autoSpaceDE w:val="0"/>
        <w:autoSpaceDN w:val="0"/>
        <w:adjustRightInd w:val="0"/>
        <w:spacing w:line="360" w:lineRule="auto"/>
        <w:ind w:left="600" w:hanging="600"/>
        <w:rPr>
          <w:rFonts w:hint="eastAsia" w:ascii="宋体" w:hAnsi="宋体" w:eastAsia="宋体" w:cs="宋体"/>
          <w:szCs w:val="24"/>
          <w:highlight w:val="none"/>
          <w:lang w:val="zh-CN"/>
        </w:rPr>
      </w:pPr>
      <w:r>
        <w:rPr>
          <w:rFonts w:hint="eastAsia" w:ascii="宋体" w:hAnsi="宋体" w:eastAsia="宋体" w:cs="宋体"/>
          <w:szCs w:val="24"/>
          <w:highlight w:val="none"/>
          <w:lang w:val="zh-CN"/>
        </w:rPr>
        <w:t>2.2</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评标工作组由招标人、招标代理机构及有关专家组成，由评标委员会确认，并接受其领导。</w:t>
      </w:r>
    </w:p>
    <w:p w14:paraId="7D614D84">
      <w:pPr>
        <w:autoSpaceDE w:val="0"/>
        <w:autoSpaceDN w:val="0"/>
        <w:adjustRightInd w:val="0"/>
        <w:spacing w:line="360" w:lineRule="auto"/>
        <w:ind w:left="600" w:hanging="600"/>
        <w:rPr>
          <w:rFonts w:hint="eastAsia" w:ascii="宋体" w:hAnsi="宋体" w:eastAsia="宋体" w:cs="宋体"/>
          <w:szCs w:val="24"/>
          <w:highlight w:val="none"/>
          <w:lang w:val="zh-CN"/>
        </w:rPr>
      </w:pPr>
      <w:r>
        <w:rPr>
          <w:rFonts w:hint="eastAsia" w:ascii="宋体" w:hAnsi="宋体" w:eastAsia="宋体" w:cs="宋体"/>
          <w:szCs w:val="24"/>
          <w:highlight w:val="none"/>
          <w:lang w:val="zh-CN"/>
        </w:rPr>
        <w:t>2.3</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评标工作组分成评标委员会、秘书组。</w:t>
      </w:r>
    </w:p>
    <w:p w14:paraId="1C5F675C">
      <w:pPr>
        <w:autoSpaceDE w:val="0"/>
        <w:autoSpaceDN w:val="0"/>
        <w:adjustRightInd w:val="0"/>
        <w:spacing w:line="360" w:lineRule="auto"/>
        <w:ind w:left="600" w:hanging="600"/>
        <w:rPr>
          <w:rFonts w:hint="eastAsia" w:ascii="宋体" w:hAnsi="宋体" w:eastAsia="宋体" w:cs="宋体"/>
          <w:szCs w:val="24"/>
          <w:highlight w:val="none"/>
          <w:lang w:val="zh-CN"/>
        </w:rPr>
      </w:pPr>
      <w:r>
        <w:rPr>
          <w:rFonts w:hint="eastAsia" w:ascii="宋体" w:hAnsi="宋体" w:eastAsia="宋体" w:cs="宋体"/>
          <w:szCs w:val="24"/>
          <w:highlight w:val="none"/>
          <w:lang w:val="zh-CN"/>
        </w:rPr>
        <w:t>2.4</w:t>
      </w:r>
      <w:r>
        <w:rPr>
          <w:rFonts w:hint="eastAsia" w:ascii="宋体" w:hAnsi="宋体" w:eastAsia="宋体" w:cs="宋体"/>
          <w:szCs w:val="24"/>
          <w:highlight w:val="none"/>
          <w:lang w:val="zh-CN"/>
        </w:rPr>
        <w:tab/>
      </w:r>
      <w:r>
        <w:rPr>
          <w:rFonts w:hint="eastAsia" w:ascii="宋体" w:hAnsi="宋体" w:eastAsia="宋体" w:cs="宋体"/>
          <w:szCs w:val="24"/>
          <w:highlight w:val="none"/>
          <w:lang w:val="zh-CN"/>
        </w:rPr>
        <w:t>评标委员会应相对独立工作，负责评审、撰写评标报告。招标代理机构秘书组负责评标过程中资料的保管、发放及回收，协调技术和评标委员会评标工作的进展和整理、汇总评标资料及复核。</w:t>
      </w:r>
    </w:p>
    <w:p w14:paraId="1F8E81F0">
      <w:pPr>
        <w:autoSpaceDE w:val="0"/>
        <w:autoSpaceDN w:val="0"/>
        <w:adjustRightInd w:val="0"/>
        <w:spacing w:line="360" w:lineRule="auto"/>
        <w:rPr>
          <w:rFonts w:hint="eastAsia" w:ascii="宋体" w:hAnsi="宋体" w:eastAsia="宋体" w:cs="宋体"/>
          <w:sz w:val="24"/>
          <w:szCs w:val="24"/>
          <w:highlight w:val="none"/>
          <w:lang w:val="zh-CN"/>
        </w:rPr>
      </w:pPr>
    </w:p>
    <w:p w14:paraId="40A1D6AC">
      <w:pPr>
        <w:autoSpaceDE w:val="0"/>
        <w:autoSpaceDN w:val="0"/>
        <w:adjustRightInd w:val="0"/>
        <w:spacing w:line="360" w:lineRule="auto"/>
        <w:rPr>
          <w:rFonts w:hint="eastAsia" w:ascii="宋体" w:hAnsi="宋体" w:eastAsia="宋体" w:cs="宋体"/>
          <w:sz w:val="24"/>
          <w:szCs w:val="24"/>
          <w:highlight w:val="none"/>
          <w:lang w:val="zh-CN"/>
        </w:rPr>
      </w:pPr>
      <w:r>
        <w:rPr>
          <w:rFonts w:hint="eastAsia" w:ascii="宋体" w:hAnsi="宋体" w:eastAsia="宋体" w:cs="宋体"/>
          <w:b/>
          <w:szCs w:val="21"/>
          <w:highlight w:val="none"/>
          <w:lang w:val="zh-CN"/>
        </w:rPr>
        <w:t>3、</w:t>
      </w:r>
      <w:r>
        <w:rPr>
          <w:rFonts w:hint="eastAsia" w:ascii="宋体" w:hAnsi="宋体" w:eastAsia="宋体" w:cs="宋体"/>
          <w:b/>
          <w:bCs/>
          <w:szCs w:val="21"/>
          <w:highlight w:val="none"/>
          <w:lang w:val="zh-CN"/>
        </w:rPr>
        <w:t>评标</w:t>
      </w:r>
      <w:r>
        <w:rPr>
          <w:rFonts w:hint="eastAsia" w:ascii="宋体" w:hAnsi="宋体" w:eastAsia="宋体" w:cs="宋体"/>
          <w:b/>
          <w:bCs/>
          <w:szCs w:val="24"/>
          <w:highlight w:val="none"/>
          <w:lang w:val="zh-CN"/>
        </w:rPr>
        <w:t>委员会职责</w:t>
      </w:r>
    </w:p>
    <w:p w14:paraId="6EB93C37">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3.1  审查投标文件是否符合招标文件要求，并作出评价；</w:t>
      </w:r>
    </w:p>
    <w:p w14:paraId="5B08938B">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3.2  要求投标人对投标文件有关事项作出解释或者澄清；</w:t>
      </w:r>
    </w:p>
    <w:p w14:paraId="089FDE56">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3.3</w:t>
      </w:r>
      <w:r>
        <w:rPr>
          <w:rFonts w:hint="eastAsia" w:ascii="宋体" w:hAnsi="宋体" w:eastAsia="宋体" w:cs="宋体"/>
          <w:kern w:val="0"/>
          <w:szCs w:val="24"/>
          <w:highlight w:val="none"/>
          <w:lang w:val="zh-CN"/>
        </w:rPr>
        <w:tab/>
      </w:r>
      <w:r>
        <w:rPr>
          <w:rFonts w:hint="eastAsia" w:ascii="宋体" w:hAnsi="宋体" w:eastAsia="宋体" w:cs="宋体"/>
          <w:kern w:val="0"/>
          <w:szCs w:val="24"/>
          <w:highlight w:val="none"/>
          <w:lang w:val="zh-CN"/>
        </w:rPr>
        <w:t xml:space="preserve"> 推荐中标候选人名</w:t>
      </w:r>
      <w:r>
        <w:rPr>
          <w:rFonts w:hint="eastAsia" w:ascii="宋体" w:hAnsi="宋体" w:eastAsia="宋体" w:cs="宋体"/>
          <w:color w:val="auto"/>
          <w:kern w:val="0"/>
          <w:szCs w:val="24"/>
          <w:highlight w:val="none"/>
          <w:lang w:val="zh-CN"/>
        </w:rPr>
        <w:t>单及排序；</w:t>
      </w:r>
    </w:p>
    <w:p w14:paraId="3B2ABD66">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3.4</w:t>
      </w:r>
      <w:r>
        <w:rPr>
          <w:rFonts w:hint="eastAsia" w:ascii="宋体" w:hAnsi="宋体" w:eastAsia="宋体" w:cs="宋体"/>
          <w:kern w:val="0"/>
          <w:szCs w:val="24"/>
          <w:highlight w:val="none"/>
          <w:lang w:val="zh-CN"/>
        </w:rPr>
        <w:tab/>
      </w:r>
      <w:r>
        <w:rPr>
          <w:rFonts w:hint="eastAsia" w:ascii="宋体" w:hAnsi="宋体" w:eastAsia="宋体" w:cs="宋体"/>
          <w:kern w:val="0"/>
          <w:szCs w:val="24"/>
          <w:highlight w:val="none"/>
          <w:lang w:val="zh-CN"/>
        </w:rPr>
        <w:t xml:space="preserve"> 向招标人、招标代理机构或者有关部门报告非法干预评标工作的行为。</w:t>
      </w:r>
    </w:p>
    <w:p w14:paraId="661664D9">
      <w:pPr>
        <w:autoSpaceDE w:val="0"/>
        <w:autoSpaceDN w:val="0"/>
        <w:adjustRightInd w:val="0"/>
        <w:spacing w:line="360" w:lineRule="auto"/>
        <w:jc w:val="left"/>
        <w:rPr>
          <w:rFonts w:hint="eastAsia" w:ascii="宋体" w:hAnsi="宋体" w:eastAsia="宋体" w:cs="宋体"/>
          <w:kern w:val="0"/>
          <w:sz w:val="24"/>
          <w:szCs w:val="24"/>
          <w:highlight w:val="none"/>
          <w:lang w:val="zh-CN"/>
        </w:rPr>
      </w:pPr>
    </w:p>
    <w:p w14:paraId="2AC21B56">
      <w:pPr>
        <w:tabs>
          <w:tab w:val="left" w:pos="720"/>
        </w:tabs>
        <w:autoSpaceDE w:val="0"/>
        <w:autoSpaceDN w:val="0"/>
        <w:adjustRightInd w:val="0"/>
        <w:spacing w:line="360" w:lineRule="auto"/>
        <w:rPr>
          <w:rFonts w:hint="eastAsia" w:ascii="宋体" w:hAnsi="宋体" w:eastAsia="宋体" w:cs="宋体"/>
          <w:b/>
          <w:bCs/>
          <w:szCs w:val="21"/>
          <w:highlight w:val="none"/>
          <w:lang w:val="zh-CN"/>
        </w:rPr>
      </w:pPr>
      <w:r>
        <w:rPr>
          <w:rFonts w:hint="eastAsia" w:ascii="宋体" w:hAnsi="宋体" w:eastAsia="宋体" w:cs="宋体"/>
          <w:b/>
          <w:bCs/>
          <w:szCs w:val="21"/>
          <w:highlight w:val="none"/>
          <w:lang w:val="zh-CN"/>
        </w:rPr>
        <w:t>4、评标委员会义务</w:t>
      </w:r>
    </w:p>
    <w:p w14:paraId="7EA26BB7">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4.1  遵纪守法，客观、公正、廉洁地履行职责；</w:t>
      </w:r>
    </w:p>
    <w:p w14:paraId="1E43A762">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4.2  按照招标文件规定的评标方法和评标标准进行评审，对评审意见承担个人责任；</w:t>
      </w:r>
    </w:p>
    <w:p w14:paraId="42CCC250">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4.3  对评标过程和结果，以及投标人的商业秘密保密；</w:t>
      </w:r>
    </w:p>
    <w:p w14:paraId="5688B864">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4.4  参与评标报告的起草；</w:t>
      </w:r>
    </w:p>
    <w:p w14:paraId="705305B3">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4.5  配合有关部门的投诉处理工作；</w:t>
      </w:r>
    </w:p>
    <w:p w14:paraId="48F39083">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4.6  配合招标人、招标代理机构答复投标人提出的质疑、异议。</w:t>
      </w:r>
    </w:p>
    <w:p w14:paraId="190B1D63">
      <w:pPr>
        <w:tabs>
          <w:tab w:val="left" w:pos="720"/>
        </w:tabs>
        <w:autoSpaceDE w:val="0"/>
        <w:autoSpaceDN w:val="0"/>
        <w:adjustRightInd w:val="0"/>
        <w:spacing w:line="360" w:lineRule="auto"/>
        <w:rPr>
          <w:rFonts w:hint="eastAsia" w:ascii="宋体" w:hAnsi="宋体" w:eastAsia="宋体" w:cs="宋体"/>
          <w:sz w:val="24"/>
          <w:szCs w:val="24"/>
          <w:highlight w:val="none"/>
          <w:lang w:val="zh-CN"/>
        </w:rPr>
      </w:pPr>
    </w:p>
    <w:p w14:paraId="576DE53C">
      <w:pPr>
        <w:tabs>
          <w:tab w:val="left" w:pos="1547"/>
        </w:tabs>
        <w:autoSpaceDE w:val="0"/>
        <w:autoSpaceDN w:val="0"/>
        <w:adjustRightInd w:val="0"/>
        <w:spacing w:line="360" w:lineRule="auto"/>
        <w:rPr>
          <w:rFonts w:hint="eastAsia" w:ascii="宋体" w:hAnsi="宋体" w:eastAsia="宋体" w:cs="宋体"/>
          <w:b/>
          <w:szCs w:val="24"/>
          <w:highlight w:val="none"/>
          <w:lang w:val="zh-CN"/>
        </w:rPr>
      </w:pPr>
      <w:r>
        <w:rPr>
          <w:rFonts w:hint="eastAsia" w:ascii="宋体" w:hAnsi="宋体" w:eastAsia="宋体" w:cs="宋体"/>
          <w:b/>
          <w:bCs/>
          <w:szCs w:val="21"/>
          <w:highlight w:val="none"/>
          <w:lang w:val="zh-CN"/>
        </w:rPr>
        <w:t>5、评审程序</w:t>
      </w:r>
    </w:p>
    <w:p w14:paraId="7AEC284F">
      <w:pPr>
        <w:autoSpaceDE w:val="0"/>
        <w:autoSpaceDN w:val="0"/>
        <w:adjustRightInd w:val="0"/>
        <w:spacing w:line="360" w:lineRule="auto"/>
        <w:ind w:left="567" w:hanging="567"/>
        <w:rPr>
          <w:rFonts w:hint="eastAsia" w:ascii="宋体" w:hAnsi="宋体" w:eastAsia="宋体" w:cs="宋体"/>
          <w:b/>
          <w:szCs w:val="24"/>
          <w:highlight w:val="none"/>
          <w:lang w:val="zh-CN"/>
        </w:rPr>
      </w:pPr>
      <w:r>
        <w:rPr>
          <w:rFonts w:hint="eastAsia" w:ascii="宋体" w:hAnsi="宋体" w:eastAsia="宋体" w:cs="宋体"/>
          <w:b/>
          <w:szCs w:val="24"/>
          <w:highlight w:val="none"/>
          <w:lang w:val="zh-CN"/>
        </w:rPr>
        <w:t>公开招标：</w:t>
      </w:r>
    </w:p>
    <w:p w14:paraId="151A067B">
      <w:pPr>
        <w:autoSpaceDE w:val="0"/>
        <w:autoSpaceDN w:val="0"/>
        <w:adjustRightInd w:val="0"/>
        <w:spacing w:line="360" w:lineRule="auto"/>
        <w:ind w:left="567" w:hanging="567"/>
        <w:rPr>
          <w:rFonts w:hint="eastAsia" w:ascii="宋体" w:hAnsi="宋体" w:eastAsia="宋体" w:cs="宋体"/>
          <w:bCs/>
          <w:szCs w:val="24"/>
          <w:highlight w:val="none"/>
          <w:lang w:val="zh-CN"/>
        </w:rPr>
      </w:pPr>
      <w:r>
        <w:rPr>
          <w:rFonts w:hint="eastAsia" w:ascii="宋体" w:hAnsi="宋体" w:eastAsia="宋体" w:cs="宋体"/>
          <w:szCs w:val="24"/>
          <w:highlight w:val="none"/>
          <w:lang w:val="zh-CN"/>
        </w:rPr>
        <w:t>5.1</w:t>
      </w:r>
      <w:r>
        <w:rPr>
          <w:rFonts w:hint="eastAsia" w:ascii="宋体" w:hAnsi="宋体" w:eastAsia="宋体" w:cs="宋体"/>
          <w:szCs w:val="24"/>
          <w:highlight w:val="none"/>
          <w:lang w:val="zh-CN"/>
        </w:rPr>
        <w:tab/>
      </w:r>
      <w:r>
        <w:rPr>
          <w:rFonts w:hint="eastAsia" w:ascii="宋体" w:hAnsi="宋体" w:eastAsia="宋体" w:cs="宋体"/>
          <w:bCs/>
          <w:szCs w:val="24"/>
          <w:highlight w:val="none"/>
          <w:lang w:val="zh-CN"/>
        </w:rPr>
        <w:t>评审首先由评标委员会对投标人的</w:t>
      </w:r>
      <w:r>
        <w:rPr>
          <w:rFonts w:hint="eastAsia" w:ascii="宋体" w:hAnsi="宋体" w:eastAsia="宋体" w:cs="宋体"/>
          <w:szCs w:val="24"/>
          <w:highlight w:val="none"/>
          <w:lang w:val="zh-CN"/>
        </w:rPr>
        <w:t>投标</w:t>
      </w:r>
      <w:r>
        <w:rPr>
          <w:rFonts w:hint="eastAsia" w:ascii="宋体" w:hAnsi="宋体" w:eastAsia="宋体" w:cs="宋体"/>
          <w:bCs/>
          <w:szCs w:val="24"/>
          <w:highlight w:val="none"/>
          <w:lang w:val="zh-CN"/>
        </w:rPr>
        <w:t>文件做初审，对未能通过初审的投标文件不再进入下一阶段评审。</w:t>
      </w:r>
    </w:p>
    <w:p w14:paraId="3D00A17D">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5.2</w:t>
      </w:r>
      <w:r>
        <w:rPr>
          <w:rFonts w:hint="eastAsia" w:ascii="宋体" w:hAnsi="宋体" w:eastAsia="宋体" w:cs="宋体"/>
          <w:szCs w:val="24"/>
          <w:highlight w:val="none"/>
          <w:lang w:val="zh-CN"/>
        </w:rPr>
        <w:tab/>
      </w:r>
      <w:r>
        <w:rPr>
          <w:rFonts w:hint="eastAsia" w:ascii="宋体" w:hAnsi="宋体" w:eastAsia="宋体" w:cs="宋体"/>
          <w:bCs/>
          <w:szCs w:val="24"/>
          <w:highlight w:val="none"/>
          <w:lang w:val="zh-CN"/>
        </w:rPr>
        <w:t>评标</w:t>
      </w:r>
      <w:r>
        <w:rPr>
          <w:rFonts w:hint="eastAsia" w:ascii="宋体" w:hAnsi="宋体" w:eastAsia="宋体" w:cs="宋体"/>
          <w:szCs w:val="24"/>
          <w:highlight w:val="none"/>
          <w:lang w:val="zh-CN"/>
        </w:rPr>
        <w:t>委员会对通过初审的投标人的投标文件进行详细的比较和评价。如需要，进行必要的澄清工作。</w:t>
      </w:r>
    </w:p>
    <w:p w14:paraId="5296552C">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5.3  依据评分标准以及各项权重，各位评标委员会成员单独就每个投标人的商务状况、技术状况进行比较和评价，分别评出其商务得分和技术得分。</w:t>
      </w:r>
    </w:p>
    <w:p w14:paraId="40FCC72C">
      <w:pPr>
        <w:autoSpaceDE w:val="0"/>
        <w:autoSpaceDN w:val="0"/>
        <w:adjustRightInd w:val="0"/>
        <w:spacing w:line="360" w:lineRule="auto"/>
        <w:ind w:left="567" w:hanging="567"/>
        <w:rPr>
          <w:rFonts w:hint="eastAsia" w:ascii="宋体" w:hAnsi="宋体" w:eastAsia="宋体" w:cs="宋体"/>
          <w:szCs w:val="24"/>
          <w:highlight w:val="none"/>
          <w:lang w:val="zh-CN"/>
        </w:rPr>
      </w:pPr>
      <w:r>
        <w:rPr>
          <w:rFonts w:hint="eastAsia" w:ascii="宋体" w:hAnsi="宋体" w:eastAsia="宋体" w:cs="宋体"/>
          <w:szCs w:val="24"/>
          <w:highlight w:val="none"/>
          <w:lang w:val="zh-CN"/>
        </w:rPr>
        <w:t>5.4</w:t>
      </w:r>
      <w:r>
        <w:rPr>
          <w:rFonts w:hint="eastAsia" w:ascii="宋体" w:hAnsi="宋体" w:eastAsia="宋体" w:cs="宋体"/>
          <w:szCs w:val="24"/>
          <w:highlight w:val="none"/>
          <w:lang w:val="zh-CN"/>
        </w:rPr>
        <w:tab/>
      </w:r>
      <w:r>
        <w:rPr>
          <w:rFonts w:hint="eastAsia" w:ascii="宋体" w:hAnsi="宋体" w:eastAsia="宋体" w:cs="宋体"/>
          <w:kern w:val="0"/>
          <w:szCs w:val="24"/>
          <w:highlight w:val="none"/>
          <w:lang w:val="zh-CN"/>
        </w:rPr>
        <w:t>对有效投标人的投标报价进行审查和价格评分。</w:t>
      </w:r>
    </w:p>
    <w:p w14:paraId="78792989">
      <w:pPr>
        <w:autoSpaceDE w:val="0"/>
        <w:autoSpaceDN w:val="0"/>
        <w:adjustRightInd w:val="0"/>
        <w:spacing w:line="360" w:lineRule="auto"/>
        <w:ind w:left="567" w:hanging="567"/>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5.5  将各</w:t>
      </w:r>
      <w:r>
        <w:rPr>
          <w:rFonts w:hint="eastAsia" w:ascii="宋体" w:hAnsi="宋体" w:eastAsia="宋体" w:cs="宋体"/>
          <w:szCs w:val="24"/>
          <w:highlight w:val="none"/>
          <w:lang w:val="zh-CN"/>
        </w:rPr>
        <w:t>评委对</w:t>
      </w:r>
      <w:r>
        <w:rPr>
          <w:rFonts w:hint="eastAsia" w:ascii="宋体" w:hAnsi="宋体" w:eastAsia="宋体" w:cs="宋体"/>
          <w:kern w:val="0"/>
          <w:szCs w:val="24"/>
          <w:highlight w:val="none"/>
          <w:lang w:val="zh-CN"/>
        </w:rPr>
        <w:t>投标人的技术打分的最终综合得分、商务打分的算术平均值和价格得分相加得出投标人的总分。</w:t>
      </w:r>
    </w:p>
    <w:p w14:paraId="6B82F306">
      <w:pPr>
        <w:autoSpaceDE w:val="0"/>
        <w:autoSpaceDN w:val="0"/>
        <w:adjustRightInd w:val="0"/>
        <w:spacing w:line="360" w:lineRule="auto"/>
        <w:ind w:left="567" w:hanging="567"/>
        <w:rPr>
          <w:rFonts w:hint="eastAsia" w:ascii="宋体" w:hAnsi="宋体" w:eastAsia="宋体" w:cs="宋体"/>
          <w:kern w:val="0"/>
          <w:szCs w:val="21"/>
          <w:highlight w:val="none"/>
        </w:rPr>
      </w:pPr>
      <w:r>
        <w:rPr>
          <w:rFonts w:hint="eastAsia" w:ascii="宋体" w:hAnsi="宋体" w:eastAsia="宋体" w:cs="宋体"/>
          <w:bCs/>
          <w:kern w:val="0"/>
          <w:szCs w:val="24"/>
          <w:highlight w:val="none"/>
        </w:rPr>
        <w:t xml:space="preserve">5.6  </w:t>
      </w:r>
      <w:r>
        <w:rPr>
          <w:rFonts w:hint="eastAsia" w:ascii="宋体" w:hAnsi="宋体" w:eastAsia="宋体" w:cs="宋体"/>
          <w:kern w:val="0"/>
          <w:szCs w:val="21"/>
          <w:highlight w:val="none"/>
        </w:rPr>
        <w:t>评标委员会将向招标人推荐评标最后综合得分最高的前</w:t>
      </w:r>
      <w:r>
        <w:rPr>
          <w:rFonts w:hint="eastAsia" w:ascii="宋体" w:hAnsi="宋体" w:eastAsia="宋体" w:cs="宋体"/>
          <w:kern w:val="0"/>
          <w:szCs w:val="21"/>
          <w:highlight w:val="none"/>
          <w:lang w:val="en-US" w:eastAsia="zh-CN"/>
        </w:rPr>
        <w:t>四</w:t>
      </w:r>
      <w:r>
        <w:rPr>
          <w:rFonts w:hint="eastAsia" w:ascii="宋体" w:hAnsi="宋体" w:eastAsia="宋体" w:cs="宋体"/>
          <w:kern w:val="0"/>
          <w:szCs w:val="21"/>
          <w:highlight w:val="none"/>
        </w:rPr>
        <w:t>名投标人为中标候选人，并标明排列顺序。</w:t>
      </w:r>
    </w:p>
    <w:p w14:paraId="776191EC">
      <w:pPr>
        <w:autoSpaceDE w:val="0"/>
        <w:autoSpaceDN w:val="0"/>
        <w:adjustRightInd w:val="0"/>
        <w:spacing w:line="360" w:lineRule="auto"/>
        <w:ind w:left="525" w:hanging="525" w:hangingChars="250"/>
        <w:jc w:val="left"/>
        <w:rPr>
          <w:rFonts w:hint="eastAsia" w:ascii="宋体" w:hAnsi="宋体" w:eastAsia="宋体" w:cs="宋体"/>
          <w:szCs w:val="24"/>
          <w:highlight w:val="none"/>
          <w:lang w:val="zh-CN"/>
        </w:rPr>
      </w:pPr>
      <w:r>
        <w:rPr>
          <w:rFonts w:hint="eastAsia" w:ascii="宋体" w:hAnsi="宋体" w:eastAsia="宋体" w:cs="宋体"/>
          <w:kern w:val="0"/>
          <w:szCs w:val="24"/>
          <w:highlight w:val="none"/>
          <w:lang w:val="zh-CN"/>
        </w:rPr>
        <w:t>5.</w:t>
      </w:r>
      <w:r>
        <w:rPr>
          <w:rFonts w:hint="eastAsia" w:ascii="宋体" w:hAnsi="宋体" w:eastAsia="宋体" w:cs="宋体"/>
          <w:szCs w:val="24"/>
          <w:highlight w:val="none"/>
          <w:lang w:val="zh-CN"/>
        </w:rPr>
        <w:t>7</w:t>
      </w:r>
      <w:r>
        <w:rPr>
          <w:rFonts w:hint="eastAsia" w:ascii="宋体" w:hAnsi="宋体" w:eastAsia="宋体" w:cs="宋体"/>
          <w:szCs w:val="24"/>
          <w:highlight w:val="none"/>
          <w:lang w:val="zh-CN"/>
        </w:rPr>
        <w:tab/>
      </w:r>
      <w:r>
        <w:rPr>
          <w:rFonts w:hint="eastAsia" w:ascii="宋体" w:hAnsi="宋体" w:eastAsia="宋体" w:cs="宋体"/>
          <w:kern w:val="0"/>
          <w:szCs w:val="24"/>
          <w:highlight w:val="none"/>
          <w:lang w:val="zh-CN"/>
        </w:rPr>
        <w:t>评标委员会</w:t>
      </w:r>
      <w:r>
        <w:rPr>
          <w:rFonts w:hint="eastAsia" w:ascii="宋体" w:hAnsi="宋体" w:eastAsia="宋体" w:cs="宋体"/>
          <w:szCs w:val="24"/>
          <w:highlight w:val="none"/>
          <w:lang w:val="zh-CN"/>
        </w:rPr>
        <w:t>根据评审结果编写评标报告。</w:t>
      </w:r>
    </w:p>
    <w:p w14:paraId="752765A1">
      <w:pPr>
        <w:autoSpaceDE w:val="0"/>
        <w:autoSpaceDN w:val="0"/>
        <w:adjustRightInd w:val="0"/>
        <w:spacing w:line="360" w:lineRule="auto"/>
        <w:ind w:left="525" w:hanging="525" w:hangingChars="250"/>
        <w:jc w:val="left"/>
        <w:rPr>
          <w:rFonts w:hint="eastAsia" w:ascii="宋体" w:hAnsi="宋体" w:eastAsia="宋体" w:cs="宋体"/>
          <w:szCs w:val="24"/>
          <w:highlight w:val="none"/>
          <w:lang w:val="zh-CN"/>
        </w:rPr>
      </w:pPr>
    </w:p>
    <w:p w14:paraId="2C030016">
      <w:pPr>
        <w:tabs>
          <w:tab w:val="left" w:pos="1140"/>
        </w:tabs>
        <w:autoSpaceDE w:val="0"/>
        <w:autoSpaceDN w:val="0"/>
        <w:adjustRightInd w:val="0"/>
        <w:spacing w:line="360" w:lineRule="auto"/>
        <w:jc w:val="center"/>
        <w:rPr>
          <w:rFonts w:hint="eastAsia" w:ascii="宋体" w:hAnsi="宋体" w:eastAsia="宋体" w:cs="宋体"/>
          <w:b/>
          <w:bCs/>
          <w:sz w:val="28"/>
          <w:szCs w:val="28"/>
          <w:highlight w:val="none"/>
        </w:rPr>
      </w:pPr>
      <w:bookmarkStart w:id="731" w:name="_Toc19435_WPSOffice_Level1"/>
      <w:r>
        <w:rPr>
          <w:rFonts w:hint="eastAsia" w:ascii="宋体" w:hAnsi="宋体" w:eastAsia="宋体" w:cs="宋体"/>
          <w:b/>
          <w:bCs/>
          <w:sz w:val="28"/>
          <w:szCs w:val="28"/>
          <w:highlight w:val="none"/>
          <w:lang w:val="zh-CN"/>
        </w:rPr>
        <w:t>二、投标文件的初审</w:t>
      </w:r>
      <w:bookmarkEnd w:id="731"/>
    </w:p>
    <w:p w14:paraId="2E332AB4">
      <w:pPr>
        <w:autoSpaceDE w:val="0"/>
        <w:autoSpaceDN w:val="0"/>
        <w:adjustRightInd w:val="0"/>
        <w:spacing w:line="360" w:lineRule="auto"/>
        <w:rPr>
          <w:rFonts w:hint="eastAsia" w:ascii="宋体" w:hAnsi="宋体" w:eastAsia="宋体" w:cs="宋体"/>
          <w:b/>
          <w:szCs w:val="24"/>
          <w:highlight w:val="none"/>
          <w:lang w:val="zh-CN"/>
        </w:rPr>
      </w:pPr>
      <w:r>
        <w:rPr>
          <w:rFonts w:hint="eastAsia" w:ascii="宋体" w:hAnsi="宋体" w:eastAsia="宋体" w:cs="宋体"/>
          <w:b/>
          <w:szCs w:val="24"/>
          <w:highlight w:val="none"/>
          <w:lang w:val="zh-CN"/>
        </w:rPr>
        <w:t>6、投标文件的初审分为资格性检查和符合性检查。</w:t>
      </w:r>
    </w:p>
    <w:p w14:paraId="35A65C9E">
      <w:pPr>
        <w:autoSpaceDE w:val="0"/>
        <w:autoSpaceDN w:val="0"/>
        <w:adjustRightInd w:val="0"/>
        <w:spacing w:line="360" w:lineRule="auto"/>
        <w:ind w:left="529" w:hanging="529" w:hangingChars="252"/>
        <w:rPr>
          <w:rFonts w:hint="eastAsia" w:ascii="宋体" w:hAnsi="宋体" w:eastAsia="宋体" w:cs="宋体"/>
          <w:szCs w:val="24"/>
          <w:highlight w:val="none"/>
          <w:lang w:val="zh-CN"/>
        </w:rPr>
      </w:pPr>
      <w:r>
        <w:rPr>
          <w:rFonts w:hint="eastAsia" w:ascii="宋体" w:hAnsi="宋体" w:eastAsia="宋体" w:cs="宋体"/>
          <w:szCs w:val="24"/>
          <w:highlight w:val="none"/>
          <w:lang w:val="zh-CN"/>
        </w:rPr>
        <w:t>6.1  资格性检查是指评标委员会依据法律法规和招标文件的规定，对投标文件中的资格证明、投标保证金、投标人（含其不具有独立法人资格的分支机构）信用（由招标代理机构在递交投标文件截止时间当天通过“信用中国”网站对投标人信用进行查询，招标代理机构将查询情况提交评标委员会评审）等进行审查，以确定投标人是否具备投标资格。</w:t>
      </w:r>
    </w:p>
    <w:p w14:paraId="3FC2B714">
      <w:pPr>
        <w:autoSpaceDE w:val="0"/>
        <w:autoSpaceDN w:val="0"/>
        <w:adjustRightInd w:val="0"/>
        <w:spacing w:line="360" w:lineRule="auto"/>
        <w:ind w:left="529" w:hanging="529" w:hangingChars="252"/>
        <w:rPr>
          <w:rFonts w:hint="eastAsia" w:ascii="宋体" w:hAnsi="宋体" w:eastAsia="宋体" w:cs="宋体"/>
          <w:szCs w:val="24"/>
          <w:highlight w:val="none"/>
          <w:lang w:val="zh-CN"/>
        </w:rPr>
      </w:pPr>
      <w:r>
        <w:rPr>
          <w:rFonts w:hint="eastAsia" w:ascii="宋体" w:hAnsi="宋体" w:eastAsia="宋体" w:cs="宋体"/>
          <w:szCs w:val="24"/>
          <w:highlight w:val="none"/>
          <w:lang w:val="zh-CN"/>
        </w:rPr>
        <w:t>6.2  符合性检查是指评标委员会依据招标文件规定，从投标文件的有效性、完整性和对招标文件的响应程度进行审查，以确定是否对招标文件的实质性要求作出响应。</w:t>
      </w:r>
    </w:p>
    <w:p w14:paraId="02276843">
      <w:pPr>
        <w:autoSpaceDE w:val="0"/>
        <w:autoSpaceDN w:val="0"/>
        <w:adjustRightInd w:val="0"/>
        <w:spacing w:line="360" w:lineRule="auto"/>
        <w:ind w:left="420" w:leftChars="200" w:firstLine="420" w:firstLineChars="200"/>
        <w:rPr>
          <w:rFonts w:hint="eastAsia" w:ascii="宋体" w:hAnsi="宋体" w:eastAsia="宋体" w:cs="宋体"/>
          <w:szCs w:val="24"/>
          <w:highlight w:val="none"/>
          <w:lang w:val="zh-CN"/>
        </w:rPr>
      </w:pPr>
      <w:r>
        <w:rPr>
          <w:rFonts w:hint="eastAsia" w:ascii="宋体" w:hAnsi="宋体" w:eastAsia="宋体" w:cs="宋体"/>
          <w:szCs w:val="24"/>
          <w:highlight w:val="none"/>
          <w:lang w:val="zh-CN"/>
        </w:rPr>
        <w:t>实质性响应的投标指的是符合招标文件要求的全部“★”条款和验收标准而无任何重大偏离或保留。重大偏离或保留系指实质上影响到合同项下的服务范围、质量，或指与招标文件有实质不一致，限制了合同项下委托人的权利和承包人的义务, 或对该重大偏离的修改对提交实质性响应投标的其他投标人将不公平。</w:t>
      </w:r>
    </w:p>
    <w:p w14:paraId="7C6E95E9">
      <w:pPr>
        <w:autoSpaceDE w:val="0"/>
        <w:autoSpaceDN w:val="0"/>
        <w:adjustRightInd w:val="0"/>
        <w:spacing w:line="360" w:lineRule="auto"/>
        <w:ind w:firstLine="840" w:firstLineChars="400"/>
        <w:rPr>
          <w:rFonts w:hint="eastAsia" w:ascii="宋体" w:hAnsi="宋体" w:eastAsia="宋体" w:cs="宋体"/>
          <w:szCs w:val="24"/>
          <w:highlight w:val="none"/>
          <w:lang w:val="zh-CN"/>
        </w:rPr>
      </w:pPr>
      <w:r>
        <w:rPr>
          <w:rFonts w:hint="eastAsia" w:ascii="宋体" w:hAnsi="宋体" w:eastAsia="宋体" w:cs="宋体"/>
          <w:szCs w:val="24"/>
          <w:highlight w:val="none"/>
          <w:lang w:val="zh-CN"/>
        </w:rPr>
        <w:t>评标委员会决定投标文件的响应性是基于投标文件的内容本身而不靠外部的证据。</w:t>
      </w:r>
    </w:p>
    <w:p w14:paraId="0E10A870">
      <w:pPr>
        <w:autoSpaceDE w:val="0"/>
        <w:autoSpaceDN w:val="0"/>
        <w:adjustRightInd w:val="0"/>
        <w:spacing w:line="360" w:lineRule="auto"/>
        <w:ind w:left="420" w:leftChars="200" w:firstLine="422" w:firstLineChars="200"/>
        <w:rPr>
          <w:rFonts w:hint="eastAsia" w:ascii="宋体" w:hAnsi="宋体" w:eastAsia="宋体" w:cs="宋体"/>
          <w:b/>
          <w:szCs w:val="24"/>
          <w:highlight w:val="none"/>
          <w:lang w:val="zh-CN"/>
        </w:rPr>
      </w:pPr>
      <w:r>
        <w:rPr>
          <w:rFonts w:hint="eastAsia" w:ascii="宋体" w:hAnsi="宋体" w:eastAsia="宋体" w:cs="宋体"/>
          <w:b/>
          <w:szCs w:val="24"/>
          <w:highlight w:val="none"/>
          <w:lang w:val="zh-CN"/>
        </w:rPr>
        <w:t>对是否符合实质性响应招标文件有争议的投标文件,评标委员会成员将以记名方式表决,根据少数服</w:t>
      </w:r>
      <w:r>
        <w:rPr>
          <w:rFonts w:hint="eastAsia" w:ascii="宋体" w:hAnsi="宋体" w:eastAsia="宋体" w:cs="宋体"/>
          <w:b/>
          <w:szCs w:val="24"/>
          <w:highlight w:val="none"/>
          <w:lang w:val="en-US" w:eastAsia="zh-CN"/>
        </w:rPr>
        <w:t>从</w:t>
      </w:r>
      <w:r>
        <w:rPr>
          <w:rFonts w:hint="eastAsia" w:ascii="宋体" w:hAnsi="宋体" w:eastAsia="宋体" w:cs="宋体"/>
          <w:b/>
          <w:szCs w:val="24"/>
          <w:highlight w:val="none"/>
          <w:lang w:val="zh-CN"/>
        </w:rPr>
        <w:t>多数的原则，获多数表决通过的投标人才有资格进入下一阶段的评审,否则将被认定为无效投标文件。</w:t>
      </w:r>
    </w:p>
    <w:p w14:paraId="74FE795B">
      <w:pPr>
        <w:autoSpaceDE w:val="0"/>
        <w:autoSpaceDN w:val="0"/>
        <w:adjustRightInd w:val="0"/>
        <w:spacing w:line="360" w:lineRule="auto"/>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7、投标文件出现下列情况之一的，被认定为无效投标：</w:t>
      </w:r>
    </w:p>
    <w:p w14:paraId="15255D9F">
      <w:pPr>
        <w:autoSpaceDE w:val="0"/>
        <w:autoSpaceDN w:val="0"/>
        <w:adjustRightInd w:val="0"/>
        <w:spacing w:line="360" w:lineRule="auto"/>
        <w:outlineLvl w:val="1"/>
        <w:rPr>
          <w:rFonts w:hint="eastAsia" w:ascii="宋体" w:hAnsi="宋体" w:eastAsia="宋体" w:cs="宋体"/>
          <w:b/>
          <w:color w:val="auto"/>
          <w:szCs w:val="21"/>
          <w:highlight w:val="none"/>
          <w:lang w:val="zh-CN"/>
        </w:rPr>
      </w:pPr>
      <w:bookmarkStart w:id="732" w:name="_Toc26899"/>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 上传的投标文件损坏或无法读取的；</w:t>
      </w:r>
      <w:bookmarkEnd w:id="732"/>
    </w:p>
    <w:p w14:paraId="53FD13D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.2 经招标人确认，投标人在公共资源交易企业库填报的与本项目密切相关的信息与事实不相符的；</w:t>
      </w:r>
    </w:p>
    <w:p w14:paraId="203E172C">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.3 投标文件中使用的本项目招标文件版本，与交易系统上发布的本项目招标文件的最新版本不一致的；</w:t>
      </w:r>
    </w:p>
    <w:p w14:paraId="0BC55BAE">
      <w:pPr>
        <w:autoSpaceDE w:val="0"/>
        <w:autoSpaceDN w:val="0"/>
        <w:adjustRightInd w:val="0"/>
        <w:spacing w:line="360" w:lineRule="auto"/>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7.4 投标文件未使用企业数字证书签名的；</w:t>
      </w:r>
    </w:p>
    <w:p w14:paraId="6597513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5</w:t>
      </w:r>
      <w:r>
        <w:rPr>
          <w:rFonts w:hint="eastAsia" w:ascii="宋体" w:hAnsi="宋体" w:eastAsia="宋体" w:cs="宋体"/>
          <w:b/>
          <w:color w:val="auto"/>
          <w:szCs w:val="21"/>
          <w:highlight w:val="none"/>
          <w:lang w:val="zh-CN"/>
        </w:rPr>
        <w:t xml:space="preserve"> 投标文件签名使用的数字证书与签到的投标人名称不一致的；</w:t>
      </w:r>
    </w:p>
    <w:p w14:paraId="35D0B5B3">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lang w:val="zh-CN"/>
        </w:rPr>
        <w:t xml:space="preserve"> 投标人的投标编制MAC信息、投标编制CPU序列号、投标编制硬盘序列号均与其他投标人相同的；</w:t>
      </w:r>
    </w:p>
    <w:p w14:paraId="18835AED">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 xml:space="preserve"> 投标文件附有招标人不能接受的条件的；</w:t>
      </w:r>
    </w:p>
    <w:p w14:paraId="64937C39">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8</w:t>
      </w:r>
      <w:r>
        <w:rPr>
          <w:rFonts w:hint="eastAsia" w:ascii="宋体" w:hAnsi="宋体" w:eastAsia="宋体" w:cs="宋体"/>
          <w:b/>
          <w:color w:val="auto"/>
          <w:szCs w:val="21"/>
          <w:highlight w:val="none"/>
          <w:lang w:val="zh-CN"/>
        </w:rPr>
        <w:t xml:space="preserve"> 投标人资格不满足第二篇投标人须知第2款的要求；</w:t>
      </w:r>
    </w:p>
    <w:p w14:paraId="099D4E5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9</w:t>
      </w:r>
      <w:r>
        <w:rPr>
          <w:rFonts w:hint="eastAsia" w:ascii="宋体" w:hAnsi="宋体" w:eastAsia="宋体" w:cs="宋体"/>
          <w:b/>
          <w:color w:val="auto"/>
          <w:szCs w:val="21"/>
          <w:highlight w:val="none"/>
          <w:lang w:val="zh-CN"/>
        </w:rPr>
        <w:t xml:space="preserve"> 投标人未按招标文件要求交纳投标保证金的；</w:t>
      </w:r>
    </w:p>
    <w:p w14:paraId="4717D3CF">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w:t>
      </w:r>
      <w:r>
        <w:rPr>
          <w:rFonts w:hint="eastAsia" w:ascii="宋体" w:hAnsi="宋体" w:eastAsia="宋体" w:cs="宋体"/>
          <w:b/>
          <w:color w:val="auto"/>
          <w:szCs w:val="21"/>
          <w:highlight w:val="none"/>
          <w:lang w:val="en-US" w:eastAsia="zh-CN"/>
        </w:rPr>
        <w:t>10</w:t>
      </w:r>
      <w:r>
        <w:rPr>
          <w:rFonts w:hint="eastAsia" w:ascii="宋体" w:hAnsi="宋体" w:eastAsia="宋体" w:cs="宋体"/>
          <w:b/>
          <w:color w:val="auto"/>
          <w:szCs w:val="21"/>
          <w:highlight w:val="none"/>
          <w:lang w:val="zh-CN"/>
        </w:rPr>
        <w:t xml:space="preserve"> 投标文件报价信封中填报的投标费率报价高于招标文件最高费率限价的；</w:t>
      </w:r>
    </w:p>
    <w:p w14:paraId="3C4B85F1">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1</w:t>
      </w:r>
      <w:r>
        <w:rPr>
          <w:rFonts w:hint="eastAsia" w:ascii="宋体" w:hAnsi="宋体" w:eastAsia="宋体" w:cs="宋体"/>
          <w:b/>
          <w:color w:val="auto"/>
          <w:szCs w:val="21"/>
          <w:highlight w:val="none"/>
          <w:lang w:val="zh-CN"/>
        </w:rPr>
        <w:t xml:space="preserve"> 投标人以低于企业成本价报价，且投标人不能合理说明或不能提供相关证明材料；</w:t>
      </w:r>
    </w:p>
    <w:p w14:paraId="78629DEE">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lang w:val="zh-CN"/>
        </w:rPr>
        <w:t xml:space="preserve"> 投标人递交两份或多份内容不同的投标文件，或在一份投标文件中报有两个或多个报价，且未书面声明哪一个有效；</w:t>
      </w:r>
    </w:p>
    <w:p w14:paraId="706217C3">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lang w:val="zh-CN"/>
        </w:rPr>
        <w:t xml:space="preserve"> 投标文件未按第二篇投标人须知第17款的要求编制、使用企业数字证书或个人数字证书电子签名的； </w:t>
      </w:r>
    </w:p>
    <w:p w14:paraId="62EDE1B4">
      <w:pPr>
        <w:autoSpaceDE w:val="0"/>
        <w:autoSpaceDN w:val="0"/>
        <w:adjustRightInd w:val="0"/>
        <w:spacing w:line="360" w:lineRule="auto"/>
        <w:outlineLvl w:val="1"/>
        <w:rPr>
          <w:rFonts w:hint="eastAsia" w:ascii="宋体" w:hAnsi="宋体" w:eastAsia="宋体" w:cs="宋体"/>
          <w:b/>
          <w:color w:val="auto"/>
          <w:szCs w:val="21"/>
          <w:highlight w:val="none"/>
          <w:lang w:val="zh-CN"/>
        </w:rPr>
      </w:pPr>
      <w:bookmarkStart w:id="733" w:name="_Toc16046"/>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lang w:val="zh-CN"/>
        </w:rPr>
        <w:t xml:space="preserve"> 投标有效期限不符合要求；</w:t>
      </w:r>
      <w:bookmarkEnd w:id="733"/>
    </w:p>
    <w:p w14:paraId="1B81B95A">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5</w:t>
      </w:r>
      <w:r>
        <w:rPr>
          <w:rFonts w:hint="eastAsia" w:ascii="宋体" w:hAnsi="宋体" w:eastAsia="宋体" w:cs="宋体"/>
          <w:b/>
          <w:color w:val="auto"/>
          <w:szCs w:val="21"/>
          <w:highlight w:val="none"/>
          <w:lang w:val="zh-CN"/>
        </w:rPr>
        <w:t xml:space="preserve"> 投标文件未对招标范围内的全部内容进行投标报价或投标方案不是唯一；</w:t>
      </w:r>
    </w:p>
    <w:p w14:paraId="176EFB67">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lang w:val="zh-CN"/>
        </w:rPr>
        <w:t xml:space="preserve"> 未提供或虚假填写《合同条款偏离表》，或对《合同条款偏离表》有负偏离的；</w:t>
      </w:r>
    </w:p>
    <w:p w14:paraId="2D703701">
      <w:pPr>
        <w:autoSpaceDE w:val="0"/>
        <w:autoSpaceDN w:val="0"/>
        <w:adjustRightInd w:val="0"/>
        <w:spacing w:line="360" w:lineRule="auto"/>
        <w:outlineLvl w:val="1"/>
        <w:rPr>
          <w:rFonts w:hint="eastAsia" w:ascii="宋体" w:hAnsi="宋体" w:eastAsia="宋体" w:cs="宋体"/>
          <w:b/>
          <w:color w:val="auto"/>
          <w:szCs w:val="21"/>
          <w:highlight w:val="none"/>
          <w:lang w:val="zh-CN"/>
        </w:rPr>
      </w:pPr>
      <w:bookmarkStart w:id="734" w:name="_Toc18040"/>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 xml:space="preserve"> 未填写或虚假填写《用户需求偏离表》的；</w:t>
      </w:r>
      <w:bookmarkEnd w:id="734"/>
    </w:p>
    <w:p w14:paraId="44441356">
      <w:pPr>
        <w:autoSpaceDE w:val="0"/>
        <w:autoSpaceDN w:val="0"/>
        <w:adjustRightInd w:val="0"/>
        <w:spacing w:line="360" w:lineRule="auto"/>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8</w:t>
      </w:r>
      <w:r>
        <w:rPr>
          <w:rFonts w:hint="eastAsia" w:ascii="宋体" w:hAnsi="宋体" w:eastAsia="宋体" w:cs="宋体"/>
          <w:b/>
          <w:color w:val="auto"/>
          <w:szCs w:val="21"/>
          <w:highlight w:val="none"/>
          <w:lang w:val="zh-CN"/>
        </w:rPr>
        <w:t xml:space="preserve"> 未响应招标文件提出的实质性要求和条件（标注★的条款）；</w:t>
      </w:r>
    </w:p>
    <w:p w14:paraId="3D568280">
      <w:pPr>
        <w:autoSpaceDE w:val="0"/>
        <w:autoSpaceDN w:val="0"/>
        <w:adjustRightInd w:val="0"/>
        <w:spacing w:line="360" w:lineRule="auto"/>
        <w:ind w:left="315" w:hanging="316" w:hangingChars="150"/>
        <w:rPr>
          <w:rFonts w:hint="eastAsia" w:ascii="宋体" w:hAnsi="宋体" w:eastAsia="宋体" w:cs="宋体"/>
          <w:b/>
          <w:color w:val="auto"/>
          <w:szCs w:val="21"/>
          <w:highlight w:val="none"/>
          <w:lang w:val="zh-CN"/>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lang w:val="zh-CN"/>
        </w:rPr>
        <w:t>.1</w:t>
      </w:r>
      <w:r>
        <w:rPr>
          <w:rFonts w:hint="eastAsia" w:ascii="宋体" w:hAnsi="宋体" w:eastAsia="宋体" w:cs="宋体"/>
          <w:b/>
          <w:color w:val="auto"/>
          <w:szCs w:val="21"/>
          <w:highlight w:val="none"/>
          <w:lang w:val="en-US" w:eastAsia="zh-CN"/>
        </w:rPr>
        <w:t>9</w:t>
      </w:r>
      <w:r>
        <w:rPr>
          <w:rFonts w:hint="eastAsia" w:ascii="宋体" w:hAnsi="宋体" w:eastAsia="宋体" w:cs="宋体"/>
          <w:b/>
          <w:color w:val="auto"/>
          <w:szCs w:val="21"/>
          <w:highlight w:val="none"/>
          <w:lang w:val="zh-CN"/>
        </w:rPr>
        <w:t xml:space="preserve"> 属于招标文件中规定为无效标的；属于法律、法规、规章规定的应作无效投标文件处理的。</w:t>
      </w:r>
    </w:p>
    <w:p w14:paraId="6D63292F">
      <w:pPr>
        <w:autoSpaceDE w:val="0"/>
        <w:autoSpaceDN w:val="0"/>
        <w:adjustRightInd w:val="0"/>
        <w:spacing w:line="360" w:lineRule="auto"/>
        <w:ind w:left="315" w:hanging="315" w:hangingChars="150"/>
        <w:rPr>
          <w:rFonts w:hint="eastAsia" w:ascii="宋体" w:hAnsi="宋体" w:eastAsia="宋体" w:cs="宋体"/>
          <w:kern w:val="0"/>
          <w:szCs w:val="24"/>
          <w:highlight w:val="none"/>
          <w:lang w:val="zh-CN"/>
        </w:rPr>
      </w:pPr>
      <w:r>
        <w:rPr>
          <w:rFonts w:hint="eastAsia" w:ascii="宋体" w:hAnsi="宋体" w:eastAsia="宋体" w:cs="宋体"/>
          <w:bCs/>
          <w:kern w:val="0"/>
          <w:szCs w:val="24"/>
          <w:highlight w:val="none"/>
          <w:lang w:val="zh-CN"/>
        </w:rPr>
        <w:t>8、</w:t>
      </w:r>
      <w:r>
        <w:rPr>
          <w:rFonts w:hint="eastAsia" w:ascii="宋体" w:hAnsi="宋体" w:eastAsia="宋体" w:cs="宋体"/>
          <w:kern w:val="0"/>
          <w:szCs w:val="24"/>
          <w:highlight w:val="none"/>
          <w:lang w:val="zh-CN"/>
        </w:rPr>
        <w:t>评标委员会应当书面要求存在细微偏差的投标人在开标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14:paraId="3F43B68D">
      <w:pPr>
        <w:spacing w:line="360" w:lineRule="auto"/>
        <w:ind w:left="480"/>
        <w:rPr>
          <w:rFonts w:hint="eastAsia" w:ascii="宋体" w:hAnsi="宋体" w:eastAsia="宋体" w:cs="宋体"/>
          <w:b/>
          <w:kern w:val="0"/>
          <w:szCs w:val="21"/>
          <w:highlight w:val="none"/>
        </w:rPr>
      </w:pPr>
    </w:p>
    <w:p w14:paraId="64DB07A4">
      <w:pPr>
        <w:tabs>
          <w:tab w:val="left" w:pos="1140"/>
        </w:tabs>
        <w:autoSpaceDE w:val="0"/>
        <w:autoSpaceDN w:val="0"/>
        <w:adjustRightInd w:val="0"/>
        <w:spacing w:line="360" w:lineRule="auto"/>
        <w:ind w:firstLine="3528" w:firstLineChars="1255"/>
        <w:jc w:val="left"/>
        <w:rPr>
          <w:rFonts w:hint="eastAsia" w:ascii="宋体" w:hAnsi="宋体" w:eastAsia="宋体" w:cs="宋体"/>
          <w:b/>
          <w:bCs/>
          <w:sz w:val="28"/>
          <w:szCs w:val="28"/>
          <w:highlight w:val="none"/>
        </w:rPr>
      </w:pPr>
      <w:bookmarkStart w:id="735" w:name="_Toc4109_WPSOffice_Level1"/>
      <w:r>
        <w:rPr>
          <w:rFonts w:hint="eastAsia" w:ascii="宋体" w:hAnsi="宋体" w:eastAsia="宋体" w:cs="宋体"/>
          <w:b/>
          <w:bCs/>
          <w:sz w:val="28"/>
          <w:szCs w:val="28"/>
          <w:highlight w:val="none"/>
          <w:lang w:val="zh-CN"/>
        </w:rPr>
        <w:t>三、澄清有关问题</w:t>
      </w:r>
      <w:bookmarkEnd w:id="735"/>
    </w:p>
    <w:p w14:paraId="17E6A8D3">
      <w:pPr>
        <w:autoSpaceDE w:val="0"/>
        <w:autoSpaceDN w:val="0"/>
        <w:adjustRightInd w:val="0"/>
        <w:spacing w:line="360" w:lineRule="auto"/>
        <w:ind w:left="315" w:hanging="315" w:hangingChars="150"/>
        <w:rPr>
          <w:rFonts w:hint="eastAsia" w:ascii="宋体" w:hAnsi="宋体" w:eastAsia="宋体" w:cs="宋体"/>
          <w:color w:val="auto"/>
          <w:szCs w:val="24"/>
          <w:highlight w:val="none"/>
          <w:lang w:val="zh-CN"/>
        </w:rPr>
      </w:pPr>
      <w:r>
        <w:rPr>
          <w:rFonts w:hint="eastAsia" w:ascii="宋体" w:hAnsi="宋体" w:eastAsia="宋体" w:cs="宋体"/>
          <w:bCs/>
          <w:color w:val="auto"/>
          <w:szCs w:val="24"/>
          <w:highlight w:val="none"/>
          <w:lang w:val="zh-CN"/>
        </w:rPr>
        <w:t>9、</w:t>
      </w:r>
      <w:r>
        <w:rPr>
          <w:rFonts w:hint="eastAsia" w:ascii="宋体" w:hAnsi="宋体" w:eastAsia="宋体" w:cs="宋体"/>
          <w:color w:val="auto"/>
          <w:szCs w:val="24"/>
          <w:highlight w:val="none"/>
          <w:lang w:val="zh-CN"/>
        </w:rPr>
        <w:t>在</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的商务、技术资格性检查及符合性检查过程中，</w:t>
      </w:r>
      <w:r>
        <w:rPr>
          <w:rFonts w:hint="eastAsia" w:ascii="宋体" w:hAnsi="宋体" w:eastAsia="宋体" w:cs="宋体"/>
          <w:color w:val="auto"/>
          <w:kern w:val="0"/>
          <w:szCs w:val="24"/>
          <w:highlight w:val="none"/>
          <w:lang w:val="zh-CN"/>
        </w:rPr>
        <w:t>投标人</w:t>
      </w:r>
      <w:r>
        <w:rPr>
          <w:rFonts w:hint="eastAsia" w:ascii="宋体" w:hAnsi="宋体" w:eastAsia="宋体" w:cs="宋体"/>
          <w:color w:val="auto"/>
          <w:szCs w:val="24"/>
          <w:highlight w:val="none"/>
          <w:lang w:val="zh-CN"/>
        </w:rPr>
        <w:t>可应评标委员会要求对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中有关问题进行书面澄清。该书面澄清作为其</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的一部分。</w:t>
      </w:r>
    </w:p>
    <w:p w14:paraId="70960C60">
      <w:pPr>
        <w:autoSpaceDE w:val="0"/>
        <w:autoSpaceDN w:val="0"/>
        <w:adjustRightInd w:val="0"/>
        <w:spacing w:line="360" w:lineRule="auto"/>
        <w:ind w:left="529" w:hanging="529" w:hangingChars="252"/>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9.1  对</w:t>
      </w:r>
      <w:r>
        <w:rPr>
          <w:rFonts w:hint="eastAsia" w:ascii="宋体" w:hAnsi="宋体" w:eastAsia="宋体" w:cs="宋体"/>
          <w:color w:val="auto"/>
          <w:kern w:val="0"/>
          <w:szCs w:val="24"/>
          <w:highlight w:val="none"/>
          <w:lang w:val="zh-CN"/>
        </w:rPr>
        <w:t>投标文件</w:t>
      </w:r>
      <w:r>
        <w:rPr>
          <w:rFonts w:hint="eastAsia" w:ascii="宋体" w:hAnsi="宋体" w:eastAsia="宋体" w:cs="宋体"/>
          <w:color w:val="auto"/>
          <w:szCs w:val="24"/>
          <w:highlight w:val="none"/>
          <w:lang w:val="zh-CN"/>
        </w:rPr>
        <w:t>中含义不明确、同类问题表述不一致或者有明显文字和计算错误的内容，评标委员会可以书面形式（由评标委员会专家签字）要求投标人作出必要的澄清、说明或者纠正。</w:t>
      </w:r>
    </w:p>
    <w:p w14:paraId="34A45124">
      <w:pPr>
        <w:autoSpaceDE w:val="0"/>
        <w:autoSpaceDN w:val="0"/>
        <w:adjustRightInd w:val="0"/>
        <w:spacing w:line="360" w:lineRule="auto"/>
        <w:ind w:left="529" w:hanging="529" w:hangingChars="252"/>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9.2  投标人的澄清、说明或者纠正应当采用书面形式，经加盖其公章或其合法代表人（法定代表人或法定代表人授权书列明的被授权人）签署方有效，并不得超出投标文件的范围或者改变投标文件的实质性内容。</w:t>
      </w:r>
    </w:p>
    <w:p w14:paraId="562DB21A">
      <w:pPr>
        <w:autoSpaceDE w:val="0"/>
        <w:autoSpaceDN w:val="0"/>
        <w:adjustRightInd w:val="0"/>
        <w:spacing w:line="360" w:lineRule="auto"/>
        <w:ind w:left="529" w:right="18" w:hanging="529" w:hangingChars="252"/>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rPr>
        <w:t>9.3  经过澄清后仍不符合要求，则该项目在下一步评审进行评分调整；若重大（实质性）偏差仍存在，且不可接受，投标人则被认为是“不响应招标文件要求的投标人”，不再进入下一步评审。</w:t>
      </w:r>
    </w:p>
    <w:p w14:paraId="0940048D">
      <w:pPr>
        <w:spacing w:line="360" w:lineRule="auto"/>
        <w:ind w:left="424" w:hanging="424" w:hanging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  投标文件报价计算错误的修正</w:t>
      </w:r>
    </w:p>
    <w:p w14:paraId="13C203A3">
      <w:pPr>
        <w:spacing w:line="360" w:lineRule="auto"/>
        <w:ind w:left="567" w:hanging="567" w:hangingChars="27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（1）评标委员会将对确定为实质上响应招标文件要求的投标文件进行校核，看其是否有计算或表达上的错误，修正错误的原则为：</w:t>
      </w:r>
      <w:r>
        <w:rPr>
          <w:rFonts w:hint="eastAsia" w:ascii="宋体" w:hAnsi="宋体" w:eastAsia="宋体" w:cs="宋体"/>
          <w:color w:val="auto"/>
          <w:szCs w:val="21"/>
          <w:highlight w:val="none"/>
          <w:lang w:val="zh-CN"/>
        </w:rPr>
        <w:t>当以数字表示的</w:t>
      </w:r>
      <w:r>
        <w:rPr>
          <w:rFonts w:hint="eastAsia" w:ascii="宋体" w:hAnsi="宋体" w:eastAsia="宋体" w:cs="宋体"/>
          <w:color w:val="auto"/>
          <w:szCs w:val="21"/>
          <w:highlight w:val="none"/>
          <w:lang w:val="en-US" w:eastAsia="zh-CN"/>
        </w:rPr>
        <w:t>金额</w:t>
      </w:r>
      <w:r>
        <w:rPr>
          <w:rFonts w:hint="eastAsia" w:ascii="宋体" w:hAnsi="宋体" w:eastAsia="宋体" w:cs="宋体"/>
          <w:color w:val="auto"/>
          <w:szCs w:val="21"/>
          <w:highlight w:val="none"/>
          <w:lang w:val="zh-CN"/>
        </w:rPr>
        <w:t>与以文字表示的</w:t>
      </w:r>
      <w:r>
        <w:rPr>
          <w:rFonts w:hint="eastAsia" w:ascii="宋体" w:hAnsi="宋体" w:eastAsia="宋体" w:cs="宋体"/>
          <w:color w:val="auto"/>
          <w:szCs w:val="21"/>
          <w:highlight w:val="none"/>
          <w:lang w:val="en-US" w:eastAsia="zh-CN"/>
        </w:rPr>
        <w:t>金额</w:t>
      </w:r>
      <w:r>
        <w:rPr>
          <w:rFonts w:hint="eastAsia" w:ascii="宋体" w:hAnsi="宋体" w:eastAsia="宋体" w:cs="宋体"/>
          <w:color w:val="auto"/>
          <w:szCs w:val="21"/>
          <w:highlight w:val="none"/>
          <w:lang w:val="zh-CN"/>
        </w:rPr>
        <w:t>不一致时，以文字表示的</w:t>
      </w:r>
      <w:r>
        <w:rPr>
          <w:rFonts w:hint="eastAsia" w:ascii="宋体" w:hAnsi="宋体" w:eastAsia="宋体" w:cs="宋体"/>
          <w:color w:val="auto"/>
          <w:szCs w:val="21"/>
          <w:highlight w:val="none"/>
          <w:lang w:val="en-US" w:eastAsia="zh-CN"/>
        </w:rPr>
        <w:t>金额</w:t>
      </w:r>
      <w:r>
        <w:rPr>
          <w:rFonts w:hint="eastAsia" w:ascii="宋体" w:hAnsi="宋体" w:eastAsia="宋体" w:cs="宋体"/>
          <w:color w:val="auto"/>
          <w:szCs w:val="21"/>
          <w:highlight w:val="none"/>
          <w:lang w:val="zh-CN"/>
        </w:rPr>
        <w:t>为准。</w:t>
      </w:r>
      <w:r>
        <w:rPr>
          <w:rFonts w:hint="eastAsia" w:ascii="宋体" w:hAnsi="宋体" w:eastAsia="宋体" w:cs="宋体"/>
          <w:color w:val="auto"/>
          <w:kern w:val="0"/>
          <w:szCs w:val="21"/>
          <w:highlight w:val="none"/>
          <w:lang w:val="zh-CN"/>
        </w:rPr>
        <w:t>按前述修正原则进行修正至唯一值后的报价表经双方确认后，作为合同文件的组成部分。</w:t>
      </w:r>
    </w:p>
    <w:p w14:paraId="36344A88">
      <w:pPr>
        <w:spacing w:line="360" w:lineRule="auto"/>
        <w:ind w:left="567" w:hanging="567" w:hangingChars="270"/>
        <w:rPr>
          <w:rFonts w:hint="eastAsia" w:ascii="宋体" w:hAnsi="宋体" w:eastAsia="宋体" w:cs="宋体"/>
          <w:b/>
          <w:color w:val="auto"/>
          <w:kern w:val="0"/>
          <w:szCs w:val="21"/>
          <w:highlight w:val="none"/>
          <w:lang w:val="zh-CN"/>
        </w:rPr>
      </w:pPr>
      <w:r>
        <w:rPr>
          <w:rFonts w:hint="eastAsia" w:ascii="宋体" w:hAnsi="宋体" w:eastAsia="宋体" w:cs="宋体"/>
          <w:color w:val="auto"/>
          <w:kern w:val="0"/>
          <w:szCs w:val="21"/>
          <w:highlight w:val="none"/>
          <w:lang w:val="zh-CN"/>
        </w:rPr>
        <w:t>（2）</w:t>
      </w:r>
      <w:r>
        <w:rPr>
          <w:rFonts w:hint="eastAsia" w:ascii="宋体" w:hAnsi="宋体" w:eastAsia="宋体" w:cs="宋体"/>
          <w:b/>
          <w:color w:val="auto"/>
          <w:kern w:val="0"/>
          <w:szCs w:val="21"/>
          <w:highlight w:val="none"/>
          <w:u w:val="single"/>
          <w:lang w:val="zh-CN"/>
        </w:rPr>
        <w:t>按上述修正</w:t>
      </w:r>
      <w:r>
        <w:rPr>
          <w:rFonts w:hint="eastAsia" w:ascii="宋体" w:hAnsi="宋体" w:eastAsia="宋体" w:cs="宋体"/>
          <w:b/>
          <w:color w:val="auto"/>
          <w:kern w:val="0"/>
          <w:szCs w:val="21"/>
          <w:highlight w:val="none"/>
          <w:u w:val="single"/>
        </w:rPr>
        <w:t>错误</w:t>
      </w:r>
      <w:r>
        <w:rPr>
          <w:rFonts w:hint="eastAsia" w:ascii="宋体" w:hAnsi="宋体" w:eastAsia="宋体" w:cs="宋体"/>
          <w:b/>
          <w:color w:val="auto"/>
          <w:kern w:val="0"/>
          <w:szCs w:val="21"/>
          <w:highlight w:val="none"/>
          <w:u w:val="single"/>
          <w:lang w:val="zh-CN"/>
        </w:rPr>
        <w:t>的原则及方法调整或修正投标文件的投标报价，调整后的投标报价对投标人起约束作用。如果投标人不接受修正后的报价，则其投标将被拒绝，作为无效投标处理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730F283A">
      <w:pPr>
        <w:spacing w:line="360" w:lineRule="auto"/>
        <w:ind w:left="567" w:hanging="567" w:hangingChars="270"/>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9.5  若投标人出现超低报价，有可能影响服务质量和不能诚信履约的，</w:t>
      </w:r>
      <w:r>
        <w:rPr>
          <w:rFonts w:hint="eastAsia" w:ascii="宋体" w:hAnsi="宋体" w:eastAsia="宋体" w:cs="宋体"/>
          <w:bCs/>
          <w:color w:val="auto"/>
          <w:szCs w:val="21"/>
          <w:highlight w:val="none"/>
          <w:lang w:val="zh-CN"/>
        </w:rPr>
        <w:t>评标委员会将要求该投标人作出书面说明并提供相关证明材料，以确定投标人是否以低于企业成本价报价。</w:t>
      </w:r>
      <w:r>
        <w:rPr>
          <w:rFonts w:hint="eastAsia" w:ascii="宋体" w:hAnsi="宋体" w:eastAsia="宋体" w:cs="宋体"/>
          <w:b/>
          <w:color w:val="auto"/>
          <w:szCs w:val="21"/>
          <w:highlight w:val="none"/>
          <w:lang w:val="zh-CN"/>
        </w:rPr>
        <w:t>若投标人不能合理说明或不能提供相关证明材料的，评标委员会将认定其投标报价低于成本，同时否决其投标。</w:t>
      </w:r>
    </w:p>
    <w:p w14:paraId="1C61C84B">
      <w:pPr>
        <w:spacing w:line="360" w:lineRule="auto"/>
        <w:ind w:left="567" w:hanging="567" w:hangingChars="270"/>
        <w:rPr>
          <w:rFonts w:hint="eastAsia" w:ascii="宋体" w:hAnsi="宋体" w:eastAsia="宋体" w:cs="宋体"/>
          <w:kern w:val="0"/>
          <w:szCs w:val="21"/>
          <w:highlight w:val="none"/>
          <w:lang w:val="zh-CN"/>
        </w:rPr>
      </w:pPr>
    </w:p>
    <w:p w14:paraId="34A29184">
      <w:pPr>
        <w:autoSpaceDE w:val="0"/>
        <w:autoSpaceDN w:val="0"/>
        <w:adjustRightInd w:val="0"/>
        <w:spacing w:line="360" w:lineRule="auto"/>
        <w:jc w:val="center"/>
        <w:rPr>
          <w:rFonts w:hint="eastAsia" w:ascii="宋体" w:hAnsi="宋体" w:eastAsia="宋体" w:cs="宋体"/>
          <w:b/>
          <w:bCs/>
          <w:sz w:val="28"/>
          <w:szCs w:val="28"/>
          <w:highlight w:val="none"/>
          <w:lang w:val="zh-CN"/>
        </w:rPr>
      </w:pPr>
      <w:bookmarkStart w:id="736" w:name="_Toc8518_WPSOffice_Level1"/>
    </w:p>
    <w:p w14:paraId="6209F065">
      <w:pPr>
        <w:autoSpaceDE w:val="0"/>
        <w:autoSpaceDN w:val="0"/>
        <w:adjustRightInd w:val="0"/>
        <w:spacing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zh-CN"/>
        </w:rPr>
        <w:t>四、比较和评价</w:t>
      </w:r>
      <w:bookmarkEnd w:id="736"/>
    </w:p>
    <w:p w14:paraId="6EBD2F6E">
      <w:pPr>
        <w:autoSpaceDE w:val="0"/>
        <w:autoSpaceDN w:val="0"/>
        <w:adjustRightInd w:val="0"/>
        <w:spacing w:line="360" w:lineRule="auto"/>
        <w:ind w:left="422" w:leftChars="1" w:hanging="420" w:hangingChars="200"/>
        <w:rPr>
          <w:rFonts w:hint="eastAsia" w:ascii="宋体" w:hAnsi="宋体" w:eastAsia="宋体" w:cs="宋体"/>
          <w:szCs w:val="24"/>
          <w:highlight w:val="none"/>
          <w:lang w:val="zh-CN"/>
        </w:rPr>
      </w:pPr>
      <w:r>
        <w:rPr>
          <w:rFonts w:hint="eastAsia" w:ascii="宋体" w:hAnsi="宋体" w:eastAsia="宋体" w:cs="宋体"/>
          <w:bCs/>
          <w:szCs w:val="24"/>
          <w:highlight w:val="none"/>
          <w:lang w:val="zh-CN"/>
        </w:rPr>
        <w:t>10、</w:t>
      </w:r>
      <w:r>
        <w:rPr>
          <w:rFonts w:hint="eastAsia" w:ascii="宋体" w:hAnsi="宋体" w:eastAsia="宋体" w:cs="宋体"/>
          <w:szCs w:val="24"/>
          <w:highlight w:val="none"/>
          <w:lang w:val="zh-CN"/>
        </w:rPr>
        <w:t>评标委员会按招标文件中规定的评审方法和标准，对资格性检查和符合性检查合格的投标文件进行商务和技术评审、综合比较与评价；评标委员会根据商务和技术评审的结果，采用综合评分法，分别对投标文件的商务、技术、价格等内容进行打分。</w:t>
      </w:r>
    </w:p>
    <w:p w14:paraId="3AAFFB80">
      <w:pPr>
        <w:autoSpaceDE w:val="0"/>
        <w:autoSpaceDN w:val="0"/>
        <w:adjustRightInd w:val="0"/>
        <w:spacing w:line="360" w:lineRule="auto"/>
        <w:ind w:left="422" w:leftChars="1" w:hanging="420" w:hangingChars="200"/>
        <w:rPr>
          <w:rFonts w:hint="eastAsia" w:ascii="宋体" w:hAnsi="宋体" w:eastAsia="宋体" w:cs="宋体"/>
          <w:szCs w:val="24"/>
          <w:highlight w:val="none"/>
          <w:lang w:val="zh-CN"/>
        </w:rPr>
      </w:pPr>
    </w:p>
    <w:p w14:paraId="6DB7D60B">
      <w:pPr>
        <w:tabs>
          <w:tab w:val="left" w:pos="1701"/>
        </w:tabs>
        <w:autoSpaceDE w:val="0"/>
        <w:autoSpaceDN w:val="0"/>
        <w:adjustRightInd w:val="0"/>
        <w:spacing w:line="360" w:lineRule="auto"/>
        <w:rPr>
          <w:rFonts w:hint="eastAsia" w:ascii="宋体" w:hAnsi="宋体" w:eastAsia="宋体" w:cs="宋体"/>
          <w:b/>
          <w:szCs w:val="24"/>
          <w:highlight w:val="none"/>
          <w:lang w:val="zh-CN"/>
        </w:rPr>
      </w:pPr>
      <w:r>
        <w:rPr>
          <w:rFonts w:hint="eastAsia" w:ascii="宋体" w:hAnsi="宋体" w:eastAsia="宋体" w:cs="宋体"/>
          <w:b/>
          <w:szCs w:val="24"/>
          <w:highlight w:val="none"/>
          <w:lang w:val="zh-CN"/>
        </w:rPr>
        <w:t>11、评委打分办法</w:t>
      </w:r>
    </w:p>
    <w:p w14:paraId="529CFAE8">
      <w:pPr>
        <w:autoSpaceDE w:val="0"/>
        <w:autoSpaceDN w:val="0"/>
        <w:adjustRightInd w:val="0"/>
        <w:spacing w:line="360" w:lineRule="auto"/>
        <w:rPr>
          <w:rFonts w:hint="eastAsia" w:ascii="宋体" w:hAnsi="宋体" w:eastAsia="宋体" w:cs="宋体"/>
          <w:szCs w:val="24"/>
          <w:highlight w:val="none"/>
          <w:lang w:val="zh-CN"/>
        </w:rPr>
      </w:pPr>
      <w:r>
        <w:rPr>
          <w:rFonts w:hint="eastAsia" w:ascii="宋体" w:hAnsi="宋体" w:eastAsia="宋体" w:cs="宋体"/>
          <w:szCs w:val="24"/>
          <w:highlight w:val="none"/>
          <w:lang w:val="zh-CN"/>
        </w:rPr>
        <w:t>11.1 参加评分的评委应尽力体现客观、实事求是，避免学派偏见和个人偏好。</w:t>
      </w:r>
    </w:p>
    <w:p w14:paraId="263752C9">
      <w:pPr>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szCs w:val="24"/>
          <w:highlight w:val="none"/>
          <w:lang w:val="zh-CN"/>
        </w:rPr>
        <w:t>11.2 衡量、对比的依据，应以招标文件、投标文件、提供的正式试验数据、开标澄清中的文字为准，口头回答和收集的资料只作为参考。</w:t>
      </w:r>
    </w:p>
    <w:p w14:paraId="75CEF075">
      <w:pPr>
        <w:autoSpaceDE w:val="0"/>
        <w:autoSpaceDN w:val="0"/>
        <w:adjustRightInd w:val="0"/>
        <w:spacing w:line="360" w:lineRule="auto"/>
        <w:ind w:left="565" w:leftChars="-1" w:hanging="567" w:hangingChars="270"/>
        <w:rPr>
          <w:rFonts w:hint="eastAsia" w:ascii="宋体" w:hAnsi="宋体" w:eastAsia="宋体" w:cs="宋体"/>
          <w:color w:val="auto"/>
          <w:kern w:val="0"/>
          <w:szCs w:val="21"/>
          <w:highlight w:val="none"/>
        </w:rPr>
      </w:pPr>
      <w:r>
        <w:rPr>
          <w:rFonts w:hint="eastAsia" w:ascii="宋体" w:hAnsi="宋体" w:eastAsia="宋体" w:cs="宋体"/>
          <w:szCs w:val="24"/>
          <w:highlight w:val="none"/>
          <w:lang w:val="zh-CN"/>
        </w:rPr>
        <w:t>11.3 评分主要是</w:t>
      </w:r>
      <w:r>
        <w:rPr>
          <w:rFonts w:hint="eastAsia" w:ascii="宋体" w:hAnsi="宋体" w:eastAsia="宋体" w:cs="宋体"/>
          <w:color w:val="auto"/>
          <w:szCs w:val="24"/>
          <w:highlight w:val="none"/>
          <w:lang w:val="zh-CN"/>
        </w:rPr>
        <w:t>为比较各投标人的商务、技术</w:t>
      </w:r>
      <w:r>
        <w:rPr>
          <w:rFonts w:hint="eastAsia" w:ascii="宋体" w:hAnsi="宋体" w:eastAsia="宋体" w:cs="宋体"/>
          <w:color w:val="auto"/>
          <w:szCs w:val="24"/>
          <w:highlight w:val="none"/>
          <w:lang w:val="en-US" w:eastAsia="zh-CN"/>
        </w:rPr>
        <w:t>和</w:t>
      </w:r>
      <w:r>
        <w:rPr>
          <w:rFonts w:hint="eastAsia" w:ascii="宋体" w:hAnsi="宋体" w:eastAsia="宋体" w:cs="宋体"/>
          <w:color w:val="auto"/>
          <w:szCs w:val="24"/>
          <w:highlight w:val="none"/>
          <w:lang w:val="zh-CN"/>
        </w:rPr>
        <w:t>价格综合排序。</w:t>
      </w:r>
      <w:r>
        <w:rPr>
          <w:rFonts w:hint="eastAsia" w:ascii="宋体" w:hAnsi="宋体" w:eastAsia="宋体" w:cs="宋体"/>
          <w:color w:val="auto"/>
          <w:kern w:val="0"/>
          <w:szCs w:val="21"/>
          <w:highlight w:val="none"/>
        </w:rPr>
        <w:t>评标委员会专家组的每一位评委根据招标文件评分标准对投标文件分别评审，对有效投标人投标文件的商务、技术、报价分别评分。</w:t>
      </w:r>
    </w:p>
    <w:p w14:paraId="669A00C9">
      <w:pPr>
        <w:autoSpaceDE w:val="0"/>
        <w:autoSpaceDN w:val="0"/>
        <w:adjustRightInd w:val="0"/>
        <w:spacing w:line="360" w:lineRule="auto"/>
        <w:ind w:left="565" w:leftChars="-1" w:hanging="567" w:hangingChars="27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评标委员会首先对商务标进行评审，按评标标准打分后，取所有评委评分的平均值得出该投标人的商务评分；</w:t>
      </w:r>
    </w:p>
    <w:p w14:paraId="6CE5ED15">
      <w:pPr>
        <w:autoSpaceDE w:val="0"/>
        <w:autoSpaceDN w:val="0"/>
        <w:adjustRightInd w:val="0"/>
        <w:spacing w:line="360" w:lineRule="auto"/>
        <w:ind w:left="565" w:leftChars="-1" w:hanging="567" w:hangingChars="270"/>
        <w:rPr>
          <w:rFonts w:hint="eastAsia" w:ascii="宋体" w:hAnsi="宋体" w:eastAsia="宋体" w:cs="宋体"/>
          <w:color w:val="000000"/>
          <w:sz w:val="21"/>
          <w:szCs w:val="21"/>
          <w:highlight w:val="none"/>
        </w:rPr>
      </w:pP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然后评标委员会对技术标进行评审，按评标标准打分后</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sz w:val="21"/>
          <w:szCs w:val="21"/>
          <w:highlight w:val="none"/>
        </w:rPr>
        <w:t>当评标委员会为五人时，在所有评委对同一份投标文件技术标评审的总评分中，去掉一个最高分和一个最低分，计算剩余总评分的算术平均值即为该投标人技术部分的</w:t>
      </w:r>
      <w:r>
        <w:rPr>
          <w:rFonts w:hint="eastAsia" w:ascii="宋体" w:hAnsi="宋体" w:eastAsia="宋体" w:cs="宋体"/>
          <w:color w:val="auto"/>
          <w:sz w:val="21"/>
          <w:szCs w:val="21"/>
          <w:highlight w:val="none"/>
          <w:lang w:val="en-US" w:eastAsia="zh-CN"/>
        </w:rPr>
        <w:t>最终综合得分</w:t>
      </w:r>
      <w:r>
        <w:rPr>
          <w:rFonts w:hint="eastAsia" w:ascii="宋体" w:hAnsi="宋体" w:eastAsia="宋体" w:cs="宋体"/>
          <w:color w:val="auto"/>
          <w:sz w:val="21"/>
          <w:szCs w:val="21"/>
          <w:highlight w:val="none"/>
        </w:rPr>
        <w:t>；当评标委员会为七人及以上单数时，在各评委的打分中，同一评委的最高评分减去最低评分，去掉分差最大评委的所有打分（出现分差相同时，按最高评分减去次最低评分进行比较，如此类推），在所有剩余评委对同一份投标文件技术部分评审的总评分中，去掉一个最高分和一个最低分，计算剩余总评分的算术平均值即为该投标人技术部分的最终综合得分；若评标委员会成员对某一项按“优、良、中、差”</w:t>
      </w:r>
      <w:r>
        <w:rPr>
          <w:rFonts w:hint="eastAsia" w:ascii="宋体" w:hAnsi="宋体" w:eastAsia="宋体" w:cs="宋体"/>
          <w:color w:val="auto"/>
          <w:sz w:val="21"/>
          <w:szCs w:val="21"/>
          <w:highlight w:val="none"/>
          <w:lang w:val="en-US" w:eastAsia="zh-CN"/>
        </w:rPr>
        <w:t>区间</w:t>
      </w:r>
      <w:r>
        <w:rPr>
          <w:rFonts w:hint="eastAsia" w:ascii="宋体" w:hAnsi="宋体" w:eastAsia="宋体" w:cs="宋体"/>
          <w:color w:val="auto"/>
          <w:sz w:val="21"/>
          <w:szCs w:val="21"/>
          <w:highlight w:val="none"/>
        </w:rPr>
        <w:t>评审</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评分因素的评分低于权重分值60%的，应</w:t>
      </w:r>
      <w:r>
        <w:rPr>
          <w:rFonts w:hint="eastAsia" w:ascii="宋体" w:hAnsi="宋体" w:eastAsia="宋体" w:cs="宋体"/>
          <w:color w:val="000000"/>
          <w:sz w:val="21"/>
          <w:szCs w:val="21"/>
          <w:highlight w:val="none"/>
        </w:rPr>
        <w:t>在评标报告中作出说明。</w:t>
      </w:r>
    </w:p>
    <w:p w14:paraId="464BFC6E">
      <w:pPr>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最后评标委员会对报价进行评审，按评标标准计算得出该投标人的报价评分。</w:t>
      </w:r>
    </w:p>
    <w:p w14:paraId="38918850">
      <w:pPr>
        <w:tabs>
          <w:tab w:val="left" w:pos="600"/>
        </w:tabs>
        <w:autoSpaceDE w:val="0"/>
        <w:autoSpaceDN w:val="0"/>
        <w:adjustRightInd w:val="0"/>
        <w:spacing w:line="360" w:lineRule="auto"/>
        <w:rPr>
          <w:rFonts w:hint="eastAsia" w:ascii="宋体" w:hAnsi="宋体" w:eastAsia="宋体" w:cs="宋体"/>
          <w:szCs w:val="24"/>
          <w:highlight w:val="none"/>
          <w:lang w:val="zh-CN"/>
        </w:rPr>
      </w:pPr>
      <w:r>
        <w:rPr>
          <w:rFonts w:hint="eastAsia" w:ascii="宋体" w:hAnsi="宋体" w:eastAsia="宋体" w:cs="宋体"/>
          <w:szCs w:val="24"/>
          <w:highlight w:val="none"/>
          <w:lang w:val="zh-CN"/>
        </w:rPr>
        <w:t>11.4 评标委员会打分采取记名形式。</w:t>
      </w:r>
    </w:p>
    <w:p w14:paraId="2437294A">
      <w:pPr>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szCs w:val="24"/>
          <w:highlight w:val="none"/>
          <w:lang w:val="zh-CN"/>
        </w:rPr>
        <w:t>11.5 各评委根据秘书组提供的打分表严格按照评标大纲内的评分标准独立自主打分，任何人不得要求评委统一打分或统一确定等次顺序。</w:t>
      </w:r>
    </w:p>
    <w:p w14:paraId="63BE40F0">
      <w:pPr>
        <w:autoSpaceDE w:val="0"/>
        <w:autoSpaceDN w:val="0"/>
        <w:adjustRightInd w:val="0"/>
        <w:spacing w:line="360" w:lineRule="auto"/>
        <w:ind w:left="426" w:hanging="426"/>
        <w:rPr>
          <w:rFonts w:hint="eastAsia" w:ascii="宋体" w:hAnsi="宋体" w:eastAsia="宋体" w:cs="宋体"/>
          <w:szCs w:val="24"/>
          <w:highlight w:val="none"/>
          <w:lang w:val="zh-CN"/>
        </w:rPr>
      </w:pPr>
      <w:r>
        <w:rPr>
          <w:rFonts w:hint="eastAsia" w:ascii="宋体" w:hAnsi="宋体" w:eastAsia="宋体" w:cs="宋体"/>
          <w:szCs w:val="24"/>
          <w:highlight w:val="none"/>
          <w:lang w:val="zh-CN"/>
        </w:rPr>
        <w:t>11.6 对打分表中的每项条款，各评委应根据投标文件、澄清材料、招标文件要求，按满足的程度给投标人打分。</w:t>
      </w:r>
    </w:p>
    <w:p w14:paraId="13732DD2">
      <w:pPr>
        <w:tabs>
          <w:tab w:val="left" w:pos="600"/>
        </w:tabs>
        <w:autoSpaceDE w:val="0"/>
        <w:autoSpaceDN w:val="0"/>
        <w:adjustRightInd w:val="0"/>
        <w:spacing w:line="360" w:lineRule="auto"/>
        <w:rPr>
          <w:rFonts w:hint="eastAsia" w:ascii="宋体" w:hAnsi="宋体" w:eastAsia="宋体" w:cs="宋体"/>
          <w:szCs w:val="24"/>
          <w:highlight w:val="none"/>
          <w:lang w:val="zh-CN"/>
        </w:rPr>
      </w:pPr>
      <w:r>
        <w:rPr>
          <w:rFonts w:hint="eastAsia" w:ascii="宋体" w:hAnsi="宋体" w:eastAsia="宋体" w:cs="宋体"/>
          <w:szCs w:val="24"/>
          <w:highlight w:val="none"/>
          <w:lang w:val="zh-CN"/>
        </w:rPr>
        <w:t>11.7 评分程序</w:t>
      </w:r>
    </w:p>
    <w:p w14:paraId="4A9DCC30">
      <w:pPr>
        <w:tabs>
          <w:tab w:val="left" w:pos="1134"/>
        </w:tabs>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szCs w:val="24"/>
          <w:highlight w:val="none"/>
          <w:lang w:val="zh-CN"/>
        </w:rPr>
        <w:t>（1）就投标人的投标文件对照整理出商务、技术评标因素对比表、偏差表，并在经过校核的基础上逐项打分。</w:t>
      </w:r>
    </w:p>
    <w:p w14:paraId="61AC7569">
      <w:pPr>
        <w:tabs>
          <w:tab w:val="left" w:pos="1134"/>
        </w:tabs>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szCs w:val="24"/>
          <w:highlight w:val="none"/>
          <w:lang w:val="zh-CN"/>
        </w:rPr>
        <w:t>（2）各评委独立完成打分后，将统计好的评分表交给招标代理机构秘书组复核。</w:t>
      </w:r>
    </w:p>
    <w:p w14:paraId="4D9A6CD8">
      <w:pPr>
        <w:tabs>
          <w:tab w:val="left" w:pos="1134"/>
        </w:tabs>
        <w:autoSpaceDE w:val="0"/>
        <w:autoSpaceDN w:val="0"/>
        <w:adjustRightInd w:val="0"/>
        <w:spacing w:line="360" w:lineRule="auto"/>
        <w:ind w:left="565" w:leftChars="-1" w:hanging="567" w:hangingChars="270"/>
        <w:rPr>
          <w:rFonts w:hint="eastAsia" w:ascii="宋体" w:hAnsi="宋体" w:eastAsia="宋体" w:cs="宋体"/>
          <w:szCs w:val="24"/>
          <w:highlight w:val="none"/>
          <w:lang w:val="zh-CN"/>
        </w:rPr>
      </w:pPr>
      <w:r>
        <w:rPr>
          <w:rFonts w:hint="eastAsia" w:ascii="宋体" w:hAnsi="宋体" w:eastAsia="宋体" w:cs="宋体"/>
          <w:szCs w:val="24"/>
          <w:highlight w:val="none"/>
          <w:lang w:val="zh-CN"/>
        </w:rPr>
        <w:t>（3）评分统计表中各投标人技术得分应为最终综合得分，商务和价格得分应为评委打分的算术平均值。</w:t>
      </w:r>
    </w:p>
    <w:p w14:paraId="22608CFC">
      <w:pPr>
        <w:autoSpaceDE w:val="0"/>
        <w:autoSpaceDN w:val="0"/>
        <w:adjustRightInd w:val="0"/>
        <w:spacing w:line="360" w:lineRule="auto"/>
        <w:rPr>
          <w:rFonts w:hint="eastAsia" w:ascii="宋体" w:hAnsi="宋体" w:eastAsia="宋体" w:cs="宋体"/>
          <w:szCs w:val="24"/>
          <w:highlight w:val="none"/>
          <w:lang w:val="zh-CN"/>
        </w:rPr>
      </w:pPr>
    </w:p>
    <w:p w14:paraId="7DE6A250">
      <w:pPr>
        <w:tabs>
          <w:tab w:val="left" w:pos="1701"/>
        </w:tabs>
        <w:autoSpaceDE w:val="0"/>
        <w:autoSpaceDN w:val="0"/>
        <w:adjustRightInd w:val="0"/>
        <w:spacing w:line="360" w:lineRule="auto"/>
        <w:rPr>
          <w:rFonts w:hint="eastAsia" w:ascii="宋体" w:hAnsi="宋体" w:eastAsia="宋体" w:cs="宋体"/>
          <w:b/>
          <w:szCs w:val="24"/>
          <w:highlight w:val="none"/>
          <w:lang w:val="zh-CN"/>
        </w:rPr>
      </w:pPr>
      <w:r>
        <w:rPr>
          <w:rFonts w:hint="eastAsia" w:ascii="宋体" w:hAnsi="宋体" w:eastAsia="宋体" w:cs="宋体"/>
          <w:b/>
          <w:szCs w:val="24"/>
          <w:highlight w:val="none"/>
          <w:lang w:val="zh-CN"/>
        </w:rPr>
        <w:t>12、评分因素及分值</w:t>
      </w:r>
    </w:p>
    <w:tbl>
      <w:tblPr>
        <w:tblStyle w:val="3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850"/>
        <w:gridCol w:w="4826"/>
      </w:tblGrid>
      <w:tr w14:paraId="7002C2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06" w:type="pct"/>
            <w:tcBorders>
              <w:top w:val="single" w:color="auto" w:sz="4" w:space="0"/>
              <w:left w:val="single" w:color="auto" w:sz="4" w:space="0"/>
              <w:bottom w:val="single" w:color="auto" w:sz="4" w:space="0"/>
              <w:right w:val="single" w:color="auto" w:sz="4" w:space="0"/>
            </w:tcBorders>
            <w:vAlign w:val="center"/>
          </w:tcPr>
          <w:p w14:paraId="44D40A1F">
            <w:pPr>
              <w:spacing w:line="400" w:lineRule="exact"/>
              <w:jc w:val="center"/>
              <w:rPr>
                <w:rFonts w:hint="eastAsia" w:ascii="宋体" w:hAnsi="宋体" w:eastAsia="宋体" w:cs="宋体"/>
                <w:b/>
                <w:kern w:val="0"/>
                <w:sz w:val="22"/>
                <w:highlight w:val="none"/>
                <w:lang w:val="zh-CN"/>
              </w:rPr>
            </w:pPr>
            <w:r>
              <w:rPr>
                <w:rFonts w:hint="eastAsia" w:ascii="宋体" w:hAnsi="宋体" w:eastAsia="宋体" w:cs="宋体"/>
                <w:b/>
                <w:kern w:val="0"/>
                <w:sz w:val="22"/>
                <w:highlight w:val="none"/>
                <w:lang w:val="zh-CN"/>
              </w:rPr>
              <w:t>评分因素</w:t>
            </w:r>
          </w:p>
        </w:tc>
        <w:tc>
          <w:tcPr>
            <w:tcW w:w="2494" w:type="pct"/>
            <w:tcBorders>
              <w:top w:val="single" w:color="auto" w:sz="4" w:space="0"/>
              <w:left w:val="single" w:color="auto" w:sz="4" w:space="0"/>
              <w:bottom w:val="single" w:color="auto" w:sz="4" w:space="0"/>
              <w:right w:val="single" w:color="auto" w:sz="4" w:space="0"/>
            </w:tcBorders>
            <w:vAlign w:val="center"/>
          </w:tcPr>
          <w:p w14:paraId="3844419C">
            <w:pPr>
              <w:spacing w:line="400" w:lineRule="exact"/>
              <w:jc w:val="center"/>
              <w:rPr>
                <w:rFonts w:hint="eastAsia" w:ascii="宋体" w:hAnsi="宋体" w:eastAsia="宋体" w:cs="宋体"/>
                <w:b/>
                <w:kern w:val="0"/>
                <w:sz w:val="22"/>
                <w:highlight w:val="none"/>
                <w:lang w:val="zh-CN"/>
              </w:rPr>
            </w:pPr>
            <w:r>
              <w:rPr>
                <w:rFonts w:hint="eastAsia" w:ascii="宋体" w:hAnsi="宋体" w:eastAsia="宋体" w:cs="宋体"/>
                <w:b/>
                <w:kern w:val="0"/>
                <w:sz w:val="22"/>
                <w:highlight w:val="none"/>
                <w:lang w:val="zh-CN"/>
              </w:rPr>
              <w:t>分值</w:t>
            </w:r>
          </w:p>
        </w:tc>
      </w:tr>
      <w:tr w14:paraId="69D5BC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06" w:type="pct"/>
            <w:tcBorders>
              <w:top w:val="single" w:color="auto" w:sz="4" w:space="0"/>
              <w:left w:val="single" w:color="auto" w:sz="4" w:space="0"/>
              <w:bottom w:val="single" w:color="auto" w:sz="4" w:space="0"/>
              <w:right w:val="single" w:color="auto" w:sz="4" w:space="0"/>
            </w:tcBorders>
            <w:vAlign w:val="center"/>
          </w:tcPr>
          <w:p w14:paraId="54BCCC5D">
            <w:pPr>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Cs/>
                <w:kern w:val="0"/>
                <w:sz w:val="22"/>
                <w:highlight w:val="none"/>
                <w:lang w:val="zh-CN"/>
              </w:rPr>
              <w:t>1、商务</w:t>
            </w:r>
          </w:p>
        </w:tc>
        <w:tc>
          <w:tcPr>
            <w:tcW w:w="4826" w:type="dxa"/>
            <w:tcBorders>
              <w:top w:val="single" w:color="auto" w:sz="4" w:space="0"/>
              <w:left w:val="single" w:color="auto" w:sz="4" w:space="0"/>
              <w:bottom w:val="single" w:color="auto" w:sz="4" w:space="0"/>
              <w:right w:val="single" w:color="auto" w:sz="4" w:space="0"/>
            </w:tcBorders>
            <w:vAlign w:val="center"/>
          </w:tcPr>
          <w:p w14:paraId="70E8228A">
            <w:pPr>
              <w:autoSpaceDE w:val="0"/>
              <w:autoSpaceDN w:val="0"/>
              <w:adjustRightInd w:val="0"/>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
                <w:szCs w:val="21"/>
                <w:highlight w:val="none"/>
                <w:lang w:val="en-US" w:eastAsia="zh-CN"/>
              </w:rPr>
              <w:t>50</w:t>
            </w:r>
            <w:r>
              <w:rPr>
                <w:rFonts w:hint="eastAsia" w:ascii="宋体" w:hAnsi="宋体" w:eastAsia="宋体" w:cs="宋体"/>
                <w:b/>
                <w:szCs w:val="21"/>
                <w:highlight w:val="none"/>
                <w:lang w:val="zh-CN"/>
              </w:rPr>
              <w:t>分</w:t>
            </w:r>
          </w:p>
        </w:tc>
      </w:tr>
      <w:tr w14:paraId="778E1E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06" w:type="pct"/>
            <w:tcBorders>
              <w:top w:val="single" w:color="auto" w:sz="4" w:space="0"/>
              <w:left w:val="single" w:color="auto" w:sz="4" w:space="0"/>
              <w:bottom w:val="single" w:color="auto" w:sz="4" w:space="0"/>
              <w:right w:val="single" w:color="auto" w:sz="4" w:space="0"/>
            </w:tcBorders>
            <w:vAlign w:val="center"/>
          </w:tcPr>
          <w:p w14:paraId="7907F511">
            <w:pPr>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Cs/>
                <w:kern w:val="0"/>
                <w:sz w:val="22"/>
                <w:highlight w:val="none"/>
                <w:lang w:val="zh-CN"/>
              </w:rPr>
              <w:t>2、技术</w:t>
            </w:r>
          </w:p>
        </w:tc>
        <w:tc>
          <w:tcPr>
            <w:tcW w:w="4826" w:type="dxa"/>
            <w:tcBorders>
              <w:top w:val="single" w:color="auto" w:sz="4" w:space="0"/>
              <w:left w:val="single" w:color="auto" w:sz="4" w:space="0"/>
              <w:bottom w:val="single" w:color="auto" w:sz="4" w:space="0"/>
              <w:right w:val="single" w:color="auto" w:sz="4" w:space="0"/>
            </w:tcBorders>
            <w:vAlign w:val="center"/>
          </w:tcPr>
          <w:p w14:paraId="404F49A7">
            <w:pPr>
              <w:autoSpaceDE w:val="0"/>
              <w:autoSpaceDN w:val="0"/>
              <w:adjustRightInd w:val="0"/>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
                <w:szCs w:val="21"/>
                <w:highlight w:val="none"/>
                <w:lang w:val="en-US" w:eastAsia="zh-CN"/>
              </w:rPr>
              <w:t>30</w:t>
            </w:r>
            <w:r>
              <w:rPr>
                <w:rFonts w:hint="eastAsia" w:ascii="宋体" w:hAnsi="宋体" w:eastAsia="宋体" w:cs="宋体"/>
                <w:b/>
                <w:szCs w:val="21"/>
                <w:highlight w:val="none"/>
                <w:lang w:val="zh-CN"/>
              </w:rPr>
              <w:t>分</w:t>
            </w:r>
          </w:p>
        </w:tc>
      </w:tr>
      <w:tr w14:paraId="42F7F8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06" w:type="pct"/>
            <w:tcBorders>
              <w:top w:val="single" w:color="auto" w:sz="4" w:space="0"/>
              <w:left w:val="single" w:color="auto" w:sz="4" w:space="0"/>
              <w:bottom w:val="single" w:color="auto" w:sz="4" w:space="0"/>
              <w:right w:val="single" w:color="auto" w:sz="4" w:space="0"/>
            </w:tcBorders>
            <w:vAlign w:val="center"/>
          </w:tcPr>
          <w:p w14:paraId="2A4BC819">
            <w:pPr>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Cs/>
                <w:kern w:val="0"/>
                <w:sz w:val="22"/>
                <w:highlight w:val="none"/>
                <w:lang w:val="zh-CN"/>
              </w:rPr>
              <w:t>3、价格</w:t>
            </w:r>
          </w:p>
        </w:tc>
        <w:tc>
          <w:tcPr>
            <w:tcW w:w="4826" w:type="dxa"/>
            <w:tcBorders>
              <w:top w:val="single" w:color="auto" w:sz="4" w:space="0"/>
              <w:left w:val="single" w:color="auto" w:sz="4" w:space="0"/>
              <w:bottom w:val="single" w:color="auto" w:sz="4" w:space="0"/>
              <w:right w:val="single" w:color="auto" w:sz="4" w:space="0"/>
            </w:tcBorders>
            <w:vAlign w:val="center"/>
          </w:tcPr>
          <w:p w14:paraId="0513CB50">
            <w:pPr>
              <w:autoSpaceDE w:val="0"/>
              <w:autoSpaceDN w:val="0"/>
              <w:adjustRightInd w:val="0"/>
              <w:spacing w:line="400" w:lineRule="exact"/>
              <w:jc w:val="center"/>
              <w:rPr>
                <w:rFonts w:hint="eastAsia" w:ascii="宋体" w:hAnsi="宋体" w:eastAsia="宋体" w:cs="宋体"/>
                <w:bCs/>
                <w:kern w:val="0"/>
                <w:sz w:val="22"/>
                <w:highlight w:val="none"/>
                <w:lang w:val="zh-CN"/>
              </w:rPr>
            </w:pPr>
            <w:r>
              <w:rPr>
                <w:rFonts w:hint="eastAsia" w:ascii="宋体" w:hAnsi="宋体" w:eastAsia="宋体" w:cs="宋体"/>
                <w:b/>
                <w:szCs w:val="21"/>
                <w:highlight w:val="none"/>
                <w:lang w:val="en-US" w:eastAsia="zh-CN"/>
              </w:rPr>
              <w:t>20</w:t>
            </w:r>
            <w:r>
              <w:rPr>
                <w:rFonts w:hint="eastAsia" w:ascii="宋体" w:hAnsi="宋体" w:eastAsia="宋体" w:cs="宋体"/>
                <w:b/>
                <w:szCs w:val="21"/>
                <w:highlight w:val="none"/>
                <w:lang w:val="zh-CN"/>
              </w:rPr>
              <w:t>分</w:t>
            </w:r>
          </w:p>
        </w:tc>
      </w:tr>
    </w:tbl>
    <w:p w14:paraId="3438B366">
      <w:pPr>
        <w:tabs>
          <w:tab w:val="left" w:pos="585"/>
        </w:tabs>
        <w:autoSpaceDE w:val="0"/>
        <w:autoSpaceDN w:val="0"/>
        <w:adjustRightInd w:val="0"/>
        <w:spacing w:line="360" w:lineRule="auto"/>
        <w:rPr>
          <w:rFonts w:hint="eastAsia" w:ascii="宋体" w:hAnsi="宋体" w:eastAsia="宋体" w:cs="宋体"/>
          <w:b/>
          <w:szCs w:val="21"/>
          <w:highlight w:val="none"/>
        </w:rPr>
      </w:pPr>
      <w:bookmarkStart w:id="737" w:name="_Toc18349_WPSOffice_Level2"/>
    </w:p>
    <w:bookmarkEnd w:id="737"/>
    <w:p w14:paraId="3DDE9631">
      <w:pPr>
        <w:tabs>
          <w:tab w:val="left" w:pos="585"/>
        </w:tabs>
        <w:autoSpaceDE w:val="0"/>
        <w:autoSpaceDN w:val="0"/>
        <w:adjustRightInd w:val="0"/>
        <w:spacing w:line="360" w:lineRule="auto"/>
        <w:rPr>
          <w:rFonts w:ascii="宋体" w:hAnsi="宋体" w:eastAsia="宋体" w:cs="宋体"/>
          <w:b/>
          <w:szCs w:val="21"/>
          <w:highlight w:val="none"/>
          <w:lang w:val="zh-CN"/>
        </w:rPr>
      </w:pPr>
      <w:r>
        <w:rPr>
          <w:rFonts w:hint="eastAsia" w:ascii="宋体" w:hAnsi="宋体" w:eastAsia="宋体" w:cs="宋体"/>
          <w:b/>
          <w:szCs w:val="21"/>
          <w:highlight w:val="none"/>
        </w:rPr>
        <w:t>（1）</w:t>
      </w:r>
      <w:r>
        <w:rPr>
          <w:rFonts w:hint="eastAsia" w:ascii="宋体" w:hAnsi="宋体" w:eastAsia="宋体" w:cs="宋体"/>
          <w:b/>
          <w:szCs w:val="21"/>
          <w:highlight w:val="none"/>
          <w:lang w:val="zh-CN"/>
        </w:rPr>
        <w:t>商务：总分</w:t>
      </w:r>
      <w:r>
        <w:rPr>
          <w:rFonts w:hint="eastAsia" w:ascii="宋体" w:hAnsi="宋体" w:eastAsia="宋体" w:cs="宋体"/>
          <w:b/>
          <w:szCs w:val="21"/>
          <w:highlight w:val="none"/>
          <w:lang w:val="en-US" w:eastAsia="zh-CN"/>
        </w:rPr>
        <w:t>50</w:t>
      </w:r>
      <w:r>
        <w:rPr>
          <w:rFonts w:hint="eastAsia" w:ascii="宋体" w:hAnsi="宋体" w:eastAsia="宋体" w:cs="宋体"/>
          <w:b/>
          <w:szCs w:val="21"/>
          <w:highlight w:val="none"/>
          <w:lang w:val="zh-CN"/>
        </w:rPr>
        <w:t>分</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1057"/>
        <w:gridCol w:w="7141"/>
        <w:gridCol w:w="851"/>
      </w:tblGrid>
      <w:tr w14:paraId="57E7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bottom"/>
          </w:tcPr>
          <w:p w14:paraId="25EA93B2">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b/>
                <w:kern w:val="0"/>
                <w:szCs w:val="21"/>
                <w:highlight w:val="none"/>
              </w:rPr>
            </w:pPr>
            <w:r>
              <w:rPr>
                <w:rFonts w:hint="eastAsia" w:ascii="宋体" w:hAnsi="宋体" w:eastAsia="宋体" w:cs="宋体"/>
                <w:b/>
                <w:kern w:val="0"/>
                <w:szCs w:val="21"/>
                <w:highlight w:val="none"/>
              </w:rPr>
              <w:t>序号</w:t>
            </w:r>
          </w:p>
        </w:tc>
        <w:tc>
          <w:tcPr>
            <w:tcW w:w="546" w:type="pct"/>
            <w:tcBorders>
              <w:top w:val="single" w:color="auto" w:sz="4" w:space="0"/>
              <w:left w:val="single" w:color="auto" w:sz="4" w:space="0"/>
              <w:bottom w:val="single" w:color="auto" w:sz="4" w:space="0"/>
              <w:right w:val="single" w:color="auto" w:sz="4" w:space="0"/>
            </w:tcBorders>
            <w:vAlign w:val="bottom"/>
          </w:tcPr>
          <w:p w14:paraId="0FFCE4AE">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b/>
                <w:kern w:val="0"/>
                <w:szCs w:val="21"/>
                <w:highlight w:val="none"/>
              </w:rPr>
            </w:pPr>
            <w:r>
              <w:rPr>
                <w:rFonts w:hint="eastAsia" w:ascii="宋体" w:hAnsi="宋体" w:eastAsia="宋体" w:cs="宋体"/>
                <w:b/>
                <w:szCs w:val="21"/>
                <w:highlight w:val="none"/>
                <w:lang w:val="zh-CN"/>
              </w:rPr>
              <w:t>评审内容</w:t>
            </w:r>
          </w:p>
        </w:tc>
        <w:tc>
          <w:tcPr>
            <w:tcW w:w="3690" w:type="pct"/>
            <w:tcBorders>
              <w:top w:val="single" w:color="auto" w:sz="4" w:space="0"/>
              <w:left w:val="single" w:color="auto" w:sz="4" w:space="0"/>
              <w:bottom w:val="single" w:color="auto" w:sz="4" w:space="0"/>
              <w:right w:val="single" w:color="auto" w:sz="4" w:space="0"/>
            </w:tcBorders>
            <w:vAlign w:val="center"/>
          </w:tcPr>
          <w:p w14:paraId="3DF10AF8">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b/>
                <w:kern w:val="0"/>
                <w:szCs w:val="21"/>
                <w:highlight w:val="none"/>
              </w:rPr>
            </w:pPr>
            <w:r>
              <w:rPr>
                <w:rFonts w:hint="eastAsia" w:ascii="宋体" w:hAnsi="宋体" w:eastAsia="宋体" w:cs="宋体"/>
                <w:b/>
                <w:kern w:val="0"/>
                <w:szCs w:val="21"/>
                <w:highlight w:val="none"/>
              </w:rPr>
              <w:t>评审细则</w:t>
            </w:r>
          </w:p>
        </w:tc>
        <w:tc>
          <w:tcPr>
            <w:tcW w:w="437" w:type="pct"/>
            <w:tcBorders>
              <w:top w:val="single" w:color="auto" w:sz="4" w:space="0"/>
              <w:left w:val="single" w:color="auto" w:sz="4" w:space="0"/>
              <w:bottom w:val="single" w:color="auto" w:sz="4" w:space="0"/>
              <w:right w:val="single" w:color="auto" w:sz="4" w:space="0"/>
            </w:tcBorders>
            <w:vAlign w:val="center"/>
          </w:tcPr>
          <w:p w14:paraId="5744D312">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b/>
                <w:kern w:val="0"/>
                <w:szCs w:val="21"/>
                <w:highlight w:val="none"/>
              </w:rPr>
            </w:pPr>
            <w:r>
              <w:rPr>
                <w:rFonts w:hint="eastAsia" w:ascii="宋体" w:hAnsi="宋体" w:eastAsia="宋体" w:cs="宋体"/>
                <w:b/>
                <w:kern w:val="0"/>
                <w:szCs w:val="21"/>
                <w:highlight w:val="none"/>
              </w:rPr>
              <w:t>满分值</w:t>
            </w:r>
          </w:p>
        </w:tc>
      </w:tr>
      <w:tr w14:paraId="0E10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23FE1C36">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1</w:t>
            </w:r>
          </w:p>
        </w:tc>
        <w:tc>
          <w:tcPr>
            <w:tcW w:w="546" w:type="pct"/>
            <w:tcBorders>
              <w:top w:val="single" w:color="auto" w:sz="4" w:space="0"/>
              <w:left w:val="single" w:color="auto" w:sz="4" w:space="0"/>
              <w:bottom w:val="single" w:color="auto" w:sz="4" w:space="0"/>
              <w:right w:val="single" w:color="auto" w:sz="4" w:space="0"/>
            </w:tcBorders>
            <w:vAlign w:val="center"/>
          </w:tcPr>
          <w:p w14:paraId="28A6C141">
            <w:pPr>
              <w:keepNext w:val="0"/>
              <w:keepLines w:val="0"/>
              <w:pageBreakBefore w:val="0"/>
              <w:widowControl w:val="0"/>
              <w:kinsoku/>
              <w:wordWrap/>
              <w:overflowPunct/>
              <w:topLinePunct w:val="0"/>
              <w:autoSpaceDE w:val="0"/>
              <w:autoSpaceDN w:val="0"/>
              <w:bidi w:val="0"/>
              <w:snapToGrid/>
              <w:spacing w:line="360" w:lineRule="auto"/>
              <w:jc w:val="center"/>
              <w:textAlignment w:val="auto"/>
              <w:rPr>
                <w:rFonts w:ascii="宋体" w:hAnsi="宋体" w:eastAsia="宋体" w:cs="Times New Roman"/>
                <w:bCs/>
                <w:kern w:val="0"/>
                <w:sz w:val="24"/>
                <w:szCs w:val="21"/>
                <w:highlight w:val="none"/>
              </w:rPr>
            </w:pPr>
            <w:r>
              <w:rPr>
                <w:rStyle w:val="204"/>
                <w:rFonts w:hint="eastAsia" w:ascii="宋体" w:hAnsi="宋体" w:eastAsia="宋体" w:cs="宋体"/>
                <w:sz w:val="21"/>
              </w:rPr>
              <w:t>证监会分类评级</w:t>
            </w:r>
          </w:p>
        </w:tc>
        <w:tc>
          <w:tcPr>
            <w:tcW w:w="3690" w:type="pct"/>
            <w:tcBorders>
              <w:top w:val="single" w:color="auto" w:sz="4" w:space="0"/>
              <w:left w:val="single" w:color="auto" w:sz="4" w:space="0"/>
              <w:bottom w:val="single" w:color="auto" w:sz="4" w:space="0"/>
              <w:right w:val="single" w:color="auto" w:sz="4" w:space="0"/>
            </w:tcBorders>
            <w:vAlign w:val="center"/>
          </w:tcPr>
          <w:p w14:paraId="6CD843EF">
            <w:pPr>
              <w:keepNext w:val="0"/>
              <w:keepLines w:val="0"/>
              <w:pageBreakBefore w:val="0"/>
              <w:widowControl w:val="0"/>
              <w:kinsoku/>
              <w:wordWrap/>
              <w:overflowPunct/>
              <w:topLinePunct w:val="0"/>
              <w:autoSpaceDE w:val="0"/>
              <w:autoSpaceDN w:val="0"/>
              <w:bidi w:val="0"/>
              <w:snapToGrid/>
              <w:spacing w:line="360" w:lineRule="auto"/>
              <w:jc w:val="left"/>
              <w:textAlignment w:val="auto"/>
              <w:rPr>
                <w:rFonts w:ascii="宋体" w:hAnsi="宋体" w:eastAsia="宋体" w:cs="Times New Roman"/>
                <w:b/>
                <w:kern w:val="0"/>
                <w:szCs w:val="21"/>
                <w:highlight w:val="none"/>
                <w:lang w:val="zh-CN"/>
              </w:rPr>
            </w:pPr>
            <w:r>
              <w:rPr>
                <w:rStyle w:val="204"/>
                <w:rFonts w:hint="eastAsia" w:ascii="宋体" w:hAnsi="宋体" w:eastAsia="宋体" w:cs="宋体"/>
                <w:sz w:val="21"/>
              </w:rPr>
              <w:t>根据证监会</w:t>
            </w:r>
            <w:r>
              <w:rPr>
                <w:rStyle w:val="204"/>
                <w:rFonts w:hint="eastAsia" w:ascii="宋体" w:hAnsi="宋体" w:eastAsia="宋体" w:cs="宋体"/>
                <w:sz w:val="21"/>
                <w:lang w:val="en-US" w:eastAsia="zh-CN"/>
              </w:rPr>
              <w:t>2022</w:t>
            </w:r>
            <w:r>
              <w:rPr>
                <w:rStyle w:val="204"/>
                <w:rFonts w:hint="eastAsia" w:ascii="宋体" w:hAnsi="宋体" w:eastAsia="宋体" w:cs="宋体"/>
                <w:sz w:val="21"/>
              </w:rPr>
              <w:t>-202</w:t>
            </w:r>
            <w:r>
              <w:rPr>
                <w:rStyle w:val="204"/>
                <w:rFonts w:hint="eastAsia" w:ascii="宋体" w:hAnsi="宋体" w:eastAsia="宋体" w:cs="宋体"/>
                <w:sz w:val="21"/>
                <w:lang w:val="en-US" w:eastAsia="zh-CN"/>
              </w:rPr>
              <w:t>4</w:t>
            </w:r>
            <w:r>
              <w:rPr>
                <w:rStyle w:val="204"/>
                <w:rFonts w:hint="eastAsia" w:ascii="宋体" w:hAnsi="宋体" w:eastAsia="宋体" w:cs="宋体"/>
                <w:sz w:val="21"/>
              </w:rPr>
              <w:t>年证券公司分类结果</w:t>
            </w:r>
            <w:r>
              <w:rPr>
                <w:rStyle w:val="204"/>
                <w:rFonts w:hint="eastAsia" w:ascii="宋体" w:hAnsi="宋体" w:eastAsia="宋体" w:cs="宋体"/>
                <w:sz w:val="21"/>
                <w:lang w:val="en-US" w:eastAsia="zh-CN"/>
              </w:rPr>
              <w:t>进行评审</w:t>
            </w:r>
            <w:r>
              <w:rPr>
                <w:rStyle w:val="204"/>
                <w:rFonts w:hint="eastAsia" w:ascii="宋体" w:hAnsi="宋体" w:eastAsia="宋体" w:cs="宋体"/>
                <w:sz w:val="21"/>
              </w:rPr>
              <w:t>，投标人连续3年为A类AA级的，得</w:t>
            </w:r>
            <w:r>
              <w:rPr>
                <w:rStyle w:val="204"/>
                <w:rFonts w:hint="eastAsia" w:ascii="宋体" w:hAnsi="宋体" w:eastAsia="宋体" w:cs="宋体"/>
                <w:sz w:val="21"/>
                <w:lang w:val="en-US" w:eastAsia="zh-CN"/>
              </w:rPr>
              <w:t>10</w:t>
            </w:r>
            <w:r>
              <w:rPr>
                <w:rStyle w:val="204"/>
                <w:rFonts w:hint="eastAsia" w:ascii="宋体" w:hAnsi="宋体" w:eastAsia="宋体" w:cs="宋体"/>
                <w:sz w:val="21"/>
              </w:rPr>
              <w:t>分；其中2年为A类AA级的得</w:t>
            </w:r>
            <w:r>
              <w:rPr>
                <w:rStyle w:val="204"/>
                <w:rFonts w:hint="eastAsia" w:ascii="宋体" w:hAnsi="宋体" w:eastAsia="宋体" w:cs="宋体"/>
                <w:sz w:val="21"/>
                <w:lang w:val="en-US" w:eastAsia="zh-CN"/>
              </w:rPr>
              <w:t>6</w:t>
            </w:r>
            <w:r>
              <w:rPr>
                <w:rStyle w:val="204"/>
                <w:rFonts w:hint="eastAsia" w:ascii="宋体" w:hAnsi="宋体" w:eastAsia="宋体" w:cs="宋体"/>
                <w:sz w:val="21"/>
              </w:rPr>
              <w:t>分；其中1年为A类AA级的得</w:t>
            </w:r>
            <w:r>
              <w:rPr>
                <w:rStyle w:val="204"/>
                <w:rFonts w:hint="eastAsia" w:ascii="宋体" w:hAnsi="宋体" w:eastAsia="宋体" w:cs="宋体"/>
                <w:sz w:val="21"/>
                <w:lang w:val="en-US" w:eastAsia="zh-CN"/>
              </w:rPr>
              <w:t>2</w:t>
            </w:r>
            <w:r>
              <w:rPr>
                <w:rStyle w:val="204"/>
                <w:rFonts w:hint="eastAsia" w:ascii="宋体" w:hAnsi="宋体" w:eastAsia="宋体" w:cs="宋体"/>
                <w:sz w:val="21"/>
              </w:rPr>
              <w:t>分；其余情况得0分。</w:t>
            </w:r>
          </w:p>
        </w:tc>
        <w:tc>
          <w:tcPr>
            <w:tcW w:w="437" w:type="pct"/>
            <w:tcBorders>
              <w:top w:val="single" w:color="auto" w:sz="4" w:space="0"/>
              <w:left w:val="single" w:color="auto" w:sz="4" w:space="0"/>
              <w:bottom w:val="single" w:color="auto" w:sz="4" w:space="0"/>
              <w:right w:val="single" w:color="auto" w:sz="4" w:space="0"/>
            </w:tcBorders>
            <w:vAlign w:val="center"/>
          </w:tcPr>
          <w:p w14:paraId="305733C1">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10分</w:t>
            </w:r>
          </w:p>
        </w:tc>
      </w:tr>
      <w:tr w14:paraId="0C49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31AA5674">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宋体" w:hAnsi="宋体" w:eastAsia="宋体" w:cs="宋体"/>
                <w:kern w:val="0"/>
                <w:szCs w:val="21"/>
                <w:highlight w:val="none"/>
              </w:rPr>
            </w:pPr>
            <w:r>
              <w:rPr>
                <w:rFonts w:hint="eastAsia" w:ascii="宋体" w:hAnsi="宋体" w:eastAsia="宋体" w:cs="宋体"/>
                <w:kern w:val="0"/>
                <w:szCs w:val="21"/>
                <w:highlight w:val="none"/>
                <w:lang w:val="en-US" w:eastAsia="zh-CN"/>
              </w:rPr>
              <w:t>2</w:t>
            </w:r>
          </w:p>
        </w:tc>
        <w:tc>
          <w:tcPr>
            <w:tcW w:w="546" w:type="pct"/>
            <w:tcBorders>
              <w:top w:val="single" w:color="auto" w:sz="4" w:space="0"/>
              <w:left w:val="single" w:color="auto" w:sz="4" w:space="0"/>
              <w:bottom w:val="single" w:color="auto" w:sz="4" w:space="0"/>
              <w:right w:val="single" w:color="auto" w:sz="4" w:space="0"/>
            </w:tcBorders>
            <w:vAlign w:val="center"/>
          </w:tcPr>
          <w:p w14:paraId="0CC45D45">
            <w:pPr>
              <w:keepNext w:val="0"/>
              <w:keepLines w:val="0"/>
              <w:pageBreakBefore w:val="0"/>
              <w:widowControl w:val="0"/>
              <w:kinsoku/>
              <w:wordWrap/>
              <w:overflowPunct/>
              <w:topLinePunct w:val="0"/>
              <w:autoSpaceDE w:val="0"/>
              <w:autoSpaceDN w:val="0"/>
              <w:bidi w:val="0"/>
              <w:snapToGrid/>
              <w:spacing w:line="360" w:lineRule="auto"/>
              <w:jc w:val="center"/>
              <w:textAlignment w:val="auto"/>
              <w:rPr>
                <w:rFonts w:ascii="宋体" w:hAnsi="宋体" w:eastAsia="宋体" w:cs="宋体"/>
                <w:kern w:val="0"/>
                <w:szCs w:val="21"/>
                <w:highlight w:val="none"/>
                <w:lang w:val="zh-CN"/>
              </w:rPr>
            </w:pPr>
            <w:r>
              <w:rPr>
                <w:rStyle w:val="204"/>
                <w:rFonts w:hint="eastAsia" w:ascii="宋体" w:hAnsi="宋体" w:eastAsia="宋体" w:cs="宋体"/>
                <w:sz w:val="21"/>
              </w:rPr>
              <w:t>承销金额规模</w:t>
            </w:r>
          </w:p>
        </w:tc>
        <w:tc>
          <w:tcPr>
            <w:tcW w:w="3690" w:type="pct"/>
            <w:tcBorders>
              <w:top w:val="single" w:color="auto" w:sz="4" w:space="0"/>
              <w:left w:val="single" w:color="auto" w:sz="4" w:space="0"/>
              <w:bottom w:val="single" w:color="auto" w:sz="4" w:space="0"/>
              <w:right w:val="single" w:color="auto" w:sz="4" w:space="0"/>
            </w:tcBorders>
            <w:vAlign w:val="center"/>
          </w:tcPr>
          <w:p w14:paraId="40C74C5C">
            <w:pPr>
              <w:keepNext w:val="0"/>
              <w:keepLines w:val="0"/>
              <w:pageBreakBefore w:val="0"/>
              <w:widowControl w:val="0"/>
              <w:kinsoku/>
              <w:wordWrap/>
              <w:overflowPunct/>
              <w:topLinePunct w:val="0"/>
              <w:bidi w:val="0"/>
              <w:snapToGrid/>
              <w:spacing w:line="360" w:lineRule="auto"/>
              <w:textAlignment w:val="auto"/>
              <w:rPr>
                <w:rStyle w:val="204"/>
                <w:rFonts w:hint="eastAsia" w:ascii="宋体" w:hAnsi="宋体" w:eastAsia="宋体" w:cs="宋体"/>
                <w:sz w:val="21"/>
              </w:rPr>
            </w:pPr>
            <w:r>
              <w:rPr>
                <w:rStyle w:val="204"/>
                <w:rFonts w:hint="eastAsia" w:ascii="宋体" w:hAnsi="宋体" w:eastAsia="宋体" w:cs="宋体"/>
                <w:sz w:val="21"/>
              </w:rPr>
              <w:t>自</w:t>
            </w:r>
            <w:r>
              <w:rPr>
                <w:rStyle w:val="204"/>
                <w:rFonts w:hint="eastAsia" w:ascii="宋体" w:hAnsi="宋体" w:eastAsia="宋体" w:cs="宋体"/>
                <w:sz w:val="21"/>
                <w:lang w:val="en-US" w:eastAsia="zh-CN"/>
              </w:rPr>
              <w:t>2022</w:t>
            </w:r>
            <w:r>
              <w:rPr>
                <w:rStyle w:val="204"/>
                <w:rFonts w:hint="eastAsia" w:ascii="宋体" w:hAnsi="宋体" w:eastAsia="宋体" w:cs="宋体"/>
                <w:sz w:val="21"/>
              </w:rPr>
              <w:t>年1月1日至</w:t>
            </w:r>
            <w:r>
              <w:rPr>
                <w:rStyle w:val="204"/>
                <w:rFonts w:hint="eastAsia" w:ascii="宋体" w:hAnsi="宋体" w:eastAsia="宋体" w:cs="宋体"/>
                <w:sz w:val="21"/>
                <w:lang w:val="en-US" w:eastAsia="zh-CN"/>
              </w:rPr>
              <w:t>2024年12月31日</w:t>
            </w:r>
            <w:r>
              <w:rPr>
                <w:rStyle w:val="204"/>
                <w:rFonts w:hint="eastAsia" w:ascii="宋体" w:hAnsi="宋体" w:eastAsia="宋体" w:cs="宋体"/>
                <w:sz w:val="21"/>
              </w:rPr>
              <w:t>，全国范围内，投标人担任主承销商发行的AAA企业公司债发行总额。</w:t>
            </w:r>
          </w:p>
          <w:p w14:paraId="028AC5C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宋体" w:hAnsi="宋体" w:eastAsia="宋体" w:cs="Times New Roman"/>
                <w:b/>
                <w:kern w:val="0"/>
                <w:sz w:val="24"/>
                <w:szCs w:val="24"/>
                <w:highlight w:val="none"/>
              </w:rPr>
            </w:pPr>
            <w:r>
              <w:rPr>
                <w:rStyle w:val="204"/>
                <w:rFonts w:hint="eastAsia" w:ascii="宋体" w:hAnsi="宋体" w:eastAsia="宋体" w:cs="宋体"/>
                <w:sz w:val="21"/>
              </w:rPr>
              <w:t>按高到低排名得分，第1-2名15分，第3-4名13分，第5-6名得11分，以此类推，最低得分为0分。</w:t>
            </w:r>
          </w:p>
        </w:tc>
        <w:tc>
          <w:tcPr>
            <w:tcW w:w="437" w:type="pct"/>
            <w:tcBorders>
              <w:top w:val="single" w:color="auto" w:sz="4" w:space="0"/>
              <w:left w:val="single" w:color="auto" w:sz="4" w:space="0"/>
              <w:bottom w:val="single" w:color="auto" w:sz="4" w:space="0"/>
              <w:right w:val="single" w:color="auto" w:sz="4" w:space="0"/>
            </w:tcBorders>
            <w:vAlign w:val="center"/>
          </w:tcPr>
          <w:p w14:paraId="0159BD6B">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15分</w:t>
            </w:r>
          </w:p>
        </w:tc>
      </w:tr>
      <w:tr w14:paraId="3E6AA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2E99FEC0">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3</w:t>
            </w:r>
          </w:p>
        </w:tc>
        <w:tc>
          <w:tcPr>
            <w:tcW w:w="546" w:type="pct"/>
            <w:tcBorders>
              <w:top w:val="single" w:color="auto" w:sz="4" w:space="0"/>
              <w:left w:val="single" w:color="auto" w:sz="4" w:space="0"/>
              <w:bottom w:val="single" w:color="auto" w:sz="4" w:space="0"/>
              <w:right w:val="single" w:color="auto" w:sz="4" w:space="0"/>
            </w:tcBorders>
            <w:vAlign w:val="center"/>
          </w:tcPr>
          <w:p w14:paraId="0A38BD51">
            <w:pPr>
              <w:keepNext w:val="0"/>
              <w:keepLines w:val="0"/>
              <w:pageBreakBefore w:val="0"/>
              <w:widowControl w:val="0"/>
              <w:kinsoku/>
              <w:wordWrap/>
              <w:overflowPunct/>
              <w:topLinePunct w:val="0"/>
              <w:bidi w:val="0"/>
              <w:snapToGrid/>
              <w:spacing w:line="360" w:lineRule="auto"/>
              <w:jc w:val="center"/>
              <w:textAlignment w:val="auto"/>
              <w:rPr>
                <w:rFonts w:ascii="宋体" w:hAnsi="宋体" w:eastAsia="宋体" w:cs="宋体"/>
                <w:kern w:val="0"/>
                <w:szCs w:val="21"/>
                <w:highlight w:val="none"/>
              </w:rPr>
            </w:pPr>
            <w:r>
              <w:rPr>
                <w:rStyle w:val="204"/>
                <w:rFonts w:hint="eastAsia" w:ascii="宋体" w:hAnsi="宋体" w:eastAsia="宋体" w:cs="宋体"/>
                <w:sz w:val="21"/>
              </w:rPr>
              <w:t>承销数量</w:t>
            </w:r>
          </w:p>
        </w:tc>
        <w:tc>
          <w:tcPr>
            <w:tcW w:w="3690" w:type="pct"/>
            <w:tcBorders>
              <w:top w:val="single" w:color="auto" w:sz="4" w:space="0"/>
              <w:left w:val="single" w:color="auto" w:sz="4" w:space="0"/>
              <w:bottom w:val="single" w:color="auto" w:sz="4" w:space="0"/>
              <w:right w:val="single" w:color="auto" w:sz="4" w:space="0"/>
            </w:tcBorders>
            <w:vAlign w:val="center"/>
          </w:tcPr>
          <w:p w14:paraId="13660927">
            <w:pPr>
              <w:keepNext w:val="0"/>
              <w:keepLines w:val="0"/>
              <w:pageBreakBefore w:val="0"/>
              <w:widowControl w:val="0"/>
              <w:kinsoku/>
              <w:wordWrap/>
              <w:overflowPunct/>
              <w:topLinePunct w:val="0"/>
              <w:bidi w:val="0"/>
              <w:snapToGrid/>
              <w:spacing w:line="360" w:lineRule="auto"/>
              <w:textAlignment w:val="auto"/>
              <w:rPr>
                <w:rStyle w:val="204"/>
                <w:rFonts w:hint="eastAsia" w:ascii="宋体" w:hAnsi="宋体" w:eastAsia="宋体" w:cs="宋体"/>
                <w:sz w:val="21"/>
              </w:rPr>
            </w:pPr>
            <w:r>
              <w:rPr>
                <w:rStyle w:val="204"/>
                <w:rFonts w:hint="eastAsia" w:ascii="宋体" w:hAnsi="宋体" w:eastAsia="宋体" w:cs="宋体"/>
                <w:sz w:val="21"/>
              </w:rPr>
              <w:t>自20</w:t>
            </w:r>
            <w:r>
              <w:rPr>
                <w:rStyle w:val="204"/>
                <w:rFonts w:hint="eastAsia" w:ascii="宋体" w:hAnsi="宋体" w:eastAsia="宋体" w:cs="宋体"/>
                <w:sz w:val="21"/>
                <w:lang w:val="en-US" w:eastAsia="zh-CN"/>
              </w:rPr>
              <w:t>22</w:t>
            </w:r>
            <w:r>
              <w:rPr>
                <w:rStyle w:val="204"/>
                <w:rFonts w:hint="eastAsia" w:ascii="宋体" w:hAnsi="宋体" w:eastAsia="宋体" w:cs="宋体"/>
                <w:sz w:val="21"/>
              </w:rPr>
              <w:t>年1月1日至2024年12月31日，全国范围内，投标人担任主承销商发行的AAA企业公司债的数量。</w:t>
            </w:r>
          </w:p>
          <w:p w14:paraId="5B964CCA">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Times New Roman"/>
                <w:b/>
                <w:kern w:val="0"/>
                <w:szCs w:val="21"/>
                <w:highlight w:val="none"/>
              </w:rPr>
            </w:pPr>
            <w:r>
              <w:rPr>
                <w:rStyle w:val="204"/>
                <w:rFonts w:hint="eastAsia" w:ascii="宋体" w:hAnsi="宋体" w:eastAsia="宋体" w:cs="宋体"/>
                <w:sz w:val="21"/>
              </w:rPr>
              <w:t>按高到低排名得分，第1-2名</w:t>
            </w:r>
            <w:r>
              <w:rPr>
                <w:rStyle w:val="204"/>
                <w:rFonts w:hint="eastAsia" w:ascii="宋体" w:hAnsi="宋体" w:eastAsia="宋体" w:cs="宋体"/>
                <w:sz w:val="21"/>
                <w:lang w:val="en-US" w:eastAsia="zh-CN"/>
              </w:rPr>
              <w:t>13</w:t>
            </w:r>
            <w:r>
              <w:rPr>
                <w:rStyle w:val="204"/>
                <w:rFonts w:hint="eastAsia" w:ascii="宋体" w:hAnsi="宋体" w:eastAsia="宋体" w:cs="宋体"/>
                <w:sz w:val="21"/>
              </w:rPr>
              <w:t>分，第3-4名</w:t>
            </w:r>
            <w:r>
              <w:rPr>
                <w:rStyle w:val="204"/>
                <w:rFonts w:hint="eastAsia" w:ascii="宋体" w:hAnsi="宋体" w:eastAsia="宋体" w:cs="宋体"/>
                <w:sz w:val="21"/>
                <w:lang w:val="en-US" w:eastAsia="zh-CN"/>
              </w:rPr>
              <w:t>11</w:t>
            </w:r>
            <w:r>
              <w:rPr>
                <w:rStyle w:val="204"/>
                <w:rFonts w:hint="eastAsia" w:ascii="宋体" w:hAnsi="宋体" w:eastAsia="宋体" w:cs="宋体"/>
                <w:sz w:val="21"/>
              </w:rPr>
              <w:t>分，第5-6名得</w:t>
            </w:r>
            <w:r>
              <w:rPr>
                <w:rStyle w:val="204"/>
                <w:rFonts w:hint="eastAsia" w:ascii="宋体" w:hAnsi="宋体" w:eastAsia="宋体" w:cs="宋体"/>
                <w:sz w:val="21"/>
                <w:lang w:val="en-US" w:eastAsia="zh-CN"/>
              </w:rPr>
              <w:t>9</w:t>
            </w:r>
            <w:r>
              <w:rPr>
                <w:rStyle w:val="204"/>
                <w:rFonts w:hint="eastAsia" w:ascii="宋体" w:hAnsi="宋体" w:eastAsia="宋体" w:cs="宋体"/>
                <w:sz w:val="21"/>
              </w:rPr>
              <w:t>分，以此类推，最低得分为0分。</w:t>
            </w:r>
          </w:p>
        </w:tc>
        <w:tc>
          <w:tcPr>
            <w:tcW w:w="437" w:type="pct"/>
            <w:tcBorders>
              <w:top w:val="single" w:color="auto" w:sz="4" w:space="0"/>
              <w:left w:val="single" w:color="auto" w:sz="4" w:space="0"/>
              <w:bottom w:val="single" w:color="auto" w:sz="4" w:space="0"/>
              <w:right w:val="single" w:color="auto" w:sz="4" w:space="0"/>
            </w:tcBorders>
            <w:vAlign w:val="center"/>
          </w:tcPr>
          <w:p w14:paraId="6A7D44A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宋体" w:eastAsia="宋体" w:cs="宋体"/>
                <w:szCs w:val="24"/>
                <w:highlight w:val="none"/>
                <w:lang w:val="en-US" w:eastAsia="zh-CN"/>
              </w:rPr>
            </w:pPr>
            <w:r>
              <w:rPr>
                <w:rFonts w:hint="eastAsia" w:ascii="宋体" w:hAnsi="宋体" w:eastAsia="宋体" w:cs="宋体"/>
                <w:szCs w:val="24"/>
                <w:highlight w:val="none"/>
                <w:lang w:val="en-US" w:eastAsia="zh-CN"/>
              </w:rPr>
              <w:t>13分</w:t>
            </w:r>
          </w:p>
        </w:tc>
      </w:tr>
      <w:tr w14:paraId="4686E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1570FCAA">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4</w:t>
            </w:r>
          </w:p>
        </w:tc>
        <w:tc>
          <w:tcPr>
            <w:tcW w:w="546" w:type="pct"/>
            <w:tcBorders>
              <w:top w:val="single" w:color="auto" w:sz="4" w:space="0"/>
              <w:left w:val="single" w:color="auto" w:sz="4" w:space="0"/>
              <w:bottom w:val="single" w:color="auto" w:sz="4" w:space="0"/>
              <w:right w:val="single" w:color="auto" w:sz="4" w:space="0"/>
            </w:tcBorders>
            <w:vAlign w:val="center"/>
          </w:tcPr>
          <w:p w14:paraId="225AE272">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债券业务执业质量</w:t>
            </w:r>
          </w:p>
        </w:tc>
        <w:tc>
          <w:tcPr>
            <w:tcW w:w="3690" w:type="pct"/>
            <w:tcBorders>
              <w:top w:val="single" w:color="auto" w:sz="4" w:space="0"/>
              <w:left w:val="single" w:color="auto" w:sz="4" w:space="0"/>
              <w:bottom w:val="single" w:color="auto" w:sz="4" w:space="0"/>
              <w:right w:val="single" w:color="auto" w:sz="4" w:space="0"/>
            </w:tcBorders>
            <w:vAlign w:val="center"/>
          </w:tcPr>
          <w:p w14:paraId="22FF7328">
            <w:pPr>
              <w:keepNext w:val="0"/>
              <w:keepLines w:val="0"/>
              <w:pageBreakBefore w:val="0"/>
              <w:widowControl w:val="0"/>
              <w:tabs>
                <w:tab w:val="left" w:pos="134"/>
              </w:tabs>
              <w:kinsoku/>
              <w:wordWrap/>
              <w:overflowPunct/>
              <w:topLinePunct w:val="0"/>
              <w:autoSpaceDE w:val="0"/>
              <w:autoSpaceDN w:val="0"/>
              <w:bidi w:val="0"/>
              <w:adjustRightInd w:val="0"/>
              <w:snapToGrid/>
              <w:spacing w:line="360" w:lineRule="auto"/>
              <w:textAlignment w:val="auto"/>
              <w:rPr>
                <w:rFonts w:hint="eastAsia" w:ascii="宋体" w:hAnsi="宋体" w:eastAsia="宋体" w:cs="宋体"/>
                <w:lang w:val="en-US" w:eastAsia="zh-CN"/>
              </w:rPr>
            </w:pPr>
            <w:r>
              <w:rPr>
                <w:rFonts w:hint="eastAsia" w:ascii="宋体" w:hAnsi="宋体" w:eastAsia="宋体" w:cs="宋体"/>
                <w:lang w:val="en-US" w:eastAsia="zh-CN"/>
              </w:rPr>
              <w:t>根据中国证券业协会公布的2022年、</w:t>
            </w:r>
            <w:r>
              <w:rPr>
                <w:rFonts w:hint="eastAsia" w:ascii="宋体" w:hAnsi="宋体" w:eastAsia="宋体" w:cs="宋体"/>
              </w:rPr>
              <w:t>2023</w:t>
            </w:r>
            <w:r>
              <w:rPr>
                <w:rFonts w:hint="eastAsia" w:ascii="宋体" w:hAnsi="宋体" w:eastAsia="宋体" w:cs="宋体"/>
                <w:lang w:val="en-US" w:eastAsia="zh-CN"/>
              </w:rPr>
              <w:t>年、</w:t>
            </w:r>
            <w:r>
              <w:rPr>
                <w:rFonts w:hint="eastAsia" w:ascii="宋体" w:hAnsi="宋体" w:eastAsia="宋体" w:cs="宋体"/>
              </w:rPr>
              <w:t>2024年证券公司债券业务执业质量评价结果</w:t>
            </w:r>
            <w:r>
              <w:rPr>
                <w:rFonts w:hint="eastAsia" w:ascii="宋体" w:hAnsi="宋体" w:eastAsia="宋体" w:cs="宋体"/>
                <w:lang w:val="en-US" w:eastAsia="zh-CN"/>
              </w:rPr>
              <w:t>进行评审。</w:t>
            </w:r>
          </w:p>
          <w:p w14:paraId="7E5F3B3C">
            <w:pPr>
              <w:keepNext w:val="0"/>
              <w:keepLines w:val="0"/>
              <w:pageBreakBefore w:val="0"/>
              <w:widowControl w:val="0"/>
              <w:tabs>
                <w:tab w:val="left" w:pos="134"/>
              </w:tabs>
              <w:kinsoku/>
              <w:wordWrap/>
              <w:overflowPunct/>
              <w:topLinePunct w:val="0"/>
              <w:autoSpaceDE w:val="0"/>
              <w:autoSpaceDN w:val="0"/>
              <w:bidi w:val="0"/>
              <w:adjustRightInd w:val="0"/>
              <w:snapToGrid/>
              <w:spacing w:line="360" w:lineRule="auto"/>
              <w:textAlignment w:val="auto"/>
              <w:rPr>
                <w:rFonts w:hint="eastAsia" w:ascii="宋体" w:hAnsi="宋体" w:eastAsia="宋体" w:cs="宋体"/>
                <w:lang w:eastAsia="zh-CN"/>
              </w:rPr>
            </w:pPr>
            <w:r>
              <w:rPr>
                <w:rFonts w:hint="eastAsia" w:ascii="宋体" w:hAnsi="宋体" w:eastAsia="宋体" w:cs="宋体"/>
                <w:lang w:val="en-US" w:eastAsia="zh-CN"/>
              </w:rPr>
              <w:t>1、2022年度评级为A类的得4分，评级为B类的得2分，</w:t>
            </w:r>
            <w:r>
              <w:rPr>
                <w:rFonts w:hint="eastAsia" w:ascii="宋体" w:hAnsi="宋体" w:eastAsia="宋体" w:cs="宋体"/>
              </w:rPr>
              <w:t>评级为C类的得1分；</w:t>
            </w:r>
          </w:p>
          <w:p w14:paraId="69146613">
            <w:pPr>
              <w:keepNext w:val="0"/>
              <w:keepLines w:val="0"/>
              <w:pageBreakBefore w:val="0"/>
              <w:widowControl w:val="0"/>
              <w:tabs>
                <w:tab w:val="left" w:pos="134"/>
              </w:tabs>
              <w:kinsoku/>
              <w:wordWrap/>
              <w:overflowPunct/>
              <w:topLinePunct w:val="0"/>
              <w:autoSpaceDE w:val="0"/>
              <w:autoSpaceDN w:val="0"/>
              <w:bidi w:val="0"/>
              <w:adjustRightInd w:val="0"/>
              <w:snapToGrid/>
              <w:spacing w:line="360" w:lineRule="auto"/>
              <w:textAlignment w:val="auto"/>
              <w:rPr>
                <w:rFonts w:hint="default" w:ascii="宋体" w:hAnsi="宋体" w:eastAsia="宋体" w:cs="宋体"/>
                <w:lang w:val="en-US" w:eastAsia="zh-CN"/>
              </w:rPr>
            </w:pPr>
            <w:r>
              <w:rPr>
                <w:rFonts w:hint="eastAsia" w:ascii="宋体" w:hAnsi="宋体" w:eastAsia="宋体" w:cs="宋体"/>
                <w:lang w:val="en-US" w:eastAsia="zh-CN"/>
              </w:rPr>
              <w:t>2、2023年度评级为A类的得4分，评级为B类的得2分，评级为C类的得1分；</w:t>
            </w:r>
          </w:p>
          <w:p w14:paraId="4AF2EF6B">
            <w:pPr>
              <w:keepNext w:val="0"/>
              <w:keepLines w:val="0"/>
              <w:pageBreakBefore w:val="0"/>
              <w:widowControl w:val="0"/>
              <w:tabs>
                <w:tab w:val="left" w:pos="134"/>
              </w:tabs>
              <w:kinsoku/>
              <w:wordWrap/>
              <w:overflowPunct/>
              <w:topLinePunct w:val="0"/>
              <w:autoSpaceDE w:val="0"/>
              <w:autoSpaceDN w:val="0"/>
              <w:bidi w:val="0"/>
              <w:adjustRightInd w:val="0"/>
              <w:snapToGrid/>
              <w:spacing w:line="360" w:lineRule="auto"/>
              <w:textAlignment w:val="auto"/>
              <w:rPr>
                <w:rFonts w:hint="default" w:ascii="宋体" w:hAnsi="宋体" w:eastAsia="宋体" w:cs="宋体"/>
                <w:lang w:val="en-US" w:eastAsia="zh-CN"/>
              </w:rPr>
            </w:pPr>
            <w:r>
              <w:rPr>
                <w:rFonts w:hint="eastAsia" w:ascii="宋体" w:hAnsi="宋体" w:eastAsia="宋体" w:cs="宋体"/>
                <w:lang w:val="en-US" w:eastAsia="zh-CN"/>
              </w:rPr>
              <w:t>3、2024年度评级为A类的得4分，评级为B类的得2分，评级为C类的得1分。</w:t>
            </w:r>
          </w:p>
          <w:p w14:paraId="5313F9AC">
            <w:pPr>
              <w:keepNext w:val="0"/>
              <w:keepLines w:val="0"/>
              <w:pageBreakBefore w:val="0"/>
              <w:widowControl w:val="0"/>
              <w:tabs>
                <w:tab w:val="left" w:pos="134"/>
              </w:tabs>
              <w:kinsoku/>
              <w:wordWrap/>
              <w:overflowPunct/>
              <w:topLinePunct w:val="0"/>
              <w:bidi w:val="0"/>
              <w:snapToGrid/>
              <w:spacing w:line="360" w:lineRule="auto"/>
              <w:textAlignment w:val="auto"/>
              <w:rPr>
                <w:rFonts w:hint="eastAsia" w:ascii="宋体" w:hAnsi="宋体" w:eastAsia="宋体" w:cs="宋体"/>
              </w:rPr>
            </w:pPr>
            <w:r>
              <w:rPr>
                <w:rFonts w:hint="eastAsia" w:ascii="宋体" w:hAnsi="宋体" w:eastAsia="宋体" w:cs="宋体"/>
                <w:lang w:val="en-US" w:eastAsia="zh-CN"/>
              </w:rPr>
              <w:t>评审总分</w:t>
            </w:r>
            <w:r>
              <w:rPr>
                <w:rFonts w:hint="eastAsia" w:ascii="宋体" w:hAnsi="宋体" w:eastAsia="宋体" w:cs="宋体"/>
              </w:rPr>
              <w:t>=</w:t>
            </w:r>
            <w:r>
              <w:rPr>
                <w:rFonts w:hint="eastAsia" w:ascii="宋体" w:hAnsi="宋体" w:eastAsia="宋体" w:cs="宋体"/>
                <w:lang w:val="en-US" w:eastAsia="zh-CN"/>
              </w:rPr>
              <w:t>2022年得分+</w:t>
            </w:r>
            <w:r>
              <w:rPr>
                <w:rFonts w:hint="eastAsia" w:ascii="宋体" w:hAnsi="宋体" w:eastAsia="宋体" w:cs="宋体"/>
              </w:rPr>
              <w:t>2023年得分+2024年得分</w:t>
            </w:r>
            <w:r>
              <w:rPr>
                <w:rFonts w:hint="eastAsia" w:ascii="宋体" w:hAnsi="宋体" w:eastAsia="宋体" w:cs="宋体"/>
                <w:lang w:eastAsia="zh-CN"/>
              </w:rPr>
              <w:t>。</w:t>
            </w:r>
          </w:p>
        </w:tc>
        <w:tc>
          <w:tcPr>
            <w:tcW w:w="437" w:type="pct"/>
            <w:tcBorders>
              <w:top w:val="single" w:color="auto" w:sz="4" w:space="0"/>
              <w:left w:val="single" w:color="auto" w:sz="4" w:space="0"/>
              <w:bottom w:val="single" w:color="auto" w:sz="4" w:space="0"/>
              <w:right w:val="single" w:color="auto" w:sz="4" w:space="0"/>
            </w:tcBorders>
            <w:vAlign w:val="center"/>
          </w:tcPr>
          <w:p w14:paraId="0142F07E">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szCs w:val="24"/>
                <w:highlight w:val="none"/>
                <w:lang w:val="en-US" w:eastAsia="zh-CN"/>
              </w:rPr>
            </w:pPr>
            <w:r>
              <w:rPr>
                <w:rFonts w:hint="eastAsia" w:ascii="宋体" w:hAnsi="宋体" w:eastAsia="宋体" w:cs="宋体"/>
                <w:szCs w:val="24"/>
                <w:highlight w:val="none"/>
                <w:lang w:val="en-US" w:eastAsia="zh-CN"/>
              </w:rPr>
              <w:t>12分</w:t>
            </w:r>
          </w:p>
        </w:tc>
      </w:tr>
      <w:tr w14:paraId="6ACCC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tcBorders>
              <w:top w:val="single" w:color="auto" w:sz="4" w:space="0"/>
              <w:left w:val="single" w:color="auto" w:sz="4" w:space="0"/>
              <w:bottom w:val="single" w:color="auto" w:sz="4" w:space="0"/>
              <w:right w:val="single" w:color="auto" w:sz="4" w:space="0"/>
            </w:tcBorders>
            <w:vAlign w:val="center"/>
          </w:tcPr>
          <w:p w14:paraId="0E5D6038">
            <w:pPr>
              <w:keepNext w:val="0"/>
              <w:keepLines w:val="0"/>
              <w:pageBreakBefore w:val="0"/>
              <w:widowControl w:val="0"/>
              <w:numPr>
                <w:ilvl w:val="-1"/>
                <w:numId w:val="0"/>
              </w:numPr>
              <w:kinsoku/>
              <w:wordWrap/>
              <w:overflowPunct/>
              <w:topLinePunct w:val="0"/>
              <w:bidi w:val="0"/>
              <w:snapToGrid/>
              <w:spacing w:line="360" w:lineRule="auto"/>
              <w:jc w:val="left"/>
              <w:textAlignment w:val="auto"/>
              <w:rPr>
                <w:rStyle w:val="204"/>
                <w:rFonts w:hint="default" w:ascii="宋体" w:hAnsi="宋体" w:eastAsia="宋体" w:cs="宋体"/>
                <w:sz w:val="21"/>
                <w:lang w:val="en-US" w:eastAsia="zh-CN"/>
              </w:rPr>
            </w:pPr>
            <w:r>
              <w:rPr>
                <w:rStyle w:val="204"/>
                <w:rFonts w:hint="eastAsia" w:ascii="宋体" w:hAnsi="宋体" w:eastAsia="宋体" w:cs="宋体"/>
                <w:sz w:val="21"/>
                <w:lang w:val="en-US" w:eastAsia="zh-CN"/>
              </w:rPr>
              <w:t>备注：</w:t>
            </w:r>
          </w:p>
          <w:p w14:paraId="41E853CD">
            <w:pPr>
              <w:keepNext w:val="0"/>
              <w:keepLines w:val="0"/>
              <w:pageBreakBefore w:val="0"/>
              <w:widowControl w:val="0"/>
              <w:numPr>
                <w:ilvl w:val="-1"/>
                <w:numId w:val="0"/>
              </w:numPr>
              <w:kinsoku/>
              <w:wordWrap/>
              <w:overflowPunct/>
              <w:topLinePunct w:val="0"/>
              <w:bidi w:val="0"/>
              <w:snapToGrid/>
              <w:spacing w:line="360" w:lineRule="auto"/>
              <w:jc w:val="left"/>
              <w:textAlignment w:val="auto"/>
              <w:rPr>
                <w:rStyle w:val="204"/>
                <w:rFonts w:hint="eastAsia" w:ascii="宋体" w:hAnsi="宋体" w:eastAsia="宋体" w:cs="宋体"/>
                <w:sz w:val="21"/>
                <w:lang w:eastAsia="zh-CN"/>
              </w:rPr>
            </w:pPr>
            <w:r>
              <w:rPr>
                <w:rStyle w:val="204"/>
                <w:rFonts w:hint="eastAsia" w:ascii="宋体" w:hAnsi="宋体" w:eastAsia="宋体" w:cs="宋体"/>
                <w:sz w:val="21"/>
                <w:lang w:val="en-US" w:eastAsia="zh-CN"/>
              </w:rPr>
              <w:t>1、</w:t>
            </w:r>
            <w:r>
              <w:rPr>
                <w:rStyle w:val="204"/>
                <w:rFonts w:hint="eastAsia" w:ascii="宋体" w:hAnsi="宋体" w:eastAsia="宋体" w:cs="宋体"/>
                <w:sz w:val="21"/>
              </w:rPr>
              <w:t>上述序号1评分内容自行提供相关证明材料</w:t>
            </w:r>
            <w:r>
              <w:rPr>
                <w:rStyle w:val="204"/>
                <w:rFonts w:hint="eastAsia" w:ascii="宋体" w:hAnsi="宋体" w:eastAsia="宋体" w:cs="宋体"/>
                <w:sz w:val="21"/>
                <w:lang w:eastAsia="zh-CN"/>
              </w:rPr>
              <w:t>；</w:t>
            </w:r>
          </w:p>
          <w:p w14:paraId="60B82C09">
            <w:pPr>
              <w:keepNext w:val="0"/>
              <w:keepLines w:val="0"/>
              <w:pageBreakBefore w:val="0"/>
              <w:widowControl w:val="0"/>
              <w:numPr>
                <w:ilvl w:val="-1"/>
                <w:numId w:val="0"/>
              </w:numPr>
              <w:kinsoku/>
              <w:wordWrap/>
              <w:overflowPunct/>
              <w:topLinePunct w:val="0"/>
              <w:bidi w:val="0"/>
              <w:snapToGrid/>
              <w:spacing w:line="360" w:lineRule="auto"/>
              <w:jc w:val="left"/>
              <w:textAlignment w:val="auto"/>
              <w:rPr>
                <w:rStyle w:val="204"/>
                <w:rFonts w:hint="eastAsia" w:ascii="宋体" w:hAnsi="宋体" w:eastAsia="宋体" w:cs="宋体"/>
                <w:sz w:val="21"/>
              </w:rPr>
            </w:pPr>
            <w:r>
              <w:rPr>
                <w:rStyle w:val="204"/>
                <w:rFonts w:hint="eastAsia" w:ascii="宋体" w:hAnsi="宋体" w:eastAsia="宋体" w:cs="宋体"/>
                <w:sz w:val="21"/>
                <w:lang w:val="en-US" w:eastAsia="zh-CN"/>
              </w:rPr>
              <w:t>2、序号2、3</w:t>
            </w:r>
            <w:r>
              <w:rPr>
                <w:rStyle w:val="204"/>
                <w:rFonts w:hint="eastAsia" w:ascii="宋体" w:hAnsi="宋体" w:eastAsia="宋体" w:cs="宋体"/>
                <w:sz w:val="21"/>
              </w:rPr>
              <w:t>的评分内容需提供WIND系统查询获取的截屏图片</w:t>
            </w:r>
            <w:r>
              <w:rPr>
                <w:rStyle w:val="204"/>
                <w:rFonts w:hint="eastAsia" w:ascii="宋体" w:hAnsi="宋体" w:eastAsia="宋体" w:cs="宋体"/>
                <w:sz w:val="21"/>
                <w:lang w:val="en-US" w:eastAsia="zh-CN"/>
              </w:rPr>
              <w:t>加盖投标人公章</w:t>
            </w:r>
            <w:r>
              <w:rPr>
                <w:rStyle w:val="204"/>
                <w:rFonts w:hint="eastAsia" w:ascii="宋体" w:hAnsi="宋体" w:eastAsia="宋体" w:cs="宋体"/>
                <w:sz w:val="21"/>
                <w:lang w:eastAsia="zh-CN"/>
              </w:rPr>
              <w:t>【wind</w:t>
            </w:r>
            <w:r>
              <w:rPr>
                <w:rStyle w:val="204"/>
                <w:rFonts w:hint="eastAsia" w:ascii="宋体" w:hAnsi="宋体" w:eastAsia="宋体" w:cs="宋体"/>
                <w:sz w:val="21"/>
              </w:rPr>
              <w:t>系统</w:t>
            </w:r>
            <w:r>
              <w:rPr>
                <w:rStyle w:val="204"/>
                <w:rFonts w:hint="eastAsia" w:ascii="宋体" w:hAnsi="宋体" w:eastAsia="宋体" w:cs="宋体"/>
                <w:sz w:val="21"/>
                <w:lang w:eastAsia="zh-CN"/>
              </w:rPr>
              <w:t>查询路径：债券专题</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承销统计</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债券承销排名（wind口径）</w:t>
            </w:r>
            <w:r>
              <w:rPr>
                <w:rStyle w:val="204"/>
                <w:rFonts w:hint="eastAsia" w:ascii="宋体" w:hAnsi="宋体" w:eastAsia="宋体" w:cs="宋体"/>
                <w:sz w:val="21"/>
                <w:lang w:val="en-US" w:eastAsia="zh-CN"/>
              </w:rPr>
              <w:t>-</w:t>
            </w:r>
            <w:r>
              <w:rPr>
                <w:rStyle w:val="204"/>
                <w:rFonts w:hint="eastAsia" w:ascii="宋体" w:hAnsi="宋体" w:eastAsia="宋体" w:cs="宋体"/>
                <w:sz w:val="21"/>
                <w:lang w:eastAsia="zh-CN"/>
              </w:rPr>
              <w:t>任意区间选择“2022-01-01</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到“2024-12-31</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，机构类型选择“证券</w:t>
            </w:r>
            <w:r>
              <w:rPr>
                <w:rStyle w:val="204"/>
                <w:rFonts w:hint="default" w:ascii="宋体" w:hAnsi="宋体" w:eastAsia="宋体" w:cs="宋体"/>
                <w:sz w:val="21"/>
                <w:lang w:val="en-US" w:eastAsia="zh-CN"/>
              </w:rPr>
              <w:t>”</w:t>
            </w:r>
            <w:r>
              <w:rPr>
                <w:rStyle w:val="204"/>
                <w:rFonts w:hint="eastAsia" w:ascii="宋体" w:hAnsi="宋体" w:eastAsia="宋体" w:cs="宋体"/>
                <w:sz w:val="21"/>
                <w:lang w:eastAsia="zh-CN"/>
              </w:rPr>
              <w:t>，债券分类选择“公司债”，主体评级选择“AAA”，不包括自主自办发行，</w:t>
            </w:r>
            <w:r>
              <w:rPr>
                <w:rStyle w:val="204"/>
                <w:rFonts w:hint="eastAsia" w:ascii="宋体" w:hAnsi="宋体" w:eastAsia="宋体" w:cs="宋体"/>
                <w:sz w:val="21"/>
                <w:lang w:val="en-US" w:eastAsia="zh-CN"/>
              </w:rPr>
              <w:t>筛选</w:t>
            </w:r>
            <w:r>
              <w:rPr>
                <w:rStyle w:val="204"/>
                <w:rFonts w:hint="eastAsia" w:ascii="宋体" w:hAnsi="宋体" w:eastAsia="宋体" w:cs="宋体"/>
                <w:sz w:val="21"/>
                <w:lang w:eastAsia="zh-CN"/>
              </w:rPr>
              <w:t>合并母子公司，剩余选项保持默认。】</w:t>
            </w:r>
            <w:r>
              <w:rPr>
                <w:rStyle w:val="204"/>
                <w:rFonts w:hint="eastAsia" w:ascii="宋体" w:hAnsi="宋体" w:eastAsia="宋体" w:cs="宋体"/>
                <w:sz w:val="21"/>
              </w:rPr>
              <w:t>图片内容至少包含</w:t>
            </w:r>
            <w:r>
              <w:rPr>
                <w:rStyle w:val="204"/>
                <w:rFonts w:hint="eastAsia" w:ascii="宋体" w:hAnsi="宋体" w:eastAsia="宋体" w:cs="宋体"/>
                <w:b/>
                <w:bCs/>
                <w:sz w:val="21"/>
              </w:rPr>
              <w:t>证券简称、发行日期、评级、债券期限、实际发行金额、主承销商、票面利率等信息</w:t>
            </w:r>
            <w:r>
              <w:rPr>
                <w:rStyle w:val="204"/>
                <w:rFonts w:hint="eastAsia" w:ascii="宋体" w:hAnsi="宋体" w:eastAsia="宋体" w:cs="宋体"/>
                <w:sz w:val="21"/>
                <w:lang w:eastAsia="zh-CN"/>
              </w:rPr>
              <w:t>；</w:t>
            </w:r>
          </w:p>
          <w:p w14:paraId="76482E07">
            <w:pPr>
              <w:keepNext w:val="0"/>
              <w:keepLines w:val="0"/>
              <w:pageBreakBefore w:val="0"/>
              <w:widowControl w:val="0"/>
              <w:numPr>
                <w:ilvl w:val="-1"/>
                <w:numId w:val="0"/>
              </w:numPr>
              <w:kinsoku/>
              <w:wordWrap/>
              <w:overflowPunct/>
              <w:topLinePunct w:val="0"/>
              <w:bidi w:val="0"/>
              <w:snapToGrid/>
              <w:spacing w:line="360" w:lineRule="auto"/>
              <w:jc w:val="left"/>
              <w:textAlignment w:val="auto"/>
              <w:rPr>
                <w:rStyle w:val="204"/>
                <w:rFonts w:hint="eastAsia" w:ascii="宋体" w:hAnsi="宋体" w:eastAsia="宋体" w:cs="宋体"/>
                <w:sz w:val="21"/>
              </w:rPr>
            </w:pPr>
            <w:r>
              <w:rPr>
                <w:rStyle w:val="204"/>
                <w:rFonts w:hint="eastAsia" w:ascii="宋体" w:hAnsi="宋体" w:eastAsia="宋体" w:cs="宋体"/>
                <w:sz w:val="21"/>
                <w:lang w:val="en-US" w:eastAsia="zh-CN"/>
              </w:rPr>
              <w:t>3、序号4的评分内容提供中国证券业协会网站查询的截图加盖投标人公章</w:t>
            </w:r>
            <w:r>
              <w:rPr>
                <w:rStyle w:val="204"/>
                <w:rFonts w:hint="eastAsia" w:ascii="宋体" w:hAnsi="宋体" w:eastAsia="宋体" w:cs="宋体"/>
                <w:b/>
                <w:bCs/>
                <w:sz w:val="21"/>
                <w:lang w:val="en-US" w:eastAsia="zh-CN"/>
              </w:rPr>
              <w:t>（</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截图</w:t>
            </w:r>
            <w:r>
              <w:rPr>
                <w:rFonts w:hint="eastAsia" w:ascii="宋体" w:hAnsi="宋体" w:eastAsia="宋体" w:cs="Times New Roman"/>
                <w:b/>
                <w:bCs/>
                <w:color w:val="000000" w:themeColor="text1"/>
                <w:kern w:val="0"/>
                <w:szCs w:val="21"/>
                <w:highlight w:val="none"/>
                <w14:textFill>
                  <w14:solidFill>
                    <w14:schemeClr w14:val="tx1"/>
                  </w14:solidFill>
                </w14:textFill>
              </w:rPr>
              <w:t>界面需显示有“</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中国证券业协会</w:t>
            </w:r>
            <w:r>
              <w:rPr>
                <w:rFonts w:hint="eastAsia" w:ascii="宋体" w:hAnsi="宋体" w:eastAsia="宋体" w:cs="Times New Roman"/>
                <w:b/>
                <w:bCs/>
                <w:color w:val="000000" w:themeColor="text1"/>
                <w:kern w:val="0"/>
                <w:szCs w:val="21"/>
                <w:highlight w:val="none"/>
                <w14:textFill>
                  <w14:solidFill>
                    <w14:schemeClr w14:val="tx1"/>
                  </w14:solidFill>
                </w14:textFill>
              </w:rPr>
              <w:t>”或“</w:t>
            </w:r>
            <w:r>
              <w:rPr>
                <w:rFonts w:hint="eastAsia" w:ascii="宋体" w:hAnsi="宋体" w:eastAsia="宋体" w:cs="Times New Roman"/>
                <w:b/>
                <w:bCs/>
                <w:color w:val="000000" w:themeColor="text1"/>
                <w:kern w:val="0"/>
                <w:szCs w:val="21"/>
                <w:highlight w:val="none"/>
                <w:lang w:val="en-US" w:eastAsia="zh-CN"/>
                <w14:textFill>
                  <w14:solidFill>
                    <w14:schemeClr w14:val="tx1"/>
                  </w14:solidFill>
                </w14:textFill>
              </w:rPr>
              <w:t>显示网站为</w:t>
            </w:r>
            <w:r>
              <w:rPr>
                <w:rStyle w:val="204"/>
                <w:rFonts w:hint="eastAsia" w:ascii="宋体" w:hAnsi="宋体" w:eastAsia="宋体" w:cs="宋体"/>
                <w:b/>
                <w:bCs/>
                <w:sz w:val="21"/>
                <w:lang w:val="en-US" w:eastAsia="zh-CN"/>
              </w:rPr>
              <w:t>https://www.sac.net.cn/</w:t>
            </w:r>
            <w:r>
              <w:rPr>
                <w:rFonts w:hint="eastAsia" w:ascii="宋体" w:hAnsi="宋体" w:eastAsia="宋体" w:cs="Times New Roman"/>
                <w:b/>
                <w:bCs/>
                <w:color w:val="000000" w:themeColor="text1"/>
                <w:kern w:val="0"/>
                <w:szCs w:val="21"/>
                <w:highlight w:val="none"/>
                <w14:textFill>
                  <w14:solidFill>
                    <w14:schemeClr w14:val="tx1"/>
                  </w14:solidFill>
                </w14:textFill>
              </w:rPr>
              <w:t>”</w:t>
            </w:r>
            <w:r>
              <w:rPr>
                <w:rStyle w:val="204"/>
                <w:rFonts w:hint="eastAsia" w:ascii="宋体" w:hAnsi="宋体" w:eastAsia="宋体" w:cs="宋体"/>
                <w:b/>
                <w:bCs/>
                <w:sz w:val="21"/>
                <w:lang w:val="en-US" w:eastAsia="zh-CN"/>
              </w:rPr>
              <w:t>）</w:t>
            </w:r>
            <w:r>
              <w:rPr>
                <w:rFonts w:hint="eastAsia" w:ascii="宋体" w:hAnsi="宋体" w:eastAsia="宋体" w:cs="Times New Roman"/>
                <w:b/>
                <w:color w:val="000000" w:themeColor="text1"/>
                <w:kern w:val="0"/>
                <w:szCs w:val="21"/>
                <w:highlight w:val="none"/>
                <w14:textFill>
                  <w14:solidFill>
                    <w14:schemeClr w14:val="tx1"/>
                  </w14:solidFill>
                </w14:textFill>
              </w:rPr>
              <w:t>，否则不得分</w:t>
            </w:r>
            <w:r>
              <w:rPr>
                <w:rStyle w:val="204"/>
                <w:rFonts w:hint="eastAsia" w:ascii="宋体" w:hAnsi="宋体" w:eastAsia="宋体" w:cs="宋体"/>
                <w:sz w:val="21"/>
              </w:rPr>
              <w:t>。</w:t>
            </w:r>
          </w:p>
          <w:p w14:paraId="13A1D88F">
            <w:pPr>
              <w:keepNext w:val="0"/>
              <w:keepLines w:val="0"/>
              <w:pageBreakBefore w:val="0"/>
              <w:widowControl w:val="0"/>
              <w:numPr>
                <w:ilvl w:val="-1"/>
                <w:numId w:val="0"/>
              </w:numPr>
              <w:kinsoku/>
              <w:wordWrap/>
              <w:overflowPunct/>
              <w:topLinePunct w:val="0"/>
              <w:autoSpaceDE/>
              <w:autoSpaceDN/>
              <w:bidi w:val="0"/>
              <w:adjustRightInd/>
              <w:snapToGrid/>
              <w:spacing w:line="360" w:lineRule="auto"/>
              <w:jc w:val="left"/>
              <w:textAlignment w:val="auto"/>
              <w:rPr>
                <w:rFonts w:ascii="宋体" w:hAnsi="宋体" w:eastAsia="宋体" w:cs="宋体"/>
                <w:szCs w:val="24"/>
                <w:highlight w:val="none"/>
              </w:rPr>
            </w:pPr>
            <w:r>
              <w:rPr>
                <w:rStyle w:val="204"/>
                <w:rFonts w:hint="eastAsia" w:ascii="宋体" w:hAnsi="宋体" w:eastAsia="宋体" w:cs="宋体"/>
                <w:sz w:val="21"/>
                <w:lang w:val="en-US" w:eastAsia="zh-CN"/>
              </w:rPr>
              <w:t>4、</w:t>
            </w:r>
            <w:r>
              <w:rPr>
                <w:rStyle w:val="204"/>
                <w:rFonts w:hint="eastAsia" w:ascii="宋体" w:hAnsi="宋体" w:eastAsia="宋体" w:cs="宋体"/>
                <w:sz w:val="21"/>
              </w:rPr>
              <w:t>未按上述要求提供证明材料的，或所附材料无法证明填报项目属投标人完成的或符合本项评分要求的，在评标时将不予考虑。</w:t>
            </w:r>
          </w:p>
        </w:tc>
      </w:tr>
    </w:tbl>
    <w:p w14:paraId="6FC7BD8C">
      <w:pPr>
        <w:autoSpaceDE w:val="0"/>
        <w:autoSpaceDN w:val="0"/>
        <w:adjustRightInd w:val="0"/>
        <w:ind w:right="-26" w:firstLine="480"/>
        <w:jc w:val="center"/>
        <w:rPr>
          <w:rFonts w:ascii="宋体" w:hAnsi="宋体" w:eastAsia="宋体" w:cs="Times New Roman"/>
          <w:b/>
          <w:bCs/>
          <w:kern w:val="0"/>
          <w:sz w:val="24"/>
          <w:szCs w:val="24"/>
          <w:highlight w:val="none"/>
        </w:rPr>
      </w:pPr>
    </w:p>
    <w:p w14:paraId="247DBE41">
      <w:pPr>
        <w:tabs>
          <w:tab w:val="left" w:pos="585"/>
        </w:tabs>
        <w:autoSpaceDE w:val="0"/>
        <w:autoSpaceDN w:val="0"/>
        <w:adjustRightInd w:val="0"/>
        <w:spacing w:line="360" w:lineRule="auto"/>
        <w:rPr>
          <w:rFonts w:ascii="宋体" w:hAnsi="宋体" w:eastAsia="宋体" w:cs="宋体"/>
          <w:b/>
          <w:szCs w:val="21"/>
          <w:highlight w:val="none"/>
          <w:lang w:val="zh-CN"/>
        </w:rPr>
      </w:pPr>
      <w:r>
        <w:rPr>
          <w:rFonts w:hint="eastAsia" w:ascii="宋体" w:hAnsi="宋体" w:eastAsia="宋体" w:cs="Times New Roman"/>
          <w:b/>
          <w:szCs w:val="21"/>
          <w:highlight w:val="none"/>
          <w:lang w:val="zh-CN"/>
        </w:rPr>
        <w:t>（</w:t>
      </w:r>
      <w:r>
        <w:rPr>
          <w:rFonts w:hint="eastAsia" w:ascii="宋体" w:hAnsi="宋体" w:eastAsia="宋体" w:cs="宋体"/>
          <w:b/>
          <w:szCs w:val="24"/>
          <w:highlight w:val="none"/>
        </w:rPr>
        <w:t>2）</w:t>
      </w:r>
      <w:r>
        <w:rPr>
          <w:rFonts w:hint="eastAsia" w:ascii="宋体" w:hAnsi="宋体" w:eastAsia="宋体" w:cs="宋体"/>
          <w:b/>
          <w:szCs w:val="24"/>
          <w:highlight w:val="none"/>
          <w:lang w:val="zh-CN"/>
        </w:rPr>
        <w:t>技术：</w:t>
      </w:r>
      <w:r>
        <w:rPr>
          <w:rFonts w:hint="eastAsia" w:ascii="宋体" w:hAnsi="宋体" w:eastAsia="宋体" w:cs="宋体"/>
          <w:b/>
          <w:szCs w:val="21"/>
          <w:highlight w:val="none"/>
          <w:lang w:val="zh-CN"/>
        </w:rPr>
        <w:t>总分</w:t>
      </w:r>
      <w:r>
        <w:rPr>
          <w:rFonts w:hint="eastAsia" w:ascii="宋体" w:hAnsi="宋体" w:eastAsia="宋体" w:cs="宋体"/>
          <w:b/>
          <w:szCs w:val="21"/>
          <w:highlight w:val="none"/>
          <w:lang w:val="en-US" w:eastAsia="zh-CN"/>
        </w:rPr>
        <w:t>30</w:t>
      </w:r>
      <w:r>
        <w:rPr>
          <w:rFonts w:hint="eastAsia" w:ascii="宋体" w:hAnsi="宋体" w:eastAsia="宋体" w:cs="宋体"/>
          <w:b/>
          <w:szCs w:val="21"/>
          <w:highlight w:val="none"/>
          <w:lang w:val="zh-CN"/>
        </w:rPr>
        <w:t>分</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1057"/>
        <w:gridCol w:w="7146"/>
        <w:gridCol w:w="846"/>
      </w:tblGrid>
      <w:tr w14:paraId="6E9B9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0321595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序号</w:t>
            </w:r>
          </w:p>
        </w:tc>
        <w:tc>
          <w:tcPr>
            <w:tcW w:w="546" w:type="pct"/>
            <w:tcBorders>
              <w:top w:val="single" w:color="auto" w:sz="4" w:space="0"/>
              <w:left w:val="single" w:color="auto" w:sz="4" w:space="0"/>
              <w:bottom w:val="single" w:color="auto" w:sz="4" w:space="0"/>
              <w:right w:val="single" w:color="auto" w:sz="4" w:space="0"/>
            </w:tcBorders>
            <w:vAlign w:val="center"/>
          </w:tcPr>
          <w:p w14:paraId="544B4B3C">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sz w:val="21"/>
                <w:szCs w:val="21"/>
                <w:highlight w:val="none"/>
                <w:lang w:val="zh-CN"/>
              </w:rPr>
              <w:t>评审内容</w:t>
            </w:r>
          </w:p>
        </w:tc>
        <w:tc>
          <w:tcPr>
            <w:tcW w:w="3692" w:type="pct"/>
            <w:tcBorders>
              <w:top w:val="single" w:color="auto" w:sz="4" w:space="0"/>
              <w:left w:val="single" w:color="auto" w:sz="4" w:space="0"/>
              <w:bottom w:val="single" w:color="auto" w:sz="4" w:space="0"/>
              <w:right w:val="single" w:color="auto" w:sz="4" w:space="0"/>
            </w:tcBorders>
            <w:vAlign w:val="center"/>
          </w:tcPr>
          <w:p w14:paraId="7AD93BD6">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评审细则</w:t>
            </w:r>
          </w:p>
        </w:tc>
        <w:tc>
          <w:tcPr>
            <w:tcW w:w="437" w:type="pct"/>
            <w:tcBorders>
              <w:top w:val="single" w:color="auto" w:sz="4" w:space="0"/>
              <w:left w:val="single" w:color="auto" w:sz="4" w:space="0"/>
              <w:bottom w:val="single" w:color="auto" w:sz="4" w:space="0"/>
              <w:right w:val="single" w:color="auto" w:sz="4" w:space="0"/>
            </w:tcBorders>
            <w:vAlign w:val="center"/>
          </w:tcPr>
          <w:p w14:paraId="1A1FA5E3">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满分值</w:t>
            </w:r>
          </w:p>
        </w:tc>
      </w:tr>
      <w:tr w14:paraId="2E660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547C64F3">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1</w:t>
            </w:r>
          </w:p>
        </w:tc>
        <w:tc>
          <w:tcPr>
            <w:tcW w:w="546" w:type="pct"/>
            <w:tcBorders>
              <w:top w:val="single" w:color="auto" w:sz="4" w:space="0"/>
              <w:left w:val="single" w:color="auto" w:sz="4" w:space="0"/>
              <w:bottom w:val="single" w:color="auto" w:sz="4" w:space="0"/>
              <w:right w:val="single" w:color="auto" w:sz="4" w:space="0"/>
            </w:tcBorders>
            <w:vAlign w:val="center"/>
          </w:tcPr>
          <w:p w14:paraId="1E74810F">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rPr>
              <w:t>用户需求响应程度</w:t>
            </w:r>
          </w:p>
        </w:tc>
        <w:tc>
          <w:tcPr>
            <w:tcW w:w="3692" w:type="pct"/>
            <w:tcBorders>
              <w:top w:val="single" w:color="auto" w:sz="4" w:space="0"/>
              <w:left w:val="single" w:color="auto" w:sz="4" w:space="0"/>
              <w:bottom w:val="single" w:color="auto" w:sz="4" w:space="0"/>
              <w:right w:val="single" w:color="auto" w:sz="4" w:space="0"/>
            </w:tcBorders>
            <w:vAlign w:val="center"/>
          </w:tcPr>
          <w:p w14:paraId="428AFCF0">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rPr>
              <w:t>对用户需求偏离表的偏离情况进行评审计分，完全满足用户需求书的要求得满分；每一处负偏离，扣1分；同时参照其投标文件中其他部分的内容进行对比，每发现一处投标人填写为无偏离或正偏离，但评标委员会评审认定其为负偏离的，每处扣5分；本项最低分为0分。</w:t>
            </w:r>
          </w:p>
        </w:tc>
        <w:tc>
          <w:tcPr>
            <w:tcW w:w="437" w:type="pct"/>
            <w:tcBorders>
              <w:top w:val="single" w:color="auto" w:sz="4" w:space="0"/>
              <w:left w:val="single" w:color="auto" w:sz="4" w:space="0"/>
              <w:bottom w:val="single" w:color="auto" w:sz="4" w:space="0"/>
              <w:right w:val="single" w:color="auto" w:sz="4" w:space="0"/>
            </w:tcBorders>
            <w:vAlign w:val="center"/>
          </w:tcPr>
          <w:p w14:paraId="7829DED4">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lang w:val="en-US" w:eastAsia="zh-CN"/>
              </w:rPr>
            </w:pPr>
            <w:r>
              <w:rPr>
                <w:rStyle w:val="204"/>
                <w:rFonts w:hint="eastAsia" w:ascii="宋体" w:hAnsi="宋体" w:eastAsia="宋体" w:cs="宋体"/>
                <w:sz w:val="21"/>
                <w:szCs w:val="21"/>
              </w:rPr>
              <w:t>5</w:t>
            </w:r>
            <w:r>
              <w:rPr>
                <w:rStyle w:val="204"/>
                <w:rFonts w:hint="eastAsia" w:ascii="宋体" w:hAnsi="宋体" w:eastAsia="宋体" w:cs="宋体"/>
                <w:sz w:val="21"/>
                <w:szCs w:val="21"/>
                <w:lang w:val="en-US" w:eastAsia="zh-CN"/>
              </w:rPr>
              <w:t>分</w:t>
            </w:r>
          </w:p>
        </w:tc>
      </w:tr>
      <w:tr w14:paraId="15B50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573C08D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w:t>
            </w:r>
          </w:p>
        </w:tc>
        <w:tc>
          <w:tcPr>
            <w:tcW w:w="546" w:type="pct"/>
            <w:tcBorders>
              <w:top w:val="single" w:color="auto" w:sz="4" w:space="0"/>
              <w:left w:val="single" w:color="auto" w:sz="4" w:space="0"/>
              <w:bottom w:val="single" w:color="auto" w:sz="4" w:space="0"/>
              <w:right w:val="single" w:color="auto" w:sz="4" w:space="0"/>
            </w:tcBorders>
            <w:vAlign w:val="center"/>
          </w:tcPr>
          <w:p w14:paraId="358D5536">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Fonts w:hint="eastAsia" w:ascii="宋体" w:hAnsi="宋体" w:eastAsia="宋体" w:cs="宋体"/>
                <w:sz w:val="21"/>
                <w:szCs w:val="21"/>
              </w:rPr>
              <w:t>承销人员及销售资源配备</w:t>
            </w:r>
          </w:p>
        </w:tc>
        <w:tc>
          <w:tcPr>
            <w:tcW w:w="3692" w:type="pct"/>
            <w:tcBorders>
              <w:top w:val="single" w:color="auto" w:sz="4" w:space="0"/>
              <w:left w:val="single" w:color="auto" w:sz="4" w:space="0"/>
              <w:bottom w:val="single" w:color="auto" w:sz="4" w:space="0"/>
              <w:right w:val="single" w:color="auto" w:sz="4" w:space="0"/>
            </w:tcBorders>
            <w:vAlign w:val="center"/>
          </w:tcPr>
          <w:p w14:paraId="28F450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根据投标人针对本项目提供的承销人员及销售资源配备</w:t>
            </w:r>
            <w:r>
              <w:rPr>
                <w:rFonts w:hint="eastAsia" w:ascii="宋体" w:hAnsi="宋体" w:eastAsia="宋体" w:cs="宋体"/>
                <w:b/>
                <w:bCs/>
                <w:color w:val="000000"/>
                <w:kern w:val="2"/>
                <w:sz w:val="21"/>
                <w:szCs w:val="21"/>
                <w:lang w:val="en-US" w:eastAsia="zh-CN" w:bidi="ar-SA"/>
              </w:rPr>
              <w:t>从以下维度进行评审：①</w:t>
            </w:r>
            <w:r>
              <w:rPr>
                <w:rFonts w:hint="eastAsia" w:ascii="宋体" w:hAnsi="宋体" w:eastAsia="宋体" w:cs="宋体"/>
                <w:b/>
                <w:bCs/>
                <w:i w:val="0"/>
                <w:iCs w:val="0"/>
                <w:caps w:val="0"/>
                <w:spacing w:val="8"/>
                <w:sz w:val="21"/>
                <w:szCs w:val="21"/>
                <w:shd w:val="clear" w:fill="FFFFFF"/>
              </w:rPr>
              <w:t>项目承销团队完整度</w:t>
            </w:r>
            <w:r>
              <w:rPr>
                <w:rFonts w:hint="eastAsia" w:ascii="宋体" w:hAnsi="宋体" w:eastAsia="宋体" w:cs="宋体"/>
                <w:b/>
                <w:bCs/>
                <w:color w:val="000000"/>
                <w:kern w:val="2"/>
                <w:sz w:val="21"/>
                <w:szCs w:val="21"/>
                <w:lang w:val="en-US" w:eastAsia="zh-CN" w:bidi="ar-SA"/>
              </w:rPr>
              <w:t>；②</w:t>
            </w:r>
            <w:r>
              <w:rPr>
                <w:rFonts w:hint="eastAsia" w:ascii="宋体" w:hAnsi="宋体" w:eastAsia="宋体" w:cs="宋体"/>
                <w:b/>
                <w:bCs/>
                <w:i w:val="0"/>
                <w:iCs w:val="0"/>
                <w:caps w:val="0"/>
                <w:spacing w:val="8"/>
                <w:sz w:val="21"/>
                <w:szCs w:val="21"/>
                <w:shd w:val="clear" w:fill="FFFFFF"/>
              </w:rPr>
              <w:t>团队专业资质与经验</w:t>
            </w:r>
            <w:r>
              <w:rPr>
                <w:rFonts w:hint="eastAsia" w:ascii="宋体" w:hAnsi="宋体" w:eastAsia="宋体" w:cs="宋体"/>
                <w:b/>
                <w:bCs/>
                <w:color w:val="000000"/>
                <w:kern w:val="2"/>
                <w:sz w:val="21"/>
                <w:szCs w:val="21"/>
                <w:lang w:val="en-US" w:eastAsia="zh-CN" w:bidi="ar-SA"/>
              </w:rPr>
              <w:t>；③</w:t>
            </w:r>
            <w:r>
              <w:rPr>
                <w:rFonts w:hint="eastAsia" w:ascii="宋体" w:hAnsi="宋体" w:eastAsia="宋体" w:cs="宋体"/>
                <w:b/>
                <w:bCs/>
                <w:i w:val="0"/>
                <w:iCs w:val="0"/>
                <w:caps w:val="0"/>
                <w:spacing w:val="8"/>
                <w:sz w:val="21"/>
                <w:szCs w:val="21"/>
                <w:shd w:val="clear" w:fill="FFFFFF"/>
              </w:rPr>
              <w:t>销售资源覆盖</w:t>
            </w:r>
            <w:r>
              <w:rPr>
                <w:rFonts w:hint="eastAsia" w:ascii="宋体" w:hAnsi="宋体" w:eastAsia="宋体" w:cs="宋体"/>
                <w:b/>
                <w:bCs/>
                <w:i w:val="0"/>
                <w:iCs w:val="0"/>
                <w:caps w:val="0"/>
                <w:spacing w:val="8"/>
                <w:sz w:val="21"/>
                <w:szCs w:val="21"/>
                <w:shd w:val="clear" w:fill="FFFFFF"/>
                <w:lang w:val="en-US" w:eastAsia="zh-CN"/>
              </w:rPr>
              <w:t>程</w:t>
            </w:r>
            <w:r>
              <w:rPr>
                <w:rFonts w:hint="eastAsia" w:ascii="宋体" w:hAnsi="宋体" w:eastAsia="宋体" w:cs="宋体"/>
                <w:b/>
                <w:bCs/>
                <w:i w:val="0"/>
                <w:iCs w:val="0"/>
                <w:caps w:val="0"/>
                <w:spacing w:val="8"/>
                <w:sz w:val="21"/>
                <w:szCs w:val="21"/>
                <w:shd w:val="clear" w:fill="FFFFFF"/>
              </w:rPr>
              <w:t>度</w:t>
            </w:r>
            <w:r>
              <w:rPr>
                <w:rFonts w:hint="eastAsia" w:ascii="宋体" w:hAnsi="宋体" w:eastAsia="宋体" w:cs="宋体"/>
                <w:b/>
                <w:bCs/>
                <w:color w:val="000000"/>
                <w:kern w:val="2"/>
                <w:sz w:val="21"/>
                <w:szCs w:val="21"/>
                <w:lang w:val="en-US" w:eastAsia="zh-CN" w:bidi="ar-SA"/>
              </w:rPr>
              <w:t>。</w:t>
            </w:r>
          </w:p>
          <w:p w14:paraId="1BB2E1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优</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3</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4</w:t>
            </w:r>
            <w:r>
              <w:rPr>
                <w:rFonts w:hint="eastAsia" w:ascii="宋体" w:hAnsi="宋体" w:eastAsia="宋体" w:cs="宋体"/>
                <w:b/>
                <w:bCs/>
                <w:sz w:val="21"/>
                <w:szCs w:val="21"/>
                <w:lang w:val="zh-CN"/>
              </w:rPr>
              <w:t>]</w:t>
            </w:r>
            <w:r>
              <w:rPr>
                <w:rFonts w:hint="eastAsia" w:ascii="宋体" w:hAnsi="宋体" w:eastAsia="宋体" w:cs="宋体"/>
                <w:b/>
                <w:bCs/>
                <w:sz w:val="21"/>
                <w:szCs w:val="21"/>
              </w:rPr>
              <w:t>分</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人员配置完整，各</w:t>
            </w:r>
            <w:r>
              <w:rPr>
                <w:rFonts w:hint="eastAsia" w:ascii="宋体" w:hAnsi="宋体" w:eastAsia="宋体" w:cs="宋体"/>
                <w:i w:val="0"/>
                <w:iCs w:val="0"/>
                <w:caps w:val="0"/>
                <w:spacing w:val="8"/>
                <w:sz w:val="21"/>
                <w:szCs w:val="21"/>
                <w:shd w:val="clear" w:fill="FFFFFF"/>
              </w:rPr>
              <w:t>关键岗位</w:t>
            </w:r>
            <w:r>
              <w:rPr>
                <w:rFonts w:hint="eastAsia" w:ascii="宋体" w:hAnsi="宋体" w:eastAsia="宋体" w:cs="宋体"/>
                <w:i w:val="0"/>
                <w:iCs w:val="0"/>
                <w:caps w:val="0"/>
                <w:spacing w:val="8"/>
                <w:sz w:val="21"/>
                <w:szCs w:val="21"/>
                <w:shd w:val="clear" w:fill="FFFFFF"/>
                <w:lang w:val="en-US" w:eastAsia="zh-CN"/>
              </w:rPr>
              <w:t>均有人员配备，</w:t>
            </w:r>
            <w:r>
              <w:rPr>
                <w:rFonts w:hint="eastAsia" w:ascii="宋体" w:hAnsi="宋体" w:eastAsia="宋体" w:cs="宋体"/>
                <w:i w:val="0"/>
                <w:iCs w:val="0"/>
                <w:caps w:val="0"/>
                <w:color w:val="auto"/>
                <w:spacing w:val="4"/>
                <w:sz w:val="21"/>
                <w:szCs w:val="21"/>
                <w:highlight w:val="none"/>
                <w:shd w:val="clear" w:fill="FFFFFF"/>
              </w:rPr>
              <w:t>且各专业人员比例合理，满足项目需求</w:t>
            </w:r>
            <w:r>
              <w:rPr>
                <w:rFonts w:hint="eastAsia" w:ascii="宋体" w:hAnsi="宋体" w:eastAsia="宋体" w:cs="宋体"/>
                <w:i w:val="0"/>
                <w:iCs w:val="0"/>
                <w:caps w:val="0"/>
                <w:color w:val="auto"/>
                <w:spacing w:val="4"/>
                <w:sz w:val="21"/>
                <w:szCs w:val="21"/>
                <w:highlight w:val="none"/>
                <w:shd w:val="clear" w:fill="FFFFFF"/>
                <w:lang w:eastAsia="zh-CN"/>
              </w:rPr>
              <w:t>；</w:t>
            </w:r>
            <w:r>
              <w:rPr>
                <w:rFonts w:hint="eastAsia" w:ascii="宋体" w:hAnsi="宋体" w:eastAsia="宋体" w:cs="宋体"/>
                <w:i w:val="0"/>
                <w:iCs w:val="0"/>
                <w:caps w:val="0"/>
                <w:spacing w:val="8"/>
                <w:sz w:val="21"/>
                <w:szCs w:val="21"/>
                <w:shd w:val="clear" w:fill="FFFFFF"/>
              </w:rPr>
              <w:t>团队专业资质与经验</w:t>
            </w:r>
            <w:r>
              <w:rPr>
                <w:rFonts w:hint="eastAsia" w:ascii="宋体" w:hAnsi="宋体" w:eastAsia="宋体" w:cs="宋体"/>
                <w:i w:val="0"/>
                <w:iCs w:val="0"/>
                <w:caps w:val="0"/>
                <w:spacing w:val="8"/>
                <w:sz w:val="21"/>
                <w:szCs w:val="21"/>
                <w:shd w:val="clear" w:fill="FFFFFF"/>
                <w:lang w:val="en-US" w:eastAsia="zh-CN"/>
              </w:rPr>
              <w:t>非常丰富，</w:t>
            </w:r>
            <w:r>
              <w:rPr>
                <w:rFonts w:hint="eastAsia" w:ascii="宋体" w:hAnsi="宋体" w:eastAsia="宋体" w:cs="宋体"/>
                <w:color w:val="auto"/>
                <w:sz w:val="21"/>
                <w:szCs w:val="21"/>
                <w:highlight w:val="none"/>
                <w:lang w:val="en-US" w:eastAsia="zh-CN"/>
                <w:woUserID w:val="1"/>
              </w:rPr>
              <w:t>团队人数≥8人；具有5年或以上债券</w:t>
            </w:r>
            <w:r>
              <w:rPr>
                <w:rFonts w:hint="eastAsia" w:ascii="宋体" w:hAnsi="宋体" w:eastAsia="宋体" w:cs="宋体"/>
                <w:color w:val="auto"/>
                <w:sz w:val="21"/>
                <w:szCs w:val="21"/>
                <w:highlight w:val="none"/>
                <w:lang w:val="en-US" w:eastAsia="zh"/>
                <w:woUserID w:val="1"/>
              </w:rPr>
              <w:t>承销业务</w:t>
            </w:r>
            <w:r>
              <w:rPr>
                <w:rFonts w:hint="eastAsia" w:ascii="宋体" w:hAnsi="宋体" w:eastAsia="宋体" w:cs="宋体"/>
                <w:color w:val="auto"/>
                <w:sz w:val="21"/>
                <w:szCs w:val="21"/>
                <w:highlight w:val="none"/>
                <w:lang w:val="en-US" w:eastAsia="zh-CN"/>
                <w:woUserID w:val="1"/>
              </w:rPr>
              <w:t>经验人员≥4人；销售网络</w:t>
            </w:r>
            <w:r>
              <w:rPr>
                <w:rFonts w:hint="eastAsia" w:ascii="宋体" w:hAnsi="宋体" w:eastAsia="宋体" w:cs="宋体"/>
                <w:color w:val="auto"/>
                <w:sz w:val="21"/>
                <w:szCs w:val="21"/>
                <w:highlight w:val="none"/>
                <w:lang w:val="en-US" w:eastAsia="zh"/>
                <w:woUserID w:val="1"/>
              </w:rPr>
              <w:t>资源丰富</w:t>
            </w:r>
            <w:r>
              <w:rPr>
                <w:rFonts w:hint="eastAsia" w:ascii="宋体" w:hAnsi="宋体" w:eastAsia="宋体" w:cs="宋体"/>
                <w:color w:val="auto"/>
                <w:sz w:val="21"/>
                <w:szCs w:val="21"/>
                <w:highlight w:val="none"/>
                <w:lang w:val="en-US" w:eastAsia="zh-CN"/>
                <w:woUserID w:val="1"/>
              </w:rPr>
              <w:t>，</w:t>
            </w:r>
            <w:r>
              <w:rPr>
                <w:rFonts w:hint="eastAsia" w:ascii="宋体" w:hAnsi="宋体" w:eastAsia="宋体" w:cs="宋体"/>
                <w:i w:val="0"/>
                <w:iCs w:val="0"/>
                <w:caps w:val="0"/>
                <w:spacing w:val="8"/>
                <w:sz w:val="21"/>
                <w:szCs w:val="21"/>
                <w:shd w:val="clear" w:fill="FFFFFF"/>
              </w:rPr>
              <w:t>销售资源覆盖</w:t>
            </w:r>
            <w:r>
              <w:rPr>
                <w:rFonts w:hint="eastAsia" w:ascii="宋体" w:hAnsi="宋体" w:eastAsia="宋体" w:cs="宋体"/>
                <w:i w:val="0"/>
                <w:iCs w:val="0"/>
                <w:caps w:val="0"/>
                <w:spacing w:val="8"/>
                <w:sz w:val="21"/>
                <w:szCs w:val="21"/>
                <w:shd w:val="clear" w:fill="FFFFFF"/>
                <w:lang w:val="en-US" w:eastAsia="zh-CN"/>
              </w:rPr>
              <w:t>程</w:t>
            </w:r>
            <w:r>
              <w:rPr>
                <w:rFonts w:hint="eastAsia" w:ascii="宋体" w:hAnsi="宋体" w:eastAsia="宋体" w:cs="宋体"/>
                <w:i w:val="0"/>
                <w:iCs w:val="0"/>
                <w:caps w:val="0"/>
                <w:spacing w:val="8"/>
                <w:sz w:val="21"/>
                <w:szCs w:val="21"/>
                <w:shd w:val="clear" w:fill="FFFFFF"/>
              </w:rPr>
              <w:t>度</w:t>
            </w:r>
            <w:r>
              <w:rPr>
                <w:rFonts w:hint="eastAsia" w:ascii="宋体" w:hAnsi="宋体" w:eastAsia="宋体" w:cs="宋体"/>
                <w:i w:val="0"/>
                <w:iCs w:val="0"/>
                <w:caps w:val="0"/>
                <w:spacing w:val="8"/>
                <w:sz w:val="21"/>
                <w:szCs w:val="21"/>
                <w:shd w:val="clear" w:fill="FFFFFF"/>
                <w:lang w:val="en-US" w:eastAsia="zh-CN"/>
              </w:rPr>
              <w:t>非常广</w:t>
            </w:r>
            <w:r>
              <w:rPr>
                <w:rFonts w:hint="eastAsia" w:ascii="宋体" w:hAnsi="宋体" w:eastAsia="宋体" w:cs="宋体"/>
                <w:color w:val="auto"/>
                <w:sz w:val="21"/>
                <w:szCs w:val="21"/>
                <w:highlight w:val="none"/>
                <w:lang w:val="zh-CN" w:eastAsia="zh-CN"/>
              </w:rPr>
              <w:t>；</w:t>
            </w:r>
          </w:p>
          <w:p w14:paraId="5848B1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bookmarkStart w:id="738" w:name="_Toc23193"/>
            <w:r>
              <w:rPr>
                <w:rFonts w:hint="eastAsia" w:ascii="宋体" w:hAnsi="宋体" w:eastAsia="宋体" w:cs="宋体"/>
                <w:b/>
                <w:bCs/>
                <w:color w:val="auto"/>
                <w:sz w:val="21"/>
                <w:szCs w:val="21"/>
                <w:highlight w:val="none"/>
                <w:lang w:val="en-US" w:eastAsia="zh-CN"/>
              </w:rPr>
              <w:t>良</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2-3）</w:t>
            </w:r>
            <w:r>
              <w:rPr>
                <w:rFonts w:hint="eastAsia" w:ascii="宋体" w:hAnsi="宋体" w:eastAsia="宋体" w:cs="宋体"/>
                <w:b/>
                <w:sz w:val="21"/>
                <w:szCs w:val="21"/>
              </w:rPr>
              <w:t>分</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人员配置较为完整，</w:t>
            </w:r>
            <w:r>
              <w:rPr>
                <w:rFonts w:hint="eastAsia" w:ascii="宋体" w:hAnsi="宋体" w:eastAsia="宋体" w:cs="宋体"/>
                <w:i w:val="0"/>
                <w:iCs w:val="0"/>
                <w:caps w:val="0"/>
                <w:color w:val="auto"/>
                <w:spacing w:val="4"/>
                <w:sz w:val="21"/>
                <w:szCs w:val="21"/>
                <w:highlight w:val="none"/>
                <w:shd w:val="clear" w:fill="FFFFFF"/>
              </w:rPr>
              <w:t>专业人员基本齐全</w:t>
            </w:r>
            <w:r>
              <w:rPr>
                <w:rFonts w:hint="eastAsia" w:ascii="宋体" w:hAnsi="宋体" w:eastAsia="宋体" w:cs="宋体"/>
                <w:i w:val="0"/>
                <w:iCs w:val="0"/>
                <w:caps w:val="0"/>
                <w:color w:val="auto"/>
                <w:spacing w:val="4"/>
                <w:sz w:val="21"/>
                <w:szCs w:val="21"/>
                <w:highlight w:val="none"/>
                <w:shd w:val="clear" w:fill="FFFFFF"/>
                <w:lang w:eastAsia="zh-CN"/>
              </w:rPr>
              <w:t>，</w:t>
            </w:r>
            <w:r>
              <w:rPr>
                <w:rFonts w:hint="eastAsia" w:ascii="宋体" w:hAnsi="宋体" w:eastAsia="宋体" w:cs="宋体"/>
                <w:i w:val="0"/>
                <w:iCs w:val="0"/>
                <w:caps w:val="0"/>
                <w:color w:val="auto"/>
                <w:spacing w:val="4"/>
                <w:sz w:val="21"/>
                <w:szCs w:val="21"/>
                <w:highlight w:val="none"/>
                <w:shd w:val="clear" w:fill="FFFFFF"/>
              </w:rPr>
              <w:t>能满足项目的基本需求</w:t>
            </w:r>
            <w:r>
              <w:rPr>
                <w:rFonts w:hint="eastAsia" w:ascii="宋体" w:hAnsi="宋体" w:eastAsia="宋体" w:cs="宋体"/>
                <w:i w:val="0"/>
                <w:iCs w:val="0"/>
                <w:caps w:val="0"/>
                <w:color w:val="auto"/>
                <w:spacing w:val="4"/>
                <w:sz w:val="21"/>
                <w:szCs w:val="21"/>
                <w:highlight w:val="none"/>
                <w:shd w:val="clear" w:fill="FFFFFF"/>
                <w:lang w:eastAsia="zh-CN"/>
              </w:rPr>
              <w:t>；</w:t>
            </w:r>
            <w:r>
              <w:rPr>
                <w:rFonts w:hint="eastAsia" w:ascii="宋体" w:hAnsi="宋体" w:eastAsia="宋体" w:cs="宋体"/>
                <w:i w:val="0"/>
                <w:iCs w:val="0"/>
                <w:caps w:val="0"/>
                <w:spacing w:val="8"/>
                <w:sz w:val="21"/>
                <w:szCs w:val="21"/>
                <w:shd w:val="clear" w:fill="FFFFFF"/>
              </w:rPr>
              <w:t>团队专业资质与经验</w:t>
            </w:r>
            <w:r>
              <w:rPr>
                <w:rFonts w:hint="eastAsia" w:ascii="宋体" w:hAnsi="宋体" w:eastAsia="宋体" w:cs="宋体"/>
                <w:i w:val="0"/>
                <w:iCs w:val="0"/>
                <w:caps w:val="0"/>
                <w:spacing w:val="8"/>
                <w:sz w:val="21"/>
                <w:szCs w:val="21"/>
                <w:shd w:val="clear" w:fill="FFFFFF"/>
                <w:lang w:val="en-US" w:eastAsia="zh-CN"/>
              </w:rPr>
              <w:t>较为丰富，</w:t>
            </w:r>
            <w:r>
              <w:rPr>
                <w:rFonts w:hint="eastAsia" w:ascii="宋体" w:hAnsi="宋体" w:eastAsia="宋体" w:cs="宋体"/>
                <w:color w:val="auto"/>
                <w:sz w:val="21"/>
                <w:szCs w:val="21"/>
                <w:highlight w:val="none"/>
                <w:lang w:val="en-US" w:eastAsia="zh-CN"/>
                <w:woUserID w:val="1"/>
              </w:rPr>
              <w:t>团队人数为6-7人；具有5年或以上债券</w:t>
            </w:r>
            <w:r>
              <w:rPr>
                <w:rFonts w:hint="eastAsia" w:ascii="宋体" w:hAnsi="宋体" w:eastAsia="宋体" w:cs="宋体"/>
                <w:color w:val="auto"/>
                <w:sz w:val="21"/>
                <w:szCs w:val="21"/>
                <w:highlight w:val="none"/>
                <w:lang w:val="en-US" w:eastAsia="zh"/>
                <w:woUserID w:val="1"/>
              </w:rPr>
              <w:t>承销业务</w:t>
            </w:r>
            <w:r>
              <w:rPr>
                <w:rFonts w:hint="eastAsia" w:ascii="宋体" w:hAnsi="宋体" w:eastAsia="宋体" w:cs="宋体"/>
                <w:color w:val="auto"/>
                <w:sz w:val="21"/>
                <w:szCs w:val="21"/>
                <w:highlight w:val="none"/>
                <w:lang w:val="en-US" w:eastAsia="zh-CN"/>
                <w:woUserID w:val="1"/>
              </w:rPr>
              <w:t>经验人员3人；销售网络</w:t>
            </w:r>
            <w:r>
              <w:rPr>
                <w:rFonts w:hint="eastAsia" w:ascii="宋体" w:hAnsi="宋体" w:eastAsia="宋体" w:cs="宋体"/>
                <w:color w:val="auto"/>
                <w:sz w:val="21"/>
                <w:szCs w:val="21"/>
                <w:highlight w:val="none"/>
                <w:lang w:val="en-US" w:eastAsia="zh"/>
                <w:woUserID w:val="1"/>
              </w:rPr>
              <w:t>资源</w:t>
            </w:r>
            <w:r>
              <w:rPr>
                <w:rFonts w:hint="eastAsia" w:ascii="宋体" w:hAnsi="宋体" w:eastAsia="宋体" w:cs="宋体"/>
                <w:color w:val="auto"/>
                <w:sz w:val="21"/>
                <w:szCs w:val="21"/>
                <w:highlight w:val="none"/>
                <w:lang w:val="en-US" w:eastAsia="zh-CN"/>
                <w:woUserID w:val="1"/>
              </w:rPr>
              <w:t>较丰富，</w:t>
            </w:r>
            <w:r>
              <w:rPr>
                <w:rFonts w:hint="eastAsia" w:ascii="宋体" w:hAnsi="宋体" w:eastAsia="宋体" w:cs="宋体"/>
                <w:i w:val="0"/>
                <w:iCs w:val="0"/>
                <w:caps w:val="0"/>
                <w:spacing w:val="8"/>
                <w:sz w:val="21"/>
                <w:szCs w:val="21"/>
                <w:shd w:val="clear" w:fill="FFFFFF"/>
              </w:rPr>
              <w:t>销售资源覆盖</w:t>
            </w:r>
            <w:r>
              <w:rPr>
                <w:rFonts w:hint="eastAsia" w:ascii="宋体" w:hAnsi="宋体" w:eastAsia="宋体" w:cs="宋体"/>
                <w:i w:val="0"/>
                <w:iCs w:val="0"/>
                <w:caps w:val="0"/>
                <w:spacing w:val="8"/>
                <w:sz w:val="21"/>
                <w:szCs w:val="21"/>
                <w:shd w:val="clear" w:fill="FFFFFF"/>
                <w:lang w:val="en-US" w:eastAsia="zh-CN"/>
              </w:rPr>
              <w:t>程</w:t>
            </w:r>
            <w:r>
              <w:rPr>
                <w:rFonts w:hint="eastAsia" w:ascii="宋体" w:hAnsi="宋体" w:eastAsia="宋体" w:cs="宋体"/>
                <w:i w:val="0"/>
                <w:iCs w:val="0"/>
                <w:caps w:val="0"/>
                <w:spacing w:val="8"/>
                <w:sz w:val="21"/>
                <w:szCs w:val="21"/>
                <w:shd w:val="clear" w:fill="FFFFFF"/>
              </w:rPr>
              <w:t>度</w:t>
            </w:r>
            <w:r>
              <w:rPr>
                <w:rFonts w:hint="eastAsia" w:ascii="宋体" w:hAnsi="宋体" w:eastAsia="宋体" w:cs="宋体"/>
                <w:i w:val="0"/>
                <w:iCs w:val="0"/>
                <w:caps w:val="0"/>
                <w:spacing w:val="8"/>
                <w:sz w:val="21"/>
                <w:szCs w:val="21"/>
                <w:shd w:val="clear" w:fill="FFFFFF"/>
                <w:lang w:val="en-US" w:eastAsia="zh-CN"/>
              </w:rPr>
              <w:t>较广</w:t>
            </w:r>
            <w:r>
              <w:rPr>
                <w:rFonts w:hint="eastAsia" w:ascii="宋体" w:hAnsi="宋体" w:eastAsia="宋体" w:cs="宋体"/>
                <w:color w:val="auto"/>
                <w:sz w:val="21"/>
                <w:szCs w:val="21"/>
                <w:highlight w:val="none"/>
                <w:lang w:val="zh-CN" w:eastAsia="zh-CN"/>
              </w:rPr>
              <w:t>；</w:t>
            </w:r>
            <w:bookmarkEnd w:id="738"/>
          </w:p>
          <w:p w14:paraId="654BB5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中</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1-2）</w:t>
            </w:r>
            <w:r>
              <w:rPr>
                <w:rFonts w:hint="eastAsia" w:ascii="宋体" w:hAnsi="宋体" w:eastAsia="宋体" w:cs="宋体"/>
                <w:b/>
                <w:sz w:val="21"/>
                <w:szCs w:val="21"/>
              </w:rPr>
              <w:t>分</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i w:val="0"/>
                <w:iCs w:val="0"/>
                <w:caps w:val="0"/>
                <w:color w:val="auto"/>
                <w:spacing w:val="4"/>
                <w:sz w:val="21"/>
                <w:szCs w:val="21"/>
                <w:highlight w:val="none"/>
                <w:shd w:val="clear" w:fill="FFFFFF"/>
              </w:rPr>
              <w:t>项目团队人数较少，勉强达到最低标准，</w:t>
            </w:r>
            <w:r>
              <w:rPr>
                <w:rFonts w:hint="eastAsia" w:ascii="宋体" w:hAnsi="宋体" w:eastAsia="宋体" w:cs="宋体"/>
                <w:i w:val="0"/>
                <w:iCs w:val="0"/>
                <w:caps w:val="0"/>
                <w:spacing w:val="8"/>
                <w:sz w:val="21"/>
                <w:szCs w:val="21"/>
                <w:shd w:val="clear" w:fill="FFFFFF"/>
              </w:rPr>
              <w:t>团队专业资质与经验</w:t>
            </w:r>
            <w:r>
              <w:rPr>
                <w:rFonts w:hint="eastAsia" w:ascii="宋体" w:hAnsi="宋体" w:eastAsia="宋体" w:cs="宋体"/>
                <w:i w:val="0"/>
                <w:iCs w:val="0"/>
                <w:caps w:val="0"/>
                <w:spacing w:val="8"/>
                <w:sz w:val="21"/>
                <w:szCs w:val="21"/>
                <w:shd w:val="clear" w:fill="FFFFFF"/>
                <w:lang w:val="en-US" w:eastAsia="zh-CN"/>
              </w:rPr>
              <w:t>一般，</w:t>
            </w:r>
            <w:r>
              <w:rPr>
                <w:rFonts w:hint="eastAsia" w:ascii="宋体" w:hAnsi="宋体" w:eastAsia="宋体" w:cs="宋体"/>
                <w:color w:val="auto"/>
                <w:sz w:val="21"/>
                <w:szCs w:val="21"/>
                <w:highlight w:val="none"/>
                <w:lang w:val="en-US" w:eastAsia="zh-CN"/>
                <w:woUserID w:val="1"/>
              </w:rPr>
              <w:t>团队人数为4-5人；具有5年或以上债券</w:t>
            </w:r>
            <w:r>
              <w:rPr>
                <w:rFonts w:hint="eastAsia" w:ascii="宋体" w:hAnsi="宋体" w:eastAsia="宋体" w:cs="宋体"/>
                <w:color w:val="auto"/>
                <w:sz w:val="21"/>
                <w:szCs w:val="21"/>
                <w:highlight w:val="none"/>
                <w:lang w:val="en-US" w:eastAsia="zh"/>
                <w:woUserID w:val="1"/>
              </w:rPr>
              <w:t>承销业务</w:t>
            </w:r>
            <w:r>
              <w:rPr>
                <w:rFonts w:hint="eastAsia" w:ascii="宋体" w:hAnsi="宋体" w:eastAsia="宋体" w:cs="宋体"/>
                <w:color w:val="auto"/>
                <w:sz w:val="21"/>
                <w:szCs w:val="21"/>
                <w:highlight w:val="none"/>
                <w:lang w:val="en-US" w:eastAsia="zh-CN"/>
                <w:woUserID w:val="1"/>
              </w:rPr>
              <w:t>经验人员2人；销售网络</w:t>
            </w:r>
            <w:r>
              <w:rPr>
                <w:rFonts w:hint="eastAsia" w:ascii="宋体" w:hAnsi="宋体" w:eastAsia="宋体" w:cs="宋体"/>
                <w:color w:val="auto"/>
                <w:sz w:val="21"/>
                <w:szCs w:val="21"/>
                <w:highlight w:val="none"/>
                <w:lang w:val="en-US" w:eastAsia="zh"/>
                <w:woUserID w:val="1"/>
              </w:rPr>
              <w:t>资源</w:t>
            </w:r>
            <w:r>
              <w:rPr>
                <w:rFonts w:hint="eastAsia" w:ascii="宋体" w:hAnsi="宋体" w:eastAsia="宋体" w:cs="宋体"/>
                <w:color w:val="auto"/>
                <w:sz w:val="21"/>
                <w:szCs w:val="21"/>
                <w:highlight w:val="none"/>
                <w:lang w:val="en-US" w:eastAsia="zh-CN"/>
                <w:woUserID w:val="1"/>
              </w:rPr>
              <w:t>尚可，</w:t>
            </w:r>
            <w:r>
              <w:rPr>
                <w:rFonts w:hint="eastAsia" w:ascii="宋体" w:hAnsi="宋体" w:eastAsia="宋体" w:cs="宋体"/>
                <w:i w:val="0"/>
                <w:iCs w:val="0"/>
                <w:caps w:val="0"/>
                <w:spacing w:val="8"/>
                <w:sz w:val="21"/>
                <w:szCs w:val="21"/>
                <w:shd w:val="clear" w:fill="FFFFFF"/>
              </w:rPr>
              <w:t>销售资源覆盖</w:t>
            </w:r>
            <w:r>
              <w:rPr>
                <w:rFonts w:hint="eastAsia" w:ascii="宋体" w:hAnsi="宋体" w:eastAsia="宋体" w:cs="宋体"/>
                <w:i w:val="0"/>
                <w:iCs w:val="0"/>
                <w:caps w:val="0"/>
                <w:spacing w:val="8"/>
                <w:sz w:val="21"/>
                <w:szCs w:val="21"/>
                <w:shd w:val="clear" w:fill="FFFFFF"/>
                <w:lang w:val="en-US" w:eastAsia="zh-CN"/>
              </w:rPr>
              <w:t>程</w:t>
            </w:r>
            <w:r>
              <w:rPr>
                <w:rFonts w:hint="eastAsia" w:ascii="宋体" w:hAnsi="宋体" w:eastAsia="宋体" w:cs="宋体"/>
                <w:i w:val="0"/>
                <w:iCs w:val="0"/>
                <w:caps w:val="0"/>
                <w:spacing w:val="8"/>
                <w:sz w:val="21"/>
                <w:szCs w:val="21"/>
                <w:shd w:val="clear" w:fill="FFFFFF"/>
              </w:rPr>
              <w:t>度</w:t>
            </w:r>
            <w:r>
              <w:rPr>
                <w:rFonts w:hint="eastAsia" w:ascii="宋体" w:hAnsi="宋体" w:eastAsia="宋体" w:cs="宋体"/>
                <w:i w:val="0"/>
                <w:iCs w:val="0"/>
                <w:caps w:val="0"/>
                <w:spacing w:val="8"/>
                <w:sz w:val="21"/>
                <w:szCs w:val="21"/>
                <w:shd w:val="clear" w:fill="FFFFFF"/>
                <w:lang w:val="en-US" w:eastAsia="zh-CN"/>
              </w:rPr>
              <w:t>一般</w:t>
            </w:r>
            <w:r>
              <w:rPr>
                <w:rFonts w:hint="eastAsia" w:ascii="宋体" w:hAnsi="宋体" w:eastAsia="宋体" w:cs="宋体"/>
                <w:color w:val="auto"/>
                <w:sz w:val="21"/>
                <w:szCs w:val="21"/>
                <w:highlight w:val="none"/>
                <w:lang w:val="zh-CN" w:eastAsia="zh-CN"/>
              </w:rPr>
              <w:t>；</w:t>
            </w:r>
          </w:p>
          <w:p w14:paraId="63F0CA8B">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lang w:val="zh-CN" w:eastAsia="zh-CN"/>
              </w:rPr>
            </w:pPr>
            <w:bookmarkStart w:id="739" w:name="_Toc30084"/>
            <w:r>
              <w:rPr>
                <w:rFonts w:hint="eastAsia" w:ascii="宋体" w:hAnsi="宋体" w:eastAsia="宋体" w:cs="宋体"/>
                <w:b/>
                <w:bCs/>
                <w:color w:val="auto"/>
                <w:sz w:val="21"/>
                <w:szCs w:val="21"/>
                <w:highlight w:val="none"/>
                <w:lang w:val="en-US" w:eastAsia="zh-CN"/>
              </w:rPr>
              <w:t>差</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0-1）</w:t>
            </w:r>
            <w:r>
              <w:rPr>
                <w:rFonts w:hint="eastAsia" w:ascii="宋体" w:hAnsi="宋体" w:eastAsia="宋体" w:cs="宋体"/>
                <w:b/>
                <w:sz w:val="21"/>
                <w:szCs w:val="21"/>
              </w:rPr>
              <w:t>分</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i w:val="0"/>
                <w:iCs w:val="0"/>
                <w:caps w:val="0"/>
                <w:color w:val="auto"/>
                <w:spacing w:val="4"/>
                <w:sz w:val="21"/>
                <w:szCs w:val="21"/>
                <w:highlight w:val="none"/>
                <w:shd w:val="clear" w:fill="FFFFFF"/>
              </w:rPr>
              <w:t>人员</w:t>
            </w:r>
            <w:r>
              <w:rPr>
                <w:rFonts w:hint="eastAsia" w:ascii="宋体" w:hAnsi="宋体" w:eastAsia="宋体" w:cs="宋体"/>
                <w:i w:val="0"/>
                <w:iCs w:val="0"/>
                <w:caps w:val="0"/>
                <w:color w:val="auto"/>
                <w:spacing w:val="4"/>
                <w:sz w:val="21"/>
                <w:szCs w:val="21"/>
                <w:highlight w:val="none"/>
                <w:shd w:val="clear" w:fill="FFFFFF"/>
                <w:lang w:val="en-US" w:eastAsia="zh-CN"/>
              </w:rPr>
              <w:t>配置</w:t>
            </w:r>
            <w:r>
              <w:rPr>
                <w:rFonts w:hint="eastAsia" w:ascii="宋体" w:hAnsi="宋体" w:eastAsia="宋体" w:cs="宋体"/>
                <w:i w:val="0"/>
                <w:iCs w:val="0"/>
                <w:caps w:val="0"/>
                <w:color w:val="auto"/>
                <w:spacing w:val="4"/>
                <w:sz w:val="21"/>
                <w:szCs w:val="21"/>
                <w:highlight w:val="none"/>
                <w:shd w:val="clear" w:fill="FFFFFF"/>
              </w:rPr>
              <w:t>严重不足，</w:t>
            </w:r>
            <w:r>
              <w:rPr>
                <w:rFonts w:hint="eastAsia" w:ascii="宋体" w:hAnsi="宋体" w:eastAsia="宋体" w:cs="宋体"/>
                <w:i w:val="0"/>
                <w:iCs w:val="0"/>
                <w:caps w:val="0"/>
                <w:spacing w:val="8"/>
                <w:sz w:val="21"/>
                <w:szCs w:val="21"/>
                <w:shd w:val="clear" w:fill="FFFFFF"/>
              </w:rPr>
              <w:t>团队专业资质与经验</w:t>
            </w:r>
            <w:r>
              <w:rPr>
                <w:rFonts w:hint="eastAsia" w:ascii="宋体" w:hAnsi="宋体" w:eastAsia="宋体" w:cs="宋体"/>
                <w:i w:val="0"/>
                <w:iCs w:val="0"/>
                <w:caps w:val="0"/>
                <w:spacing w:val="8"/>
                <w:sz w:val="21"/>
                <w:szCs w:val="21"/>
                <w:shd w:val="clear" w:fill="FFFFFF"/>
                <w:lang w:val="en-US" w:eastAsia="zh-CN"/>
              </w:rPr>
              <w:t>不足，</w:t>
            </w:r>
            <w:r>
              <w:rPr>
                <w:rFonts w:hint="eastAsia" w:ascii="宋体" w:hAnsi="宋体" w:eastAsia="宋体" w:cs="宋体"/>
                <w:color w:val="auto"/>
                <w:sz w:val="21"/>
                <w:szCs w:val="21"/>
                <w:highlight w:val="none"/>
                <w:lang w:val="en-US" w:eastAsia="zh-CN"/>
                <w:woUserID w:val="1"/>
              </w:rPr>
              <w:t>团队人数＜4人；具有5年或以上债券</w:t>
            </w:r>
            <w:r>
              <w:rPr>
                <w:rFonts w:hint="eastAsia" w:ascii="宋体" w:hAnsi="宋体" w:eastAsia="宋体" w:cs="宋体"/>
                <w:color w:val="auto"/>
                <w:sz w:val="21"/>
                <w:szCs w:val="21"/>
                <w:highlight w:val="none"/>
                <w:lang w:val="en-US" w:eastAsia="zh"/>
                <w:woUserID w:val="1"/>
              </w:rPr>
              <w:t>承销业务</w:t>
            </w:r>
            <w:r>
              <w:rPr>
                <w:rFonts w:hint="eastAsia" w:ascii="宋体" w:hAnsi="宋体" w:eastAsia="宋体" w:cs="宋体"/>
                <w:color w:val="auto"/>
                <w:sz w:val="21"/>
                <w:szCs w:val="21"/>
                <w:highlight w:val="none"/>
                <w:lang w:val="en-US" w:eastAsia="zh-CN"/>
                <w:woUserID w:val="1"/>
              </w:rPr>
              <w:t>经验人员＜2人；销售网络</w:t>
            </w:r>
            <w:r>
              <w:rPr>
                <w:rFonts w:hint="eastAsia" w:ascii="宋体" w:hAnsi="宋体" w:eastAsia="宋体" w:cs="宋体"/>
                <w:color w:val="auto"/>
                <w:sz w:val="21"/>
                <w:szCs w:val="21"/>
                <w:highlight w:val="none"/>
                <w:lang w:val="en-US" w:eastAsia="zh"/>
                <w:woUserID w:val="1"/>
              </w:rPr>
              <w:t>资源</w:t>
            </w:r>
            <w:r>
              <w:rPr>
                <w:rFonts w:hint="eastAsia" w:ascii="宋体" w:hAnsi="宋体" w:eastAsia="宋体" w:cs="宋体"/>
                <w:color w:val="auto"/>
                <w:sz w:val="21"/>
                <w:szCs w:val="21"/>
                <w:highlight w:val="none"/>
                <w:lang w:val="en-US" w:eastAsia="zh-CN"/>
                <w:woUserID w:val="1"/>
              </w:rPr>
              <w:t>差，</w:t>
            </w:r>
            <w:r>
              <w:rPr>
                <w:rFonts w:hint="eastAsia" w:ascii="宋体" w:hAnsi="宋体" w:eastAsia="宋体" w:cs="宋体"/>
                <w:i w:val="0"/>
                <w:iCs w:val="0"/>
                <w:caps w:val="0"/>
                <w:spacing w:val="8"/>
                <w:sz w:val="21"/>
                <w:szCs w:val="21"/>
                <w:shd w:val="clear" w:fill="FFFFFF"/>
              </w:rPr>
              <w:t>销售资源覆盖</w:t>
            </w:r>
            <w:r>
              <w:rPr>
                <w:rFonts w:hint="eastAsia" w:ascii="宋体" w:hAnsi="宋体" w:eastAsia="宋体" w:cs="宋体"/>
                <w:i w:val="0"/>
                <w:iCs w:val="0"/>
                <w:caps w:val="0"/>
                <w:spacing w:val="8"/>
                <w:sz w:val="21"/>
                <w:szCs w:val="21"/>
                <w:shd w:val="clear" w:fill="FFFFFF"/>
                <w:lang w:val="en-US" w:eastAsia="zh-CN"/>
              </w:rPr>
              <w:t>程</w:t>
            </w:r>
            <w:r>
              <w:rPr>
                <w:rFonts w:hint="eastAsia" w:ascii="宋体" w:hAnsi="宋体" w:eastAsia="宋体" w:cs="宋体"/>
                <w:i w:val="0"/>
                <w:iCs w:val="0"/>
                <w:caps w:val="0"/>
                <w:spacing w:val="8"/>
                <w:sz w:val="21"/>
                <w:szCs w:val="21"/>
                <w:shd w:val="clear" w:fill="FFFFFF"/>
              </w:rPr>
              <w:t>度</w:t>
            </w:r>
            <w:r>
              <w:rPr>
                <w:rFonts w:hint="eastAsia" w:ascii="宋体" w:hAnsi="宋体" w:eastAsia="宋体" w:cs="宋体"/>
                <w:i w:val="0"/>
                <w:iCs w:val="0"/>
                <w:caps w:val="0"/>
                <w:spacing w:val="8"/>
                <w:sz w:val="21"/>
                <w:szCs w:val="21"/>
                <w:shd w:val="clear" w:fill="FFFFFF"/>
                <w:lang w:val="en-US" w:eastAsia="zh-CN"/>
              </w:rPr>
              <w:t>差</w:t>
            </w:r>
            <w:r>
              <w:rPr>
                <w:rFonts w:hint="eastAsia" w:ascii="宋体" w:hAnsi="宋体" w:eastAsia="宋体" w:cs="宋体"/>
                <w:color w:val="auto"/>
                <w:sz w:val="21"/>
                <w:szCs w:val="21"/>
                <w:highlight w:val="none"/>
                <w:lang w:val="zh-CN" w:eastAsia="zh-CN"/>
              </w:rPr>
              <w:t>。</w:t>
            </w:r>
            <w:bookmarkEnd w:id="739"/>
          </w:p>
          <w:p w14:paraId="110FBDF0">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备注：团队人员须同时提供①身份证扫描件、②人力资源和社会保障部门（或税务部门）出具的投标人2025年2月至2025年7月连续六个月为其缴纳的社保证明扫描件，并加盖投标人公章。</w:t>
            </w:r>
          </w:p>
        </w:tc>
        <w:tc>
          <w:tcPr>
            <w:tcW w:w="437" w:type="pct"/>
            <w:tcBorders>
              <w:top w:val="single" w:color="auto" w:sz="4" w:space="0"/>
              <w:left w:val="single" w:color="auto" w:sz="4" w:space="0"/>
              <w:bottom w:val="single" w:color="auto" w:sz="4" w:space="0"/>
              <w:right w:val="single" w:color="auto" w:sz="4" w:space="0"/>
            </w:tcBorders>
            <w:vAlign w:val="center"/>
          </w:tcPr>
          <w:p w14:paraId="61F416DA">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lang w:val="en-US" w:eastAsia="zh-CN"/>
              </w:rPr>
              <w:t>4分</w:t>
            </w:r>
          </w:p>
        </w:tc>
      </w:tr>
      <w:tr w14:paraId="606B9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bottom w:val="single" w:color="auto" w:sz="4" w:space="0"/>
              <w:right w:val="single" w:color="auto" w:sz="4" w:space="0"/>
            </w:tcBorders>
            <w:vAlign w:val="center"/>
          </w:tcPr>
          <w:p w14:paraId="23AB1BEA">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3</w:t>
            </w:r>
          </w:p>
        </w:tc>
        <w:tc>
          <w:tcPr>
            <w:tcW w:w="546" w:type="pct"/>
            <w:tcBorders>
              <w:top w:val="single" w:color="auto" w:sz="4" w:space="0"/>
              <w:left w:val="single" w:color="auto" w:sz="4" w:space="0"/>
              <w:bottom w:val="single" w:color="auto" w:sz="4" w:space="0"/>
              <w:right w:val="single" w:color="auto" w:sz="4" w:space="0"/>
            </w:tcBorders>
            <w:vAlign w:val="center"/>
          </w:tcPr>
          <w:p w14:paraId="6732660C">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lang w:val="en-US" w:eastAsia="zh-CN"/>
              </w:rPr>
            </w:pPr>
            <w:r>
              <w:rPr>
                <w:rStyle w:val="204"/>
                <w:rFonts w:hint="eastAsia" w:ascii="宋体" w:hAnsi="宋体" w:eastAsia="宋体" w:cs="宋体"/>
                <w:sz w:val="21"/>
                <w:szCs w:val="21"/>
                <w:lang w:val="en-US" w:eastAsia="zh-CN"/>
              </w:rPr>
              <w:t>受托管理费用</w:t>
            </w:r>
          </w:p>
        </w:tc>
        <w:tc>
          <w:tcPr>
            <w:tcW w:w="3692" w:type="pct"/>
            <w:tcBorders>
              <w:top w:val="single" w:color="auto" w:sz="4" w:space="0"/>
              <w:left w:val="single" w:color="auto" w:sz="4" w:space="0"/>
              <w:bottom w:val="single" w:color="auto" w:sz="4" w:space="0"/>
              <w:right w:val="single" w:color="auto" w:sz="4" w:space="0"/>
            </w:tcBorders>
            <w:vAlign w:val="center"/>
          </w:tcPr>
          <w:p w14:paraId="056A4B3C">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Style w:val="204"/>
                <w:rFonts w:hint="eastAsia" w:ascii="宋体" w:hAnsi="宋体" w:eastAsia="宋体" w:cs="宋体"/>
                <w:sz w:val="21"/>
                <w:szCs w:val="21"/>
              </w:rPr>
              <w:t>根据各投标人</w:t>
            </w:r>
            <w:r>
              <w:rPr>
                <w:rStyle w:val="204"/>
                <w:rFonts w:hint="eastAsia" w:ascii="宋体" w:hAnsi="宋体" w:eastAsia="宋体" w:cs="宋体"/>
                <w:sz w:val="21"/>
                <w:szCs w:val="21"/>
                <w:lang w:val="en-US" w:eastAsia="zh-CN"/>
              </w:rPr>
              <w:t>受托管理费用报价</w:t>
            </w:r>
            <w:r>
              <w:rPr>
                <w:rStyle w:val="204"/>
                <w:rFonts w:hint="eastAsia" w:ascii="宋体" w:hAnsi="宋体" w:eastAsia="宋体" w:cs="宋体"/>
                <w:sz w:val="21"/>
                <w:szCs w:val="21"/>
              </w:rPr>
              <w:t>进行评审</w:t>
            </w:r>
            <w:r>
              <w:rPr>
                <w:rStyle w:val="204"/>
                <w:rFonts w:hint="eastAsia" w:ascii="宋体" w:hAnsi="宋体" w:eastAsia="宋体" w:cs="宋体"/>
                <w:sz w:val="21"/>
                <w:szCs w:val="21"/>
                <w:lang w:eastAsia="zh-CN"/>
              </w:rPr>
              <w:t>，</w:t>
            </w:r>
            <w:r>
              <w:rPr>
                <w:rStyle w:val="204"/>
                <w:rFonts w:hint="eastAsia" w:ascii="宋体" w:hAnsi="宋体" w:eastAsia="宋体" w:cs="宋体"/>
                <w:sz w:val="21"/>
                <w:szCs w:val="21"/>
                <w:lang w:val="en-US" w:eastAsia="zh-CN"/>
              </w:rPr>
              <w:t>各投标人的得分</w:t>
            </w:r>
            <w:r>
              <w:rPr>
                <w:rFonts w:hint="eastAsia" w:ascii="宋体" w:hAnsi="宋体" w:eastAsia="宋体" w:cs="宋体"/>
                <w:color w:val="auto"/>
                <w:sz w:val="21"/>
                <w:szCs w:val="21"/>
                <w:highlight w:val="none"/>
                <w:lang w:bidi="ar"/>
              </w:rPr>
              <w:t>=【1-（受托管理费报价/受托管理费</w:t>
            </w:r>
            <w:r>
              <w:rPr>
                <w:rFonts w:hint="eastAsia" w:ascii="宋体" w:hAnsi="宋体" w:eastAsia="宋体" w:cs="宋体"/>
                <w:color w:val="auto"/>
                <w:sz w:val="21"/>
                <w:szCs w:val="21"/>
                <w:highlight w:val="none"/>
                <w:lang w:val="en-US" w:eastAsia="zh-CN" w:bidi="ar"/>
              </w:rPr>
              <w:t>含税</w:t>
            </w:r>
            <w:r>
              <w:rPr>
                <w:rFonts w:hint="eastAsia" w:ascii="宋体" w:hAnsi="宋体" w:eastAsia="宋体" w:cs="宋体"/>
                <w:color w:val="auto"/>
                <w:sz w:val="21"/>
                <w:szCs w:val="21"/>
                <w:highlight w:val="none"/>
                <w:lang w:bidi="ar"/>
              </w:rPr>
              <w:t>最高限价）】×</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w:t>
            </w:r>
          </w:p>
          <w:p w14:paraId="6AD5B03D">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备注：</w:t>
            </w:r>
          </w:p>
          <w:p w14:paraId="5620298C">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1、</w:t>
            </w:r>
            <w:r>
              <w:rPr>
                <w:rFonts w:hint="eastAsia" w:ascii="宋体" w:hAnsi="宋体" w:eastAsia="宋体" w:cs="宋体"/>
                <w:b/>
                <w:bCs/>
                <w:color w:val="auto"/>
                <w:sz w:val="21"/>
                <w:szCs w:val="21"/>
                <w:highlight w:val="none"/>
                <w:lang w:bidi="ar"/>
              </w:rPr>
              <w:t>须提供</w:t>
            </w:r>
            <w:r>
              <w:rPr>
                <w:rFonts w:hint="eastAsia" w:ascii="宋体" w:hAnsi="宋体" w:eastAsia="宋体" w:cs="宋体"/>
                <w:b/>
                <w:bCs/>
                <w:color w:val="auto"/>
                <w:sz w:val="21"/>
                <w:szCs w:val="21"/>
                <w:highlight w:val="none"/>
                <w:lang w:val="en-US" w:eastAsia="zh-CN" w:bidi="ar"/>
              </w:rPr>
              <w:t>受托管理费用报价书</w:t>
            </w:r>
            <w:r>
              <w:rPr>
                <w:rFonts w:hint="eastAsia" w:ascii="宋体" w:hAnsi="宋体" w:eastAsia="宋体" w:cs="宋体"/>
                <w:b/>
                <w:bCs/>
                <w:color w:val="auto"/>
                <w:sz w:val="21"/>
                <w:szCs w:val="21"/>
                <w:highlight w:val="none"/>
                <w:lang w:bidi="ar"/>
              </w:rPr>
              <w:t>加盖投标人公章</w:t>
            </w:r>
            <w:r>
              <w:rPr>
                <w:rFonts w:hint="eastAsia" w:ascii="宋体" w:hAnsi="宋体" w:eastAsia="宋体" w:cs="宋体"/>
                <w:b/>
                <w:bCs/>
                <w:color w:val="auto"/>
                <w:sz w:val="21"/>
                <w:szCs w:val="21"/>
                <w:highlight w:val="none"/>
                <w:lang w:eastAsia="zh-CN" w:bidi="ar"/>
              </w:rPr>
              <w:t>；</w:t>
            </w:r>
          </w:p>
          <w:p w14:paraId="5BD3EB89">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kern w:val="0"/>
                <w:sz w:val="21"/>
                <w:szCs w:val="21"/>
                <w:highlight w:val="none"/>
                <w:lang w:val="en-US" w:eastAsia="zh-CN"/>
                <w14:textFill>
                  <w14:solidFill>
                    <w14:schemeClr w14:val="tx1"/>
                  </w14:solidFill>
                </w14:textFill>
              </w:rPr>
              <w:t>2、</w:t>
            </w:r>
            <w:r>
              <w:rPr>
                <w:rFonts w:hint="eastAsia" w:ascii="宋体" w:hAnsi="宋体" w:eastAsia="宋体" w:cs="宋体"/>
                <w:b/>
                <w:bCs/>
                <w:color w:val="000000" w:themeColor="text1"/>
                <w:kern w:val="0"/>
                <w:sz w:val="21"/>
                <w:szCs w:val="21"/>
                <w:highlight w:val="none"/>
                <w14:textFill>
                  <w14:solidFill>
                    <w14:schemeClr w14:val="tx1"/>
                  </w14:solidFill>
                </w14:textFill>
              </w:rPr>
              <w:t>分数出现小数点，保留小数点后2位，从小数点后第3位四舍五入。</w:t>
            </w:r>
          </w:p>
        </w:tc>
        <w:tc>
          <w:tcPr>
            <w:tcW w:w="437" w:type="pct"/>
            <w:tcBorders>
              <w:top w:val="single" w:color="auto" w:sz="4" w:space="0"/>
              <w:left w:val="single" w:color="auto" w:sz="4" w:space="0"/>
              <w:bottom w:val="single" w:color="auto" w:sz="4" w:space="0"/>
              <w:right w:val="single" w:color="auto" w:sz="4" w:space="0"/>
            </w:tcBorders>
            <w:vAlign w:val="center"/>
          </w:tcPr>
          <w:p w14:paraId="02BFAA4D">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lang w:val="en-US" w:eastAsia="zh-CN"/>
              </w:rPr>
              <w:t>2分</w:t>
            </w:r>
          </w:p>
        </w:tc>
      </w:tr>
      <w:tr w14:paraId="4F0F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vMerge w:val="restart"/>
            <w:tcBorders>
              <w:top w:val="single" w:color="auto" w:sz="4" w:space="0"/>
              <w:left w:val="single" w:color="auto" w:sz="4" w:space="0"/>
              <w:right w:val="single" w:color="auto" w:sz="4" w:space="0"/>
            </w:tcBorders>
            <w:vAlign w:val="center"/>
          </w:tcPr>
          <w:p w14:paraId="7B310EC9">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4</w:t>
            </w:r>
          </w:p>
        </w:tc>
        <w:tc>
          <w:tcPr>
            <w:tcW w:w="546" w:type="pct"/>
            <w:vMerge w:val="restart"/>
            <w:tcBorders>
              <w:top w:val="single" w:color="auto" w:sz="4" w:space="0"/>
              <w:left w:val="single" w:color="auto" w:sz="4" w:space="0"/>
              <w:right w:val="single" w:color="auto" w:sz="4" w:space="0"/>
            </w:tcBorders>
            <w:vAlign w:val="center"/>
          </w:tcPr>
          <w:p w14:paraId="4454975C">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lang w:eastAsia="zh-CN"/>
              </w:rPr>
            </w:pPr>
            <w:r>
              <w:rPr>
                <w:rStyle w:val="204"/>
                <w:rFonts w:hint="eastAsia" w:ascii="宋体" w:hAnsi="宋体" w:eastAsia="宋体" w:cs="宋体"/>
                <w:sz w:val="21"/>
                <w:szCs w:val="21"/>
              </w:rPr>
              <w:t>发行</w:t>
            </w:r>
            <w:r>
              <w:rPr>
                <w:rStyle w:val="204"/>
                <w:rFonts w:hint="eastAsia" w:ascii="宋体" w:hAnsi="宋体" w:eastAsia="宋体" w:cs="宋体"/>
                <w:sz w:val="21"/>
                <w:szCs w:val="21"/>
                <w:lang w:val="en-US" w:eastAsia="zh-CN"/>
              </w:rPr>
              <w:t>方案</w:t>
            </w:r>
          </w:p>
        </w:tc>
        <w:tc>
          <w:tcPr>
            <w:tcW w:w="3692" w:type="pct"/>
            <w:tcBorders>
              <w:top w:val="single" w:color="auto" w:sz="4" w:space="0"/>
              <w:left w:val="single" w:color="auto" w:sz="4" w:space="0"/>
              <w:bottom w:val="single" w:color="auto" w:sz="4" w:space="0"/>
              <w:right w:val="single" w:color="auto" w:sz="4" w:space="0"/>
            </w:tcBorders>
            <w:vAlign w:val="center"/>
          </w:tcPr>
          <w:p w14:paraId="23C0AED1">
            <w:pPr>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根据投标人提供的整体服务方案、存续期服务方案、销售方案及融资成本控制从以下维度进行评审：①整体服务方案的完整性与匹配度；②存续期服务方案的可行性；③销售方案及融资成本控制的合理性。</w:t>
            </w:r>
          </w:p>
          <w:p w14:paraId="3D6E9332">
            <w:pPr>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优[9-11]分：</w:t>
            </w:r>
            <w:r>
              <w:rPr>
                <w:rFonts w:hint="eastAsia" w:ascii="宋体" w:hAnsi="宋体" w:eastAsia="宋体" w:cs="宋体"/>
                <w:b w:val="0"/>
                <w:bCs w:val="0"/>
                <w:color w:val="000000"/>
                <w:kern w:val="2"/>
                <w:sz w:val="21"/>
                <w:szCs w:val="21"/>
                <w:lang w:val="en-US" w:eastAsia="zh-CN" w:bidi="ar-SA"/>
              </w:rPr>
              <w:t>整体方案设计与时间规划完整、合理，工作流程合理，存续期服务方案完备，销售方案及措施细致，融资成本控制非常合理；</w:t>
            </w:r>
          </w:p>
          <w:p w14:paraId="701EDD2B">
            <w:pPr>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良</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6-9）</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val="0"/>
                <w:bCs w:val="0"/>
                <w:color w:val="000000"/>
                <w:kern w:val="2"/>
                <w:sz w:val="21"/>
                <w:szCs w:val="21"/>
                <w:lang w:val="en-US" w:eastAsia="zh-CN" w:bidi="ar-SA"/>
              </w:rPr>
              <w:t>整体方案设计与时间规划较完整、较合理，工作流程较合理，存续期服务方案较完备，销售方案及措施较细致，融资成本控制较合理；</w:t>
            </w:r>
          </w:p>
          <w:p w14:paraId="79543C54">
            <w:pPr>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中</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3-6）</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val="0"/>
                <w:bCs w:val="0"/>
                <w:color w:val="000000"/>
                <w:kern w:val="2"/>
                <w:sz w:val="21"/>
                <w:szCs w:val="21"/>
                <w:lang w:val="en-US" w:eastAsia="zh-CN" w:bidi="ar-SA"/>
              </w:rPr>
              <w:t>整体方案设计与时间规划一般，工作流程存在一定合理，存续期服务方案不完整，销售方案及措施细致度一般，融资成本控制较合理性一般；</w:t>
            </w:r>
          </w:p>
          <w:p w14:paraId="6BDF4C56">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b/>
                <w:bCs/>
                <w:color w:val="000000"/>
                <w:kern w:val="2"/>
                <w:sz w:val="21"/>
                <w:szCs w:val="21"/>
                <w:lang w:val="en-US" w:eastAsia="zh-CN" w:bidi="ar-SA"/>
              </w:rPr>
              <w:t>差</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0-3）</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val="0"/>
                <w:bCs w:val="0"/>
                <w:color w:val="000000"/>
                <w:kern w:val="2"/>
                <w:sz w:val="21"/>
                <w:szCs w:val="21"/>
                <w:lang w:val="en-US" w:eastAsia="zh-CN" w:bidi="ar-SA"/>
              </w:rPr>
              <w:t>整体方案设计与时间规划不清晰，工作流程过不清晰，存续期服务方案过于简单，销售方案及措施不充分，融资成本控制差。</w:t>
            </w:r>
          </w:p>
        </w:tc>
        <w:tc>
          <w:tcPr>
            <w:tcW w:w="437" w:type="pct"/>
            <w:vMerge w:val="restart"/>
            <w:tcBorders>
              <w:top w:val="single" w:color="auto" w:sz="4" w:space="0"/>
              <w:left w:val="single" w:color="auto" w:sz="4" w:space="0"/>
              <w:right w:val="single" w:color="auto" w:sz="4" w:space="0"/>
            </w:tcBorders>
            <w:vAlign w:val="center"/>
          </w:tcPr>
          <w:p w14:paraId="5C40BC22">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lang w:val="en-US" w:eastAsia="zh-CN"/>
              </w:rPr>
              <w:t>11分</w:t>
            </w:r>
          </w:p>
        </w:tc>
      </w:tr>
      <w:tr w14:paraId="1080E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4" w:type="pct"/>
            <w:tcBorders>
              <w:top w:val="single" w:color="auto" w:sz="4" w:space="0"/>
              <w:left w:val="single" w:color="auto" w:sz="4" w:space="0"/>
              <w:right w:val="single" w:color="auto" w:sz="4" w:space="0"/>
            </w:tcBorders>
            <w:vAlign w:val="center"/>
          </w:tcPr>
          <w:p w14:paraId="3F8F9F40">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5</w:t>
            </w:r>
          </w:p>
        </w:tc>
        <w:tc>
          <w:tcPr>
            <w:tcW w:w="546" w:type="pct"/>
            <w:tcBorders>
              <w:top w:val="single" w:color="auto" w:sz="4" w:space="0"/>
              <w:left w:val="single" w:color="auto" w:sz="4" w:space="0"/>
              <w:right w:val="single" w:color="auto" w:sz="4" w:space="0"/>
            </w:tcBorders>
            <w:vAlign w:val="center"/>
          </w:tcPr>
          <w:p w14:paraId="5B2FF874">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rPr>
              <w:t>进度、质量保证措施及服务承诺</w:t>
            </w:r>
          </w:p>
        </w:tc>
        <w:tc>
          <w:tcPr>
            <w:tcW w:w="3692" w:type="pct"/>
            <w:tcBorders>
              <w:top w:val="single" w:color="auto" w:sz="4" w:space="0"/>
              <w:left w:val="single" w:color="auto" w:sz="4" w:space="0"/>
              <w:right w:val="single" w:color="auto" w:sz="4" w:space="0"/>
            </w:tcBorders>
            <w:vAlign w:val="center"/>
          </w:tcPr>
          <w:p w14:paraId="66EE36A6">
            <w:pPr>
              <w:keepNext w:val="0"/>
              <w:keepLines w:val="0"/>
              <w:pageBreakBefore w:val="0"/>
              <w:widowControl w:val="0"/>
              <w:kinsoku/>
              <w:wordWrap/>
              <w:overflowPunct/>
              <w:topLinePunct w:val="0"/>
              <w:bidi w:val="0"/>
              <w:snapToGrid/>
              <w:spacing w:line="360" w:lineRule="auto"/>
              <w:textAlignment w:val="auto"/>
              <w:rPr>
                <w:rStyle w:val="204"/>
                <w:rFonts w:hint="eastAsia" w:ascii="宋体" w:hAnsi="宋体" w:eastAsia="宋体" w:cs="宋体"/>
                <w:b/>
                <w:bCs/>
                <w:sz w:val="21"/>
                <w:szCs w:val="21"/>
              </w:rPr>
            </w:pPr>
            <w:r>
              <w:rPr>
                <w:rStyle w:val="204"/>
                <w:rFonts w:hint="eastAsia" w:ascii="宋体" w:hAnsi="宋体" w:eastAsia="宋体" w:cs="宋体"/>
                <w:b/>
                <w:bCs/>
                <w:sz w:val="21"/>
                <w:szCs w:val="21"/>
              </w:rPr>
              <w:t>对各投标人发行进度计划、服务质量的保证措施及服务承诺从以下维度进行评</w:t>
            </w:r>
            <w:r>
              <w:rPr>
                <w:rStyle w:val="204"/>
                <w:rFonts w:hint="eastAsia" w:ascii="宋体" w:hAnsi="宋体" w:eastAsia="宋体" w:cs="宋体"/>
                <w:b/>
                <w:bCs/>
                <w:sz w:val="21"/>
                <w:szCs w:val="21"/>
                <w:lang w:val="en-US" w:eastAsia="zh-CN"/>
              </w:rPr>
              <w:t>审</w:t>
            </w:r>
            <w:r>
              <w:rPr>
                <w:rStyle w:val="204"/>
                <w:rFonts w:hint="eastAsia" w:ascii="宋体" w:hAnsi="宋体" w:eastAsia="宋体" w:cs="宋体"/>
                <w:b/>
                <w:bCs/>
                <w:sz w:val="21"/>
                <w:szCs w:val="21"/>
              </w:rPr>
              <w:t>：</w:t>
            </w:r>
            <w:r>
              <w:rPr>
                <w:rStyle w:val="204"/>
                <w:rFonts w:hint="eastAsia" w:ascii="宋体" w:hAnsi="宋体" w:eastAsia="宋体" w:cs="宋体"/>
                <w:b/>
                <w:bCs/>
                <w:sz w:val="21"/>
                <w:szCs w:val="21"/>
                <w:lang w:val="en-US" w:eastAsia="zh-CN"/>
              </w:rPr>
              <w:t>①</w:t>
            </w:r>
            <w:r>
              <w:rPr>
                <w:rStyle w:val="204"/>
                <w:rFonts w:hint="eastAsia" w:ascii="宋体" w:hAnsi="宋体" w:eastAsia="宋体" w:cs="宋体"/>
                <w:b/>
                <w:bCs/>
                <w:sz w:val="21"/>
                <w:szCs w:val="21"/>
              </w:rPr>
              <w:t>发行进度计划的合理性与可行性；</w:t>
            </w:r>
            <w:r>
              <w:rPr>
                <w:rStyle w:val="204"/>
                <w:rFonts w:hint="eastAsia" w:ascii="宋体" w:hAnsi="宋体" w:eastAsia="宋体" w:cs="宋体"/>
                <w:b/>
                <w:bCs/>
                <w:sz w:val="21"/>
                <w:szCs w:val="21"/>
                <w:lang w:val="en-US" w:eastAsia="zh-CN"/>
              </w:rPr>
              <w:t>②</w:t>
            </w:r>
            <w:r>
              <w:rPr>
                <w:rStyle w:val="204"/>
                <w:rFonts w:hint="eastAsia" w:ascii="宋体" w:hAnsi="宋体" w:eastAsia="宋体" w:cs="宋体"/>
                <w:b/>
                <w:bCs/>
                <w:sz w:val="21"/>
                <w:szCs w:val="21"/>
              </w:rPr>
              <w:t>服务质量保证措施的全面性与有效性；</w:t>
            </w:r>
            <w:r>
              <w:rPr>
                <w:rStyle w:val="204"/>
                <w:rFonts w:hint="eastAsia" w:ascii="宋体" w:hAnsi="宋体" w:eastAsia="宋体" w:cs="宋体"/>
                <w:b/>
                <w:bCs/>
                <w:sz w:val="21"/>
                <w:szCs w:val="21"/>
                <w:lang w:val="en-US" w:eastAsia="zh-CN"/>
              </w:rPr>
              <w:t>③</w:t>
            </w:r>
            <w:r>
              <w:rPr>
                <w:rStyle w:val="204"/>
                <w:rFonts w:hint="eastAsia" w:ascii="宋体" w:hAnsi="宋体" w:eastAsia="宋体" w:cs="宋体"/>
                <w:b/>
                <w:bCs/>
                <w:sz w:val="21"/>
                <w:szCs w:val="21"/>
              </w:rPr>
              <w:t>服务承诺的明确性。</w:t>
            </w:r>
          </w:p>
          <w:p w14:paraId="10BA1C25">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kern w:val="0"/>
                <w:sz w:val="21"/>
                <w:szCs w:val="21"/>
                <w:highlight w:val="none"/>
                <w:lang w:val="en-US" w:eastAsia="zh-CN"/>
              </w:rPr>
            </w:pPr>
            <w:r>
              <w:rPr>
                <w:rFonts w:hint="eastAsia" w:ascii="宋体" w:hAnsi="宋体" w:eastAsia="宋体" w:cs="宋体"/>
                <w:b/>
                <w:bCs/>
                <w:kern w:val="0"/>
                <w:sz w:val="21"/>
                <w:szCs w:val="21"/>
                <w:highlight w:val="none"/>
                <w:lang w:val="en-US" w:eastAsia="zh-CN"/>
              </w:rPr>
              <w:t>优</w:t>
            </w:r>
            <w:r>
              <w:rPr>
                <w:rFonts w:hint="eastAsia" w:ascii="宋体" w:hAnsi="宋体" w:eastAsia="宋体" w:cs="宋体"/>
                <w:b/>
                <w:bCs/>
                <w:color w:val="000000"/>
                <w:kern w:val="2"/>
                <w:sz w:val="21"/>
                <w:szCs w:val="21"/>
                <w:lang w:val="en-US" w:eastAsia="zh-CN" w:bidi="ar-SA"/>
              </w:rPr>
              <w:t>[6-8]分</w:t>
            </w:r>
            <w:r>
              <w:rPr>
                <w:rFonts w:hint="eastAsia" w:ascii="宋体" w:hAnsi="宋体" w:eastAsia="宋体" w:cs="宋体"/>
                <w:b/>
                <w:bCs/>
                <w:kern w:val="0"/>
                <w:sz w:val="21"/>
                <w:szCs w:val="21"/>
                <w:highlight w:val="none"/>
                <w:lang w:val="en-US" w:eastAsia="zh-CN"/>
              </w:rPr>
              <w:t>：</w:t>
            </w:r>
            <w:r>
              <w:rPr>
                <w:rFonts w:hint="eastAsia" w:ascii="宋体" w:hAnsi="宋体" w:eastAsia="宋体" w:cs="宋体"/>
                <w:b w:val="0"/>
                <w:bCs w:val="0"/>
                <w:kern w:val="0"/>
                <w:sz w:val="21"/>
                <w:szCs w:val="21"/>
                <w:highlight w:val="none"/>
                <w:lang w:val="en-US" w:eastAsia="zh-CN"/>
              </w:rPr>
              <w:t>进度计划详细、合理，关键节点明确，时间安排科学，具备可操作性；保证措施全面、具体，涵盖人员配备、流程控制、质量检查、风险防控等方面，措施有效；服务承诺明确、具体，内容详实，服务标准清晰。</w:t>
            </w:r>
          </w:p>
          <w:p w14:paraId="755F1CAF">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kern w:val="0"/>
                <w:sz w:val="21"/>
                <w:szCs w:val="21"/>
                <w:highlight w:val="none"/>
                <w:lang w:val="en-US" w:eastAsia="zh-CN"/>
              </w:rPr>
            </w:pPr>
            <w:r>
              <w:rPr>
                <w:rFonts w:hint="eastAsia" w:ascii="宋体" w:hAnsi="宋体" w:eastAsia="宋体" w:cs="宋体"/>
                <w:b/>
                <w:bCs/>
                <w:kern w:val="0"/>
                <w:sz w:val="21"/>
                <w:szCs w:val="21"/>
                <w:highlight w:val="none"/>
                <w:lang w:val="en-US" w:eastAsia="zh-CN"/>
              </w:rPr>
              <w:t>良</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4-6）</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bCs/>
                <w:kern w:val="0"/>
                <w:sz w:val="21"/>
                <w:szCs w:val="21"/>
                <w:highlight w:val="none"/>
                <w:lang w:val="en-US" w:eastAsia="zh-CN"/>
              </w:rPr>
              <w:t>：</w:t>
            </w:r>
            <w:r>
              <w:rPr>
                <w:rFonts w:hint="eastAsia" w:ascii="宋体" w:hAnsi="宋体" w:eastAsia="宋体" w:cs="宋体"/>
                <w:b w:val="0"/>
                <w:bCs w:val="0"/>
                <w:kern w:val="0"/>
                <w:sz w:val="21"/>
                <w:szCs w:val="21"/>
                <w:highlight w:val="none"/>
                <w:lang w:val="en-US" w:eastAsia="zh-CN"/>
              </w:rPr>
              <w:t>进度计划较为合理，关键节点较明确，时间安排较科学；进度计划较为合理，关键节点较明确，时间安排较科学，服务承诺较为明确，内容较具体。</w:t>
            </w:r>
          </w:p>
          <w:p w14:paraId="12DC426D">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val="0"/>
                <w:bCs w:val="0"/>
                <w:kern w:val="0"/>
                <w:sz w:val="21"/>
                <w:szCs w:val="21"/>
                <w:highlight w:val="none"/>
                <w:lang w:val="en-US" w:eastAsia="zh-CN"/>
              </w:rPr>
            </w:pPr>
            <w:r>
              <w:rPr>
                <w:rFonts w:hint="eastAsia" w:ascii="宋体" w:hAnsi="宋体" w:eastAsia="宋体" w:cs="宋体"/>
                <w:b/>
                <w:bCs/>
                <w:kern w:val="0"/>
                <w:sz w:val="21"/>
                <w:szCs w:val="21"/>
                <w:highlight w:val="none"/>
                <w:lang w:val="en-US" w:eastAsia="zh-CN"/>
              </w:rPr>
              <w:t>中</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2-4）</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bCs/>
                <w:kern w:val="0"/>
                <w:sz w:val="21"/>
                <w:szCs w:val="21"/>
                <w:highlight w:val="none"/>
                <w:lang w:val="en-US" w:eastAsia="zh-CN"/>
              </w:rPr>
              <w:t>：</w:t>
            </w:r>
            <w:r>
              <w:rPr>
                <w:rFonts w:hint="eastAsia" w:ascii="宋体" w:hAnsi="宋体" w:eastAsia="宋体" w:cs="宋体"/>
                <w:b w:val="0"/>
                <w:bCs w:val="0"/>
                <w:kern w:val="0"/>
                <w:sz w:val="21"/>
                <w:szCs w:val="21"/>
                <w:highlight w:val="none"/>
                <w:lang w:val="en-US" w:eastAsia="zh-CN"/>
              </w:rPr>
              <w:t>进度计划一般，关键节点不够明确，时间安排略显紧张；保证措施一般，仅涵盖部分方面，措施效果有限，服务承诺一般，但内容不够具体。</w:t>
            </w:r>
          </w:p>
          <w:p w14:paraId="381AF50F">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kern w:val="0"/>
                <w:sz w:val="21"/>
                <w:szCs w:val="21"/>
                <w:highlight w:val="none"/>
              </w:rPr>
            </w:pPr>
            <w:r>
              <w:rPr>
                <w:rFonts w:hint="eastAsia" w:ascii="宋体" w:hAnsi="宋体" w:eastAsia="宋体" w:cs="宋体"/>
                <w:b/>
                <w:bCs/>
                <w:kern w:val="0"/>
                <w:sz w:val="21"/>
                <w:szCs w:val="21"/>
                <w:highlight w:val="none"/>
                <w:lang w:val="en-US" w:eastAsia="zh-CN"/>
              </w:rPr>
              <w:t>差</w:t>
            </w:r>
            <w:r>
              <w:rPr>
                <w:rFonts w:hint="eastAsia" w:ascii="宋体" w:hAnsi="宋体" w:eastAsia="宋体" w:cs="宋体"/>
                <w:b/>
                <w:bCs/>
                <w:sz w:val="21"/>
                <w:szCs w:val="21"/>
                <w:lang w:val="zh-CN"/>
              </w:rPr>
              <w:t>[</w:t>
            </w:r>
            <w:r>
              <w:rPr>
                <w:rFonts w:hint="eastAsia" w:ascii="宋体" w:hAnsi="宋体" w:eastAsia="宋体" w:cs="宋体"/>
                <w:b/>
                <w:bCs/>
                <w:sz w:val="21"/>
                <w:szCs w:val="21"/>
                <w:lang w:val="en-US" w:eastAsia="zh-CN"/>
              </w:rPr>
              <w:t>0-2）</w:t>
            </w:r>
            <w:r>
              <w:rPr>
                <w:rFonts w:hint="eastAsia" w:ascii="宋体" w:hAnsi="宋体" w:eastAsia="宋体" w:cs="宋体"/>
                <w:b/>
                <w:bCs/>
                <w:color w:val="000000"/>
                <w:kern w:val="2"/>
                <w:sz w:val="21"/>
                <w:szCs w:val="21"/>
                <w:lang w:val="en-US" w:eastAsia="zh-CN" w:bidi="ar-SA"/>
              </w:rPr>
              <w:t>分</w:t>
            </w:r>
            <w:r>
              <w:rPr>
                <w:rFonts w:hint="eastAsia" w:ascii="宋体" w:hAnsi="宋体" w:eastAsia="宋体" w:cs="宋体"/>
                <w:b/>
                <w:bCs/>
                <w:kern w:val="0"/>
                <w:sz w:val="21"/>
                <w:szCs w:val="21"/>
                <w:highlight w:val="none"/>
                <w:lang w:val="en-US" w:eastAsia="zh-CN"/>
              </w:rPr>
              <w:t>：</w:t>
            </w:r>
            <w:r>
              <w:rPr>
                <w:rFonts w:hint="eastAsia" w:ascii="宋体" w:hAnsi="宋体" w:eastAsia="宋体" w:cs="宋体"/>
                <w:b w:val="0"/>
                <w:bCs w:val="0"/>
                <w:kern w:val="0"/>
                <w:sz w:val="21"/>
                <w:szCs w:val="21"/>
                <w:highlight w:val="none"/>
                <w:lang w:val="en-US" w:eastAsia="zh-CN"/>
              </w:rPr>
              <w:t>进度计划不合理，关键节点缺失，时间安排不科学，保证措施不全面，措施缺乏针对性，效果差。服务承诺不明确，内容空泛。</w:t>
            </w:r>
          </w:p>
        </w:tc>
        <w:tc>
          <w:tcPr>
            <w:tcW w:w="437" w:type="pct"/>
            <w:tcBorders>
              <w:top w:val="single" w:color="auto" w:sz="4" w:space="0"/>
              <w:left w:val="single" w:color="auto" w:sz="4" w:space="0"/>
              <w:right w:val="single" w:color="auto" w:sz="4" w:space="0"/>
            </w:tcBorders>
            <w:vAlign w:val="center"/>
          </w:tcPr>
          <w:p w14:paraId="2317C182">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kern w:val="0"/>
                <w:sz w:val="21"/>
                <w:szCs w:val="21"/>
                <w:highlight w:val="none"/>
              </w:rPr>
            </w:pPr>
            <w:r>
              <w:rPr>
                <w:rStyle w:val="204"/>
                <w:rFonts w:hint="eastAsia" w:ascii="宋体" w:hAnsi="宋体" w:eastAsia="宋体" w:cs="宋体"/>
                <w:sz w:val="21"/>
                <w:szCs w:val="21"/>
                <w:lang w:val="en-US" w:eastAsia="zh-CN"/>
              </w:rPr>
              <w:t>8分</w:t>
            </w:r>
          </w:p>
        </w:tc>
      </w:tr>
    </w:tbl>
    <w:p w14:paraId="5C57AD34">
      <w:pPr>
        <w:autoSpaceDE w:val="0"/>
        <w:autoSpaceDN w:val="0"/>
        <w:adjustRightInd w:val="0"/>
        <w:spacing w:line="360" w:lineRule="auto"/>
        <w:ind w:left="420" w:leftChars="200" w:firstLine="420" w:firstLineChars="200"/>
        <w:rPr>
          <w:rFonts w:hint="eastAsia" w:ascii="宋体" w:hAnsi="宋体" w:eastAsia="宋体" w:cs="宋体"/>
          <w:color w:val="000000"/>
          <w:szCs w:val="24"/>
          <w:highlight w:val="none"/>
          <w:lang w:val="zh-CN"/>
        </w:rPr>
      </w:pPr>
      <w:r>
        <w:rPr>
          <w:rFonts w:hint="eastAsia" w:ascii="宋体" w:hAnsi="宋体" w:eastAsia="宋体" w:cs="宋体"/>
          <w:color w:val="000000"/>
          <w:szCs w:val="24"/>
          <w:highlight w:val="none"/>
          <w:lang w:val="zh-CN"/>
        </w:rPr>
        <w:t>备注：</w:t>
      </w:r>
    </w:p>
    <w:p w14:paraId="1E256B64">
      <w:pPr>
        <w:autoSpaceDE w:val="0"/>
        <w:autoSpaceDN w:val="0"/>
        <w:adjustRightInd w:val="0"/>
        <w:spacing w:line="360" w:lineRule="auto"/>
        <w:ind w:left="420" w:leftChars="200" w:firstLine="420" w:firstLineChars="200"/>
        <w:rPr>
          <w:rFonts w:ascii="宋体" w:hAnsi="宋体" w:eastAsia="宋体" w:cs="宋体"/>
          <w:color w:val="000000"/>
          <w:szCs w:val="24"/>
          <w:highlight w:val="none"/>
          <w:lang w:val="zh-CN"/>
        </w:rPr>
      </w:pPr>
      <w:r>
        <w:rPr>
          <w:rFonts w:hint="eastAsia" w:ascii="宋体" w:hAnsi="宋体" w:eastAsia="宋体" w:cs="宋体"/>
          <w:color w:val="000000"/>
          <w:szCs w:val="24"/>
          <w:highlight w:val="none"/>
          <w:lang w:val="zh-CN"/>
        </w:rPr>
        <w:t>①表中“</w:t>
      </w:r>
      <w:r>
        <w:rPr>
          <w:rFonts w:ascii="宋体" w:hAnsi="宋体" w:eastAsia="宋体" w:cs="宋体"/>
          <w:color w:val="000000"/>
          <w:szCs w:val="24"/>
          <w:highlight w:val="none"/>
          <w:lang w:val="zh-CN"/>
        </w:rPr>
        <w:t>[”代表闭区间，“]”代表闭区间，如[0，1]代表该分数段范围为大于等</w:t>
      </w:r>
      <w:r>
        <w:rPr>
          <w:rFonts w:hint="eastAsia" w:ascii="宋体" w:hAnsi="宋体" w:eastAsia="宋体" w:cs="宋体"/>
          <w:color w:val="000000"/>
          <w:szCs w:val="24"/>
          <w:highlight w:val="none"/>
          <w:lang w:val="zh-CN"/>
        </w:rPr>
        <w:t>于</w:t>
      </w:r>
      <w:r>
        <w:rPr>
          <w:rFonts w:ascii="宋体" w:hAnsi="宋体" w:eastAsia="宋体" w:cs="宋体"/>
          <w:color w:val="000000"/>
          <w:szCs w:val="24"/>
          <w:highlight w:val="none"/>
          <w:lang w:val="zh-CN"/>
        </w:rPr>
        <w:t>0且小于等于1。表中“（”代表开区间，“]”代表闭区间，如（1，2]代表该分数段范</w:t>
      </w:r>
      <w:r>
        <w:rPr>
          <w:rFonts w:hint="eastAsia" w:ascii="宋体" w:hAnsi="宋体" w:eastAsia="宋体" w:cs="宋体"/>
          <w:color w:val="000000"/>
          <w:szCs w:val="24"/>
          <w:highlight w:val="none"/>
          <w:lang w:val="zh-CN"/>
        </w:rPr>
        <w:t>围为大于</w:t>
      </w:r>
      <w:r>
        <w:rPr>
          <w:rFonts w:ascii="宋体" w:hAnsi="宋体" w:eastAsia="宋体" w:cs="宋体"/>
          <w:color w:val="000000"/>
          <w:szCs w:val="24"/>
          <w:highlight w:val="none"/>
          <w:lang w:val="zh-CN"/>
        </w:rPr>
        <w:t>1且小于等于2。</w:t>
      </w:r>
    </w:p>
    <w:p w14:paraId="3CD3AEC6">
      <w:pPr>
        <w:autoSpaceDE w:val="0"/>
        <w:autoSpaceDN w:val="0"/>
        <w:adjustRightInd w:val="0"/>
        <w:spacing w:line="360" w:lineRule="auto"/>
        <w:ind w:left="420" w:leftChars="200" w:firstLine="420" w:firstLineChars="200"/>
        <w:rPr>
          <w:rFonts w:ascii="宋体" w:hAnsi="宋体" w:eastAsia="宋体" w:cs="宋体"/>
          <w:color w:val="000000"/>
          <w:szCs w:val="24"/>
          <w:highlight w:val="none"/>
          <w:lang w:val="zh-CN"/>
        </w:rPr>
      </w:pPr>
      <w:r>
        <w:rPr>
          <w:rFonts w:ascii="宋体" w:hAnsi="宋体" w:eastAsia="宋体" w:cs="宋体"/>
          <w:color w:val="000000"/>
          <w:szCs w:val="24"/>
          <w:highlight w:val="none"/>
          <w:lang w:val="zh-CN"/>
        </w:rPr>
        <w:t>②分数出现小数点，保留小数点后2位，从小数点后第3位四</w:t>
      </w:r>
      <w:r>
        <w:rPr>
          <w:rFonts w:hint="eastAsia" w:ascii="宋体" w:hAnsi="宋体" w:eastAsia="宋体" w:cs="宋体"/>
          <w:color w:val="000000"/>
          <w:szCs w:val="24"/>
          <w:highlight w:val="none"/>
          <w:lang w:val="zh-CN"/>
        </w:rPr>
        <w:t>舍五入。</w:t>
      </w:r>
    </w:p>
    <w:p w14:paraId="724532ED">
      <w:pPr>
        <w:autoSpaceDE w:val="0"/>
        <w:autoSpaceDN w:val="0"/>
        <w:adjustRightInd w:val="0"/>
        <w:spacing w:line="360" w:lineRule="auto"/>
        <w:ind w:left="420" w:leftChars="200" w:firstLine="422" w:firstLineChars="200"/>
        <w:rPr>
          <w:rFonts w:ascii="宋体" w:hAnsi="宋体" w:eastAsia="宋体" w:cs="宋体"/>
          <w:b/>
          <w:color w:val="000000"/>
          <w:szCs w:val="24"/>
          <w:highlight w:val="none"/>
          <w:lang w:val="zh-CN"/>
        </w:rPr>
      </w:pPr>
      <w:r>
        <w:rPr>
          <w:rFonts w:hint="eastAsia" w:ascii="宋体" w:hAnsi="宋体" w:eastAsia="宋体" w:cs="宋体"/>
          <w:b/>
          <w:color w:val="000000"/>
          <w:szCs w:val="24"/>
          <w:highlight w:val="none"/>
          <w:lang w:val="zh-CN"/>
        </w:rPr>
        <w:t>③上述“评分项目”中按“优、良、中、差”区间评审的，若低于该项满分分值</w:t>
      </w:r>
      <w:r>
        <w:rPr>
          <w:rFonts w:ascii="宋体" w:hAnsi="宋体" w:eastAsia="宋体" w:cs="宋体"/>
          <w:b/>
          <w:color w:val="000000"/>
          <w:szCs w:val="24"/>
          <w:highlight w:val="none"/>
          <w:lang w:val="zh-CN"/>
        </w:rPr>
        <w:t>60%时，评标专家需详细填写该项低分的充分理由，例如：该项目内容存在违反国家有关标</w:t>
      </w:r>
      <w:r>
        <w:rPr>
          <w:rFonts w:hint="eastAsia" w:ascii="宋体" w:hAnsi="宋体" w:eastAsia="宋体" w:cs="宋体"/>
          <w:b/>
          <w:color w:val="000000"/>
          <w:szCs w:val="24"/>
          <w:highlight w:val="none"/>
          <w:lang w:val="zh-CN"/>
        </w:rPr>
        <w:t>准和规范或与项目实际不符等原则性问题。</w:t>
      </w:r>
    </w:p>
    <w:p w14:paraId="2A7BD80F">
      <w:pPr>
        <w:autoSpaceDE w:val="0"/>
        <w:autoSpaceDN w:val="0"/>
        <w:adjustRightInd w:val="0"/>
        <w:spacing w:line="360" w:lineRule="auto"/>
        <w:ind w:left="420" w:leftChars="200" w:firstLine="422" w:firstLineChars="200"/>
        <w:rPr>
          <w:rFonts w:ascii="宋体" w:hAnsi="宋体" w:eastAsia="宋体" w:cs="宋体"/>
          <w:color w:val="auto"/>
          <w:kern w:val="0"/>
          <w:szCs w:val="21"/>
          <w:highlight w:val="none"/>
        </w:rPr>
      </w:pPr>
      <w:r>
        <w:rPr>
          <w:rFonts w:hint="eastAsia" w:ascii="宋体" w:hAnsi="宋体" w:eastAsia="宋体" w:cs="宋体"/>
          <w:b/>
          <w:color w:val="auto"/>
          <w:szCs w:val="24"/>
          <w:highlight w:val="none"/>
          <w:lang w:val="en-US" w:eastAsia="zh-CN"/>
        </w:rPr>
        <w:t>④</w:t>
      </w:r>
      <w:r>
        <w:rPr>
          <w:rFonts w:hint="eastAsia" w:ascii="宋体" w:hAnsi="宋体" w:eastAsia="宋体" w:cs="宋体"/>
          <w:b/>
          <w:color w:val="auto"/>
          <w:kern w:val="0"/>
          <w:szCs w:val="21"/>
          <w:highlight w:val="none"/>
          <w:lang w:val="zh-CN"/>
        </w:rPr>
        <w:t>对</w:t>
      </w:r>
      <w:r>
        <w:rPr>
          <w:rFonts w:hint="eastAsia" w:ascii="宋体" w:hAnsi="宋体" w:eastAsia="宋体" w:cs="宋体"/>
          <w:b/>
          <w:color w:val="auto"/>
          <w:kern w:val="0"/>
          <w:szCs w:val="21"/>
          <w:highlight w:val="none"/>
          <w:lang w:val="en-US" w:eastAsia="zh-CN"/>
        </w:rPr>
        <w:t>于各</w:t>
      </w:r>
      <w:r>
        <w:rPr>
          <w:rFonts w:hint="eastAsia" w:ascii="宋体" w:hAnsi="宋体" w:eastAsia="宋体" w:cs="宋体"/>
          <w:b/>
          <w:color w:val="auto"/>
          <w:kern w:val="0"/>
          <w:szCs w:val="21"/>
          <w:highlight w:val="none"/>
          <w:lang w:val="zh-CN"/>
        </w:rPr>
        <w:t>评标委员会成员</w:t>
      </w:r>
      <w:r>
        <w:rPr>
          <w:rFonts w:hint="eastAsia" w:ascii="宋体" w:hAnsi="宋体" w:eastAsia="宋体" w:cs="宋体"/>
          <w:b/>
          <w:color w:val="auto"/>
          <w:kern w:val="0"/>
          <w:szCs w:val="21"/>
          <w:highlight w:val="none"/>
          <w:lang w:val="en-US" w:eastAsia="zh-CN"/>
        </w:rPr>
        <w:t>存在客观分打分不一致时</w:t>
      </w:r>
      <w:r>
        <w:rPr>
          <w:rFonts w:hint="eastAsia" w:ascii="宋体" w:hAnsi="宋体" w:eastAsia="宋体" w:cs="宋体"/>
          <w:b/>
          <w:color w:val="auto"/>
          <w:kern w:val="0"/>
          <w:szCs w:val="21"/>
          <w:highlight w:val="none"/>
          <w:lang w:val="zh-CN"/>
        </w:rPr>
        <w:t>,根据少数服</w:t>
      </w:r>
      <w:r>
        <w:rPr>
          <w:rFonts w:hint="eastAsia" w:ascii="宋体" w:hAnsi="宋体" w:eastAsia="宋体" w:cs="宋体"/>
          <w:b/>
          <w:color w:val="auto"/>
          <w:kern w:val="0"/>
          <w:szCs w:val="21"/>
          <w:highlight w:val="none"/>
          <w:lang w:val="en-US" w:eastAsia="zh-CN"/>
        </w:rPr>
        <w:t>从</w:t>
      </w:r>
      <w:r>
        <w:rPr>
          <w:rFonts w:hint="eastAsia" w:ascii="宋体" w:hAnsi="宋体" w:eastAsia="宋体" w:cs="宋体"/>
          <w:b/>
          <w:color w:val="auto"/>
          <w:kern w:val="0"/>
          <w:szCs w:val="21"/>
          <w:highlight w:val="none"/>
          <w:lang w:val="zh-CN"/>
        </w:rPr>
        <w:t>多数的原则，以记名方式表决</w:t>
      </w:r>
      <w:r>
        <w:rPr>
          <w:rFonts w:hint="eastAsia" w:ascii="宋体" w:hAnsi="宋体" w:eastAsia="宋体" w:cs="宋体"/>
          <w:b/>
          <w:color w:val="auto"/>
          <w:kern w:val="0"/>
          <w:szCs w:val="21"/>
          <w:highlight w:val="none"/>
          <w:lang w:val="en-US" w:eastAsia="zh-CN"/>
        </w:rPr>
        <w:t>确定该项的评分。</w:t>
      </w:r>
    </w:p>
    <w:p w14:paraId="4BCE86E2">
      <w:pPr>
        <w:autoSpaceDE w:val="0"/>
        <w:autoSpaceDN w:val="0"/>
        <w:adjustRightInd w:val="0"/>
        <w:spacing w:line="360" w:lineRule="auto"/>
        <w:ind w:left="0" w:leftChars="0" w:firstLine="0" w:firstLineChars="0"/>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rPr>
        <w:t>（3）价格评分方法</w:t>
      </w:r>
    </w:p>
    <w:p w14:paraId="091056E0">
      <w:pPr>
        <w:spacing w:line="360" w:lineRule="auto"/>
        <w:ind w:left="480" w:firstLine="211" w:firstLineChars="100"/>
        <w:rPr>
          <w:rFonts w:hint="eastAsia" w:ascii="宋体" w:hAnsi="宋体" w:eastAsia="宋体" w:cs="宋体"/>
          <w:b/>
          <w:bCs/>
          <w:color w:val="auto"/>
          <w:kern w:val="0"/>
          <w:szCs w:val="21"/>
          <w:highlight w:val="none"/>
          <w:lang w:val="zh-CN"/>
        </w:rPr>
      </w:pPr>
      <w:r>
        <w:rPr>
          <w:rFonts w:hint="eastAsia" w:ascii="宋体" w:hAnsi="宋体" w:eastAsia="宋体" w:cs="宋体"/>
          <w:b/>
          <w:bCs/>
          <w:color w:val="auto"/>
          <w:kern w:val="0"/>
          <w:szCs w:val="28"/>
          <w:highlight w:val="none"/>
          <w:lang w:val="zh-CN"/>
        </w:rPr>
        <w:t xml:space="preserve">1）经济文件的符合性审查 </w:t>
      </w:r>
    </w:p>
    <w:p w14:paraId="7BB0C537">
      <w:pPr>
        <w:spacing w:line="360" w:lineRule="auto"/>
        <w:ind w:left="420" w:leftChars="200" w:firstLine="420" w:firstLineChars="200"/>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zh-CN"/>
        </w:rPr>
        <w:t>评标委员会对合格的投标人的投标报价，进行详细分析、核准，检查其是否存在计算错误。评标委员会将按照本评标大纲的规定修正计算错误的投标报价，经投标人代表确认后，调整后的价格对投标人具有约束力。</w:t>
      </w:r>
      <w:r>
        <w:rPr>
          <w:rFonts w:hint="eastAsia" w:ascii="宋体" w:hAnsi="宋体" w:eastAsia="宋体" w:cs="宋体"/>
          <w:b/>
          <w:color w:val="auto"/>
          <w:kern w:val="0"/>
          <w:szCs w:val="21"/>
          <w:highlight w:val="none"/>
          <w:u w:val="single"/>
          <w:lang w:val="zh-CN"/>
        </w:rPr>
        <w:t>如果投标人不接受修正后的报价，则其投标将被拒绝，作为无效投标处理</w:t>
      </w:r>
      <w:r>
        <w:rPr>
          <w:rFonts w:hint="eastAsia" w:ascii="宋体" w:hAnsi="宋体" w:eastAsia="宋体" w:cs="宋体"/>
          <w:b/>
          <w:color w:val="auto"/>
          <w:kern w:val="0"/>
          <w:szCs w:val="21"/>
          <w:highlight w:val="none"/>
          <w:lang w:val="zh-CN"/>
        </w:rPr>
        <w:t>。</w:t>
      </w:r>
    </w:p>
    <w:p w14:paraId="41710CA3">
      <w:pPr>
        <w:autoSpaceDE w:val="0"/>
        <w:autoSpaceDN w:val="0"/>
        <w:adjustRightInd w:val="0"/>
        <w:spacing w:line="360" w:lineRule="auto"/>
        <w:ind w:left="420" w:leftChars="200" w:firstLine="420" w:firstLineChars="200"/>
        <w:rPr>
          <w:rFonts w:hint="eastAsia" w:ascii="宋体" w:hAnsi="宋体" w:eastAsia="宋体" w:cs="宋体"/>
          <w:b/>
          <w:szCs w:val="24"/>
          <w:highlight w:val="none"/>
          <w:u w:val="single"/>
          <w:lang w:val="zh-CN"/>
        </w:rPr>
      </w:pPr>
      <w:r>
        <w:rPr>
          <w:rFonts w:hint="eastAsia" w:ascii="宋体" w:hAnsi="宋体" w:eastAsia="宋体" w:cs="宋体"/>
          <w:color w:val="auto"/>
          <w:szCs w:val="24"/>
          <w:highlight w:val="none"/>
          <w:lang w:val="zh-CN"/>
        </w:rPr>
        <w:t>若投标人出现超低报价，</w:t>
      </w:r>
      <w:r>
        <w:rPr>
          <w:rFonts w:hint="eastAsia" w:ascii="宋体" w:hAnsi="宋体" w:eastAsia="宋体" w:cs="宋体"/>
          <w:color w:val="auto"/>
          <w:kern w:val="0"/>
          <w:szCs w:val="21"/>
          <w:highlight w:val="none"/>
        </w:rPr>
        <w:t>有可能影响服务质量和不能诚信履约的，</w:t>
      </w:r>
      <w:r>
        <w:rPr>
          <w:rFonts w:hint="eastAsia" w:ascii="宋体" w:hAnsi="宋体" w:eastAsia="宋体" w:cs="宋体"/>
          <w:color w:val="auto"/>
          <w:szCs w:val="24"/>
          <w:highlight w:val="none"/>
          <w:lang w:val="zh-CN"/>
        </w:rPr>
        <w:t>评标委员会</w:t>
      </w:r>
      <w:r>
        <w:rPr>
          <w:rFonts w:hint="eastAsia" w:ascii="宋体" w:hAnsi="宋体" w:eastAsia="宋体" w:cs="宋体"/>
          <w:color w:val="auto"/>
          <w:kern w:val="0"/>
          <w:szCs w:val="21"/>
          <w:highlight w:val="none"/>
          <w:lang w:val="zh-CN"/>
        </w:rPr>
        <w:t>将要求该投标人作出书面说明并提供相关证明材料，</w:t>
      </w:r>
      <w:r>
        <w:rPr>
          <w:rFonts w:hint="eastAsia" w:ascii="宋体" w:hAnsi="宋体" w:eastAsia="宋体" w:cs="宋体"/>
          <w:color w:val="auto"/>
          <w:szCs w:val="24"/>
          <w:highlight w:val="none"/>
          <w:lang w:val="zh-CN"/>
        </w:rPr>
        <w:t>以确定投标人是否以低于企业成本价报价。</w:t>
      </w:r>
      <w:r>
        <w:rPr>
          <w:rFonts w:hint="eastAsia" w:ascii="宋体" w:hAnsi="宋体" w:eastAsia="宋体" w:cs="宋体"/>
          <w:b/>
          <w:color w:val="auto"/>
          <w:szCs w:val="24"/>
          <w:highlight w:val="none"/>
          <w:u w:val="single"/>
          <w:lang w:val="zh-CN"/>
        </w:rPr>
        <w:t>若投标人不能合理说明或不能提供相关证明材料的，评标委员会将认定其</w:t>
      </w:r>
      <w:r>
        <w:rPr>
          <w:rFonts w:hint="eastAsia" w:ascii="宋体" w:hAnsi="宋体" w:eastAsia="宋体" w:cs="宋体"/>
          <w:b/>
          <w:szCs w:val="24"/>
          <w:highlight w:val="none"/>
          <w:u w:val="single"/>
          <w:lang w:val="zh-CN"/>
        </w:rPr>
        <w:t>投标报价低于成本，同时否决其投标。</w:t>
      </w:r>
    </w:p>
    <w:p w14:paraId="5E2EDD67">
      <w:pPr>
        <w:spacing w:line="360" w:lineRule="auto"/>
        <w:ind w:left="420" w:leftChars="200" w:firstLine="422" w:firstLineChars="200"/>
        <w:rPr>
          <w:rFonts w:hint="eastAsia" w:ascii="宋体" w:hAnsi="宋体" w:eastAsia="宋体" w:cs="宋体"/>
          <w:b/>
          <w:kern w:val="0"/>
          <w:szCs w:val="21"/>
          <w:highlight w:val="none"/>
          <w:lang w:val="zh-CN"/>
        </w:rPr>
      </w:pPr>
      <w:r>
        <w:rPr>
          <w:rFonts w:hint="eastAsia" w:ascii="宋体" w:hAnsi="宋体" w:eastAsia="宋体" w:cs="宋体"/>
          <w:b/>
          <w:kern w:val="0"/>
          <w:szCs w:val="21"/>
          <w:highlight w:val="none"/>
          <w:lang w:val="zh-CN"/>
        </w:rPr>
        <w:t>对是否低于企业成本价报价的事宜有争议的投标文件,评标委员会成员将以记名方式表决,根据少数服</w:t>
      </w:r>
      <w:r>
        <w:rPr>
          <w:rFonts w:hint="eastAsia" w:ascii="宋体" w:hAnsi="宋体" w:eastAsia="宋体" w:cs="宋体"/>
          <w:b/>
          <w:kern w:val="0"/>
          <w:szCs w:val="21"/>
          <w:highlight w:val="none"/>
          <w:lang w:val="en-US" w:eastAsia="zh-CN"/>
        </w:rPr>
        <w:t>从</w:t>
      </w:r>
      <w:r>
        <w:rPr>
          <w:rFonts w:hint="eastAsia" w:ascii="宋体" w:hAnsi="宋体" w:eastAsia="宋体" w:cs="宋体"/>
          <w:b/>
          <w:kern w:val="0"/>
          <w:szCs w:val="21"/>
          <w:highlight w:val="none"/>
          <w:lang w:val="zh-CN"/>
        </w:rPr>
        <w:t>多数的原则，获多数表决通过的投标人才有资格进入下一阶段的评审,否则将按无效投标处理。</w:t>
      </w:r>
    </w:p>
    <w:p w14:paraId="696E130B">
      <w:pPr>
        <w:spacing w:line="360" w:lineRule="auto"/>
        <w:ind w:left="480" w:firstLine="211" w:firstLineChars="100"/>
        <w:rPr>
          <w:rFonts w:hint="eastAsia" w:ascii="宋体" w:hAnsi="宋体" w:eastAsia="宋体" w:cs="宋体"/>
          <w:b/>
          <w:bCs/>
          <w:kern w:val="0"/>
          <w:szCs w:val="21"/>
          <w:highlight w:val="none"/>
        </w:rPr>
      </w:pPr>
      <w:r>
        <w:rPr>
          <w:rFonts w:hint="eastAsia" w:ascii="宋体" w:hAnsi="宋体" w:eastAsia="宋体" w:cs="宋体"/>
          <w:b/>
          <w:bCs/>
          <w:kern w:val="0"/>
          <w:szCs w:val="21"/>
          <w:highlight w:val="none"/>
          <w:lang w:val="zh-CN"/>
        </w:rPr>
        <w:t>2）</w:t>
      </w:r>
      <w:r>
        <w:rPr>
          <w:rFonts w:hint="eastAsia" w:ascii="宋体" w:hAnsi="宋体" w:eastAsia="宋体" w:cs="宋体"/>
          <w:b/>
          <w:bCs/>
          <w:kern w:val="0"/>
          <w:szCs w:val="28"/>
          <w:highlight w:val="none"/>
          <w:lang w:val="zh-CN"/>
        </w:rPr>
        <w:t>价格评分</w:t>
      </w:r>
      <w:r>
        <w:rPr>
          <w:rFonts w:hint="eastAsia" w:ascii="宋体" w:hAnsi="宋体" w:eastAsia="宋体" w:cs="宋体"/>
          <w:b/>
          <w:bCs/>
          <w:kern w:val="0"/>
          <w:szCs w:val="21"/>
          <w:highlight w:val="none"/>
        </w:rPr>
        <w:t>：</w:t>
      </w:r>
      <w:r>
        <w:rPr>
          <w:rFonts w:hint="eastAsia" w:ascii="宋体" w:hAnsi="宋体" w:eastAsia="宋体" w:cs="宋体"/>
          <w:b/>
          <w:bCs/>
          <w:kern w:val="0"/>
          <w:szCs w:val="21"/>
          <w:highlight w:val="none"/>
          <w:lang w:val="zh-CN"/>
        </w:rPr>
        <w:t>总分</w:t>
      </w:r>
      <w:r>
        <w:rPr>
          <w:rFonts w:hint="eastAsia" w:ascii="宋体" w:hAnsi="宋体" w:eastAsia="宋体" w:cs="宋体"/>
          <w:b/>
          <w:bCs/>
          <w:kern w:val="0"/>
          <w:szCs w:val="21"/>
          <w:highlight w:val="none"/>
          <w:lang w:val="en-US" w:eastAsia="zh-CN"/>
        </w:rPr>
        <w:t>20</w:t>
      </w:r>
      <w:r>
        <w:rPr>
          <w:rFonts w:hint="eastAsia" w:ascii="宋体" w:hAnsi="宋体" w:eastAsia="宋体" w:cs="宋体"/>
          <w:b/>
          <w:bCs/>
          <w:kern w:val="0"/>
          <w:szCs w:val="21"/>
          <w:highlight w:val="none"/>
          <w:lang w:val="zh-CN"/>
        </w:rPr>
        <w:t>分</w:t>
      </w:r>
    </w:p>
    <w:p w14:paraId="3CF73D4E">
      <w:pPr>
        <w:autoSpaceDN w:val="0"/>
        <w:adjustRightInd w:val="0"/>
        <w:snapToGrid w:val="0"/>
        <w:spacing w:line="360" w:lineRule="auto"/>
        <w:ind w:left="420" w:leftChars="100" w:hanging="210" w:hangingChars="100"/>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rPr>
        <w:t>A、根据有效投标人的投标报价。投标人报价</w:t>
      </w:r>
      <w:r>
        <w:rPr>
          <w:rFonts w:hint="eastAsia" w:ascii="宋体" w:hAnsi="宋体" w:eastAsia="宋体" w:cs="宋体"/>
          <w:kern w:val="0"/>
          <w:szCs w:val="21"/>
          <w:highlight w:val="none"/>
          <w:lang w:val="en-US" w:eastAsia="zh-CN"/>
        </w:rPr>
        <w:t>为最低价的</w:t>
      </w:r>
      <w:r>
        <w:rPr>
          <w:rFonts w:hint="eastAsia" w:ascii="宋体" w:hAnsi="宋体" w:eastAsia="宋体" w:cs="宋体"/>
          <w:kern w:val="0"/>
          <w:szCs w:val="21"/>
          <w:highlight w:val="none"/>
        </w:rPr>
        <w:t>得满分</w:t>
      </w:r>
      <w:r>
        <w:rPr>
          <w:rFonts w:hint="eastAsia" w:ascii="宋体" w:hAnsi="宋体" w:eastAsia="宋体" w:cs="宋体"/>
          <w:kern w:val="0"/>
          <w:szCs w:val="21"/>
          <w:highlight w:val="none"/>
          <w:lang w:val="en-US" w:eastAsia="zh-CN"/>
        </w:rPr>
        <w:t>20</w:t>
      </w:r>
      <w:r>
        <w:rPr>
          <w:rFonts w:hint="eastAsia" w:ascii="宋体" w:hAnsi="宋体" w:eastAsia="宋体" w:cs="宋体"/>
          <w:kern w:val="0"/>
          <w:szCs w:val="21"/>
          <w:highlight w:val="none"/>
        </w:rPr>
        <w:t>分，其他投标人的价格得分统一按照下列公式计算：</w:t>
      </w:r>
      <w:r>
        <w:rPr>
          <w:rFonts w:hint="eastAsia" w:ascii="宋体" w:hAnsi="宋体" w:eastAsia="宋体" w:cs="宋体"/>
          <w:kern w:val="0"/>
          <w:szCs w:val="21"/>
          <w:highlight w:val="none"/>
        </w:rPr>
        <w:br w:type="textWrapping"/>
      </w:r>
      <w:r>
        <w:rPr>
          <w:rFonts w:hint="eastAsia" w:ascii="宋体" w:hAnsi="宋体" w:eastAsia="宋体" w:cs="宋体"/>
          <w:kern w:val="0"/>
          <w:szCs w:val="21"/>
          <w:highlight w:val="none"/>
        </w:rPr>
        <w:t xml:space="preserve">    价格得分=(</w:t>
      </w:r>
      <w:r>
        <w:rPr>
          <w:rFonts w:hint="eastAsia" w:ascii="宋体" w:hAnsi="宋体" w:eastAsia="宋体" w:cs="宋体"/>
          <w:kern w:val="0"/>
          <w:szCs w:val="21"/>
          <w:highlight w:val="none"/>
          <w:lang w:val="en-US" w:eastAsia="zh-CN"/>
        </w:rPr>
        <w:t>报价最低价</w:t>
      </w:r>
      <w:r>
        <w:rPr>
          <w:rFonts w:hint="eastAsia" w:ascii="宋体" w:hAnsi="宋体" w:eastAsia="宋体" w:cs="宋体"/>
          <w:kern w:val="0"/>
          <w:szCs w:val="21"/>
          <w:highlight w:val="none"/>
        </w:rPr>
        <w:t>／投标报价)×</w:t>
      </w:r>
      <w:r>
        <w:rPr>
          <w:rFonts w:hint="eastAsia" w:ascii="宋体" w:hAnsi="宋体" w:eastAsia="宋体" w:cs="宋体"/>
          <w:kern w:val="0"/>
          <w:szCs w:val="21"/>
          <w:highlight w:val="none"/>
          <w:lang w:val="en-US" w:eastAsia="zh-CN"/>
        </w:rPr>
        <w:t>20</w:t>
      </w:r>
    </w:p>
    <w:p w14:paraId="1B3A344F">
      <w:pPr>
        <w:autoSpaceDN w:val="0"/>
        <w:adjustRightInd w:val="0"/>
        <w:snapToGrid w:val="0"/>
        <w:spacing w:line="360" w:lineRule="auto"/>
        <w:ind w:firstLine="210" w:firstLineChars="100"/>
        <w:rPr>
          <w:rFonts w:hint="eastAsia" w:ascii="宋体" w:hAnsi="宋体" w:eastAsia="宋体" w:cs="宋体"/>
          <w:kern w:val="0"/>
          <w:szCs w:val="21"/>
          <w:highlight w:val="none"/>
        </w:rPr>
      </w:pPr>
      <w:r>
        <w:rPr>
          <w:rFonts w:hint="eastAsia" w:ascii="宋体" w:hAnsi="宋体" w:eastAsia="宋体" w:cs="宋体"/>
          <w:kern w:val="0"/>
          <w:szCs w:val="21"/>
          <w:highlight w:val="none"/>
        </w:rPr>
        <w:t>B、分数出现小数点，保留小数点后2位，从小数点后第3位四舍五入。</w:t>
      </w:r>
    </w:p>
    <w:p w14:paraId="7F7B729C">
      <w:pPr>
        <w:tabs>
          <w:tab w:val="left" w:pos="585"/>
        </w:tabs>
        <w:autoSpaceDE w:val="0"/>
        <w:autoSpaceDN w:val="0"/>
        <w:adjustRightInd w:val="0"/>
        <w:spacing w:line="400" w:lineRule="exact"/>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（4）综合得分</w:t>
      </w:r>
    </w:p>
    <w:p w14:paraId="513CB350">
      <w:pPr>
        <w:spacing w:line="400" w:lineRule="exact"/>
        <w:ind w:firstLine="848" w:firstLineChars="404"/>
        <w:rPr>
          <w:rFonts w:hint="eastAsia" w:ascii="宋体" w:hAnsi="宋体" w:eastAsia="宋体" w:cs="宋体"/>
          <w:kern w:val="0"/>
          <w:szCs w:val="28"/>
          <w:highlight w:val="none"/>
          <w:lang w:val="zh-CN"/>
        </w:rPr>
      </w:pPr>
      <w:bookmarkStart w:id="740" w:name="_Toc31624_WPSOffice_Level2"/>
      <w:r>
        <w:rPr>
          <w:rFonts w:hint="eastAsia" w:ascii="宋体" w:hAnsi="宋体" w:eastAsia="宋体" w:cs="宋体"/>
          <w:kern w:val="0"/>
          <w:szCs w:val="28"/>
          <w:highlight w:val="none"/>
          <w:lang w:val="zh-CN"/>
        </w:rPr>
        <w:t>评标总得分=F1＋F2＋……+Fn</w:t>
      </w:r>
      <w:bookmarkEnd w:id="740"/>
    </w:p>
    <w:p w14:paraId="0A9CFA82">
      <w:pPr>
        <w:widowControl/>
        <w:autoSpaceDE w:val="0"/>
        <w:autoSpaceDN w:val="0"/>
        <w:adjustRightInd w:val="0"/>
        <w:spacing w:line="400" w:lineRule="exact"/>
        <w:ind w:firstLine="840" w:firstLineChars="400"/>
        <w:jc w:val="left"/>
        <w:rPr>
          <w:rFonts w:hint="eastAsia" w:ascii="宋体" w:hAnsi="宋体" w:eastAsia="宋体" w:cs="宋体"/>
          <w:kern w:val="0"/>
          <w:szCs w:val="21"/>
          <w:highlight w:val="none"/>
        </w:rPr>
      </w:pPr>
      <w:bookmarkStart w:id="741" w:name="_Toc13236_WPSOffice_Level2"/>
      <w:r>
        <w:rPr>
          <w:rFonts w:hint="eastAsia" w:ascii="宋体" w:hAnsi="宋体" w:eastAsia="宋体" w:cs="宋体"/>
          <w:kern w:val="0"/>
          <w:szCs w:val="21"/>
          <w:highlight w:val="none"/>
        </w:rPr>
        <w:t>F1、F2、……Fn分别为各项评分因素的得分</w:t>
      </w:r>
      <w:bookmarkEnd w:id="741"/>
      <w:r>
        <w:rPr>
          <w:rFonts w:hint="eastAsia" w:ascii="宋体" w:hAnsi="宋体" w:eastAsia="宋体" w:cs="宋体"/>
          <w:kern w:val="0"/>
          <w:szCs w:val="21"/>
          <w:highlight w:val="none"/>
        </w:rPr>
        <w:t>。</w:t>
      </w:r>
    </w:p>
    <w:p w14:paraId="2A0E2A73">
      <w:pPr>
        <w:autoSpaceDE w:val="0"/>
        <w:autoSpaceDN w:val="0"/>
        <w:adjustRightInd w:val="0"/>
        <w:spacing w:line="360" w:lineRule="auto"/>
        <w:ind w:left="564" w:leftChars="1" w:hanging="562" w:hangingChars="200"/>
        <w:rPr>
          <w:rFonts w:hint="eastAsia" w:ascii="宋体" w:hAnsi="宋体" w:eastAsia="宋体" w:cs="宋体"/>
          <w:b/>
          <w:bCs/>
          <w:sz w:val="28"/>
          <w:szCs w:val="28"/>
          <w:highlight w:val="none"/>
        </w:rPr>
      </w:pPr>
    </w:p>
    <w:p w14:paraId="43CFBC00">
      <w:pPr>
        <w:autoSpaceDE w:val="0"/>
        <w:autoSpaceDN w:val="0"/>
        <w:adjustRightInd w:val="0"/>
        <w:spacing w:line="360" w:lineRule="auto"/>
        <w:jc w:val="center"/>
        <w:rPr>
          <w:rFonts w:hint="eastAsia" w:ascii="宋体" w:hAnsi="宋体" w:eastAsia="宋体" w:cs="宋体"/>
          <w:b/>
          <w:bCs/>
          <w:color w:val="auto"/>
          <w:sz w:val="28"/>
          <w:szCs w:val="28"/>
          <w:highlight w:val="none"/>
        </w:rPr>
      </w:pPr>
      <w:bookmarkStart w:id="742" w:name="_Toc518_WPSOffice_Level1"/>
      <w:r>
        <w:rPr>
          <w:rFonts w:hint="eastAsia" w:ascii="宋体" w:hAnsi="宋体" w:eastAsia="宋体" w:cs="宋体"/>
          <w:b/>
          <w:bCs/>
          <w:color w:val="auto"/>
          <w:sz w:val="28"/>
          <w:szCs w:val="28"/>
          <w:highlight w:val="none"/>
          <w:lang w:val="zh-CN"/>
        </w:rPr>
        <w:t>五、推荐中标人</w:t>
      </w:r>
      <w:bookmarkEnd w:id="742"/>
    </w:p>
    <w:p w14:paraId="6E940917">
      <w:pPr>
        <w:autoSpaceDE w:val="0"/>
        <w:autoSpaceDN w:val="0"/>
        <w:adjustRightInd w:val="0"/>
        <w:spacing w:line="360" w:lineRule="auto"/>
        <w:ind w:left="420" w:hanging="420" w:hanging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r>
        <w:rPr>
          <w:rFonts w:hint="eastAsia" w:ascii="宋体" w:hAnsi="宋体" w:eastAsia="宋体" w:cs="Times New Roman"/>
          <w:color w:val="auto"/>
          <w:szCs w:val="24"/>
          <w:highlight w:val="none"/>
          <w:lang w:val="zh-CN"/>
        </w:rPr>
        <w:t>评标委员会按评审后得分由高到低顺序排列</w:t>
      </w:r>
      <w:r>
        <w:rPr>
          <w:rFonts w:hint="eastAsia" w:ascii="宋体" w:hAnsi="宋体" w:eastAsia="宋体" w:cs="Times New Roman"/>
          <w:color w:val="auto"/>
          <w:kern w:val="0"/>
          <w:szCs w:val="21"/>
          <w:highlight w:val="none"/>
        </w:rPr>
        <w:t>，并向招标人推荐最后综合得分最高的</w:t>
      </w:r>
      <w:r>
        <w:rPr>
          <w:rFonts w:hint="eastAsia" w:ascii="宋体" w:hAnsi="宋体" w:eastAsia="宋体" w:cs="Times New Roman"/>
          <w:b/>
          <w:bCs/>
          <w:color w:val="auto"/>
          <w:kern w:val="0"/>
          <w:szCs w:val="21"/>
          <w:highlight w:val="none"/>
        </w:rPr>
        <w:t>前</w:t>
      </w:r>
      <w:r>
        <w:rPr>
          <w:rFonts w:hint="eastAsia" w:ascii="宋体" w:hAnsi="宋体" w:eastAsia="宋体" w:cs="Times New Roman"/>
          <w:b/>
          <w:bCs/>
          <w:color w:val="auto"/>
          <w:kern w:val="0"/>
          <w:szCs w:val="21"/>
          <w:highlight w:val="none"/>
          <w:lang w:val="en-US" w:eastAsia="zh-CN"/>
        </w:rPr>
        <w:t>四</w:t>
      </w:r>
      <w:r>
        <w:rPr>
          <w:rFonts w:hint="eastAsia" w:ascii="宋体" w:hAnsi="宋体" w:eastAsia="宋体" w:cs="Times New Roman"/>
          <w:b/>
          <w:bCs/>
          <w:color w:val="auto"/>
          <w:kern w:val="0"/>
          <w:szCs w:val="21"/>
          <w:highlight w:val="none"/>
        </w:rPr>
        <w:t>名</w:t>
      </w:r>
      <w:r>
        <w:rPr>
          <w:rFonts w:hint="eastAsia" w:ascii="宋体" w:hAnsi="宋体" w:eastAsia="宋体" w:cs="Times New Roman"/>
          <w:color w:val="auto"/>
          <w:kern w:val="0"/>
          <w:szCs w:val="21"/>
          <w:highlight w:val="none"/>
        </w:rPr>
        <w:t>投标人为中标候选人（最后综合得分排名第一为第一中标候选人</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排名第二的为第二中标候选人，以此类推</w:t>
      </w:r>
      <w:r>
        <w:rPr>
          <w:rFonts w:hint="eastAsia" w:ascii="宋体" w:hAnsi="宋体" w:eastAsia="宋体" w:cs="Times New Roman"/>
          <w:color w:val="auto"/>
          <w:kern w:val="0"/>
          <w:szCs w:val="21"/>
          <w:highlight w:val="none"/>
        </w:rPr>
        <w:t>），</w:t>
      </w:r>
      <w:r>
        <w:rPr>
          <w:rFonts w:hint="eastAsia" w:ascii="宋体" w:hAnsi="宋体" w:eastAsia="宋体" w:cs="宋体"/>
          <w:color w:val="auto"/>
          <w:sz w:val="21"/>
          <w:szCs w:val="21"/>
        </w:rPr>
        <w:t>招标人将确定</w:t>
      </w:r>
      <w:r>
        <w:rPr>
          <w:rFonts w:hint="eastAsia" w:ascii="宋体" w:hAnsi="宋体" w:eastAsia="宋体" w:cs="Times New Roman"/>
          <w:color w:val="auto"/>
          <w:kern w:val="0"/>
          <w:szCs w:val="21"/>
          <w:highlight w:val="none"/>
        </w:rPr>
        <w:t>第一</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第二</w:t>
      </w:r>
      <w:r>
        <w:rPr>
          <w:rFonts w:hint="eastAsia" w:ascii="宋体" w:hAnsi="宋体" w:eastAsia="宋体" w:cs="Times New Roman"/>
          <w:color w:val="auto"/>
          <w:kern w:val="0"/>
          <w:szCs w:val="21"/>
          <w:highlight w:val="none"/>
        </w:rPr>
        <w:t>中标候选人</w:t>
      </w:r>
      <w:r>
        <w:rPr>
          <w:rFonts w:hint="eastAsia" w:ascii="宋体" w:hAnsi="宋体" w:eastAsia="宋体" w:cs="Times New Roman"/>
          <w:color w:val="auto"/>
          <w:kern w:val="0"/>
          <w:szCs w:val="21"/>
          <w:highlight w:val="none"/>
          <w:lang w:val="en-US" w:eastAsia="zh-CN"/>
        </w:rPr>
        <w:t>为中标人，</w:t>
      </w:r>
      <w:r>
        <w:rPr>
          <w:rFonts w:hint="eastAsia" w:ascii="宋体" w:hAnsi="宋体" w:eastAsia="宋体" w:cs="宋体"/>
          <w:color w:val="auto"/>
          <w:sz w:val="21"/>
          <w:szCs w:val="21"/>
        </w:rPr>
        <w:t>综合得分第</w:t>
      </w:r>
      <w:r>
        <w:rPr>
          <w:rFonts w:hint="eastAsia" w:ascii="宋体" w:hAnsi="宋体" w:eastAsia="宋体" w:cs="宋体"/>
          <w:color w:val="auto"/>
          <w:sz w:val="21"/>
          <w:szCs w:val="21"/>
          <w:lang w:val="en-US" w:eastAsia="zh-CN"/>
        </w:rPr>
        <w:t>一中标候选人</w:t>
      </w:r>
      <w:r>
        <w:rPr>
          <w:rFonts w:hint="eastAsia" w:ascii="宋体" w:hAnsi="宋体" w:eastAsia="宋体" w:cs="宋体"/>
          <w:color w:val="auto"/>
          <w:sz w:val="21"/>
          <w:szCs w:val="21"/>
        </w:rPr>
        <w:t>为</w:t>
      </w:r>
      <w:r>
        <w:rPr>
          <w:rFonts w:hint="eastAsia" w:ascii="宋体" w:hAnsi="宋体" w:eastAsia="宋体" w:cs="宋体"/>
          <w:color w:val="auto"/>
          <w:sz w:val="21"/>
          <w:szCs w:val="21"/>
          <w:lang w:val="en-US" w:eastAsia="zh-CN"/>
        </w:rPr>
        <w:t>牵头</w:t>
      </w:r>
      <w:r>
        <w:rPr>
          <w:rFonts w:hint="eastAsia" w:ascii="宋体" w:hAnsi="宋体" w:eastAsia="宋体" w:cs="宋体"/>
          <w:color w:val="auto"/>
          <w:sz w:val="21"/>
          <w:szCs w:val="21"/>
        </w:rPr>
        <w:t>主承销商，综合得分第二</w:t>
      </w:r>
      <w:r>
        <w:rPr>
          <w:rFonts w:hint="eastAsia" w:ascii="宋体" w:hAnsi="宋体" w:eastAsia="宋体" w:cs="宋体"/>
          <w:color w:val="auto"/>
          <w:sz w:val="21"/>
          <w:szCs w:val="21"/>
          <w:lang w:val="en-US" w:eastAsia="zh-CN"/>
        </w:rPr>
        <w:t>中标候选人</w:t>
      </w:r>
      <w:r>
        <w:rPr>
          <w:rFonts w:hint="eastAsia" w:ascii="宋体" w:hAnsi="宋体" w:eastAsia="宋体" w:cs="宋体"/>
          <w:color w:val="auto"/>
          <w:sz w:val="21"/>
          <w:szCs w:val="21"/>
        </w:rPr>
        <w:t>为联席主承销商。</w:t>
      </w:r>
    </w:p>
    <w:p w14:paraId="6F4E733E">
      <w:pPr>
        <w:autoSpaceDE w:val="0"/>
        <w:autoSpaceDN w:val="0"/>
        <w:adjustRightInd w:val="0"/>
        <w:spacing w:line="360" w:lineRule="auto"/>
        <w:ind w:left="420" w:leftChars="200" w:firstLine="420" w:firstLineChars="200"/>
        <w:jc w:val="left"/>
        <w:rPr>
          <w:rFonts w:hint="eastAsia" w:ascii="宋体" w:hAnsi="宋体" w:eastAsia="宋体" w:cs="宋体"/>
          <w:color w:val="auto"/>
          <w:kern w:val="0"/>
          <w:szCs w:val="24"/>
          <w:highlight w:val="none"/>
          <w:lang w:val="zh-CN"/>
        </w:rPr>
      </w:pPr>
      <w:r>
        <w:rPr>
          <w:rFonts w:hint="eastAsia" w:ascii="宋体" w:hAnsi="宋体" w:eastAsia="宋体" w:cs="宋体"/>
          <w:color w:val="auto"/>
          <w:kern w:val="0"/>
          <w:szCs w:val="21"/>
          <w:highlight w:val="none"/>
        </w:rPr>
        <w:t>如果有两个或以上的投标人的最后综合得分相同，则在最后综合得分相同的投标人中按投标报价</w:t>
      </w:r>
      <w:r>
        <w:rPr>
          <w:rFonts w:hint="eastAsia" w:ascii="宋体" w:hAnsi="宋体" w:eastAsia="宋体" w:cs="宋体"/>
          <w:color w:val="auto"/>
          <w:kern w:val="0"/>
          <w:szCs w:val="21"/>
          <w:highlight w:val="none"/>
          <w:lang w:val="zh-CN"/>
        </w:rPr>
        <w:t>由低到高顺序排出次序，报价低的排前，报价高的排后。</w:t>
      </w:r>
      <w:r>
        <w:rPr>
          <w:rFonts w:hint="eastAsia" w:ascii="宋体" w:hAnsi="宋体" w:eastAsia="宋体" w:cs="宋体"/>
          <w:color w:val="auto"/>
          <w:kern w:val="0"/>
          <w:szCs w:val="21"/>
          <w:highlight w:val="none"/>
        </w:rPr>
        <w:t>如果出现投标人的最后综合得分及投标报价均相同时，则按技术标的评标得分高低排出次序，得分高的排前，得分低的排后。如果出现投标人的最后综合得分、投标报价及技术标得分均相同时，由评标委员会进行投票，得票多的排名在先。当第一轮投票结果为投标人得票数相同时，再次进行投票，如此类推，直到能确定排序次序为止。</w:t>
      </w:r>
    </w:p>
    <w:p w14:paraId="59B2B3A5">
      <w:pPr>
        <w:widowControl/>
        <w:spacing w:line="360" w:lineRule="auto"/>
        <w:jc w:val="left"/>
        <w:rPr>
          <w:rFonts w:hint="eastAsia" w:ascii="宋体" w:hAnsi="宋体" w:eastAsia="宋体" w:cs="宋体"/>
          <w:kern w:val="0"/>
          <w:szCs w:val="21"/>
          <w:highlight w:val="none"/>
        </w:rPr>
      </w:pPr>
    </w:p>
    <w:p w14:paraId="272894E8">
      <w:pPr>
        <w:autoSpaceDE w:val="0"/>
        <w:autoSpaceDN w:val="0"/>
        <w:adjustRightInd w:val="0"/>
        <w:spacing w:line="360" w:lineRule="auto"/>
        <w:ind w:left="185" w:leftChars="88" w:firstLine="3443" w:firstLineChars="1225"/>
        <w:rPr>
          <w:rFonts w:hint="eastAsia" w:ascii="宋体" w:hAnsi="宋体" w:eastAsia="宋体" w:cs="宋体"/>
          <w:b/>
          <w:bCs/>
          <w:sz w:val="28"/>
          <w:szCs w:val="28"/>
          <w:highlight w:val="none"/>
          <w:lang w:val="zh-CN"/>
        </w:rPr>
      </w:pPr>
      <w:bookmarkStart w:id="743" w:name="_Toc22724_WPSOffice_Level1"/>
      <w:r>
        <w:rPr>
          <w:rFonts w:hint="eastAsia" w:ascii="宋体" w:hAnsi="宋体" w:eastAsia="宋体" w:cs="宋体"/>
          <w:b/>
          <w:bCs/>
          <w:sz w:val="28"/>
          <w:szCs w:val="28"/>
          <w:highlight w:val="none"/>
          <w:lang w:val="zh-CN"/>
        </w:rPr>
        <w:t>六、编写评标报告</w:t>
      </w:r>
      <w:bookmarkEnd w:id="743"/>
    </w:p>
    <w:p w14:paraId="42FE4F51">
      <w:pPr>
        <w:autoSpaceDE w:val="0"/>
        <w:autoSpaceDN w:val="0"/>
        <w:adjustRightInd w:val="0"/>
        <w:spacing w:line="360" w:lineRule="auto"/>
        <w:ind w:left="420" w:hanging="420" w:hangingChars="200"/>
        <w:jc w:val="left"/>
        <w:rPr>
          <w:rFonts w:hint="eastAsia" w:ascii="宋体" w:hAnsi="宋体" w:eastAsia="宋体" w:cs="宋体"/>
          <w:b/>
          <w:bCs/>
          <w:szCs w:val="32"/>
          <w:highlight w:val="none"/>
          <w:lang w:val="zh-CN"/>
        </w:rPr>
      </w:pPr>
      <w:r>
        <w:rPr>
          <w:rFonts w:hint="eastAsia" w:ascii="宋体" w:hAnsi="宋体" w:eastAsia="宋体" w:cs="宋体"/>
          <w:szCs w:val="24"/>
          <w:highlight w:val="none"/>
          <w:lang w:val="zh-CN"/>
        </w:rPr>
        <w:t>14、评标委员会根据评审结果撰写评标报告。评标报告是评标委员会根据全体评标委员会成员签字的原始评审记录和评审结果编写的报告，其主要内容包括：</w:t>
      </w:r>
    </w:p>
    <w:p w14:paraId="22518464">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（1）开标邀请时间、开标日期和地点；</w:t>
      </w:r>
    </w:p>
    <w:p w14:paraId="6C721E80">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（2）投标人名单和评标委员会成员名单；</w:t>
      </w:r>
    </w:p>
    <w:p w14:paraId="387530BC">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（3）开标评审方法和标准；</w:t>
      </w:r>
    </w:p>
    <w:p w14:paraId="2DE2AF0E">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（4）开标评审记录和评审情况及说明，包括投标无效投标人名单及原因；</w:t>
      </w:r>
    </w:p>
    <w:p w14:paraId="118DB6B7">
      <w:pPr>
        <w:autoSpaceDE w:val="0"/>
        <w:autoSpaceDN w:val="0"/>
        <w:adjustRightInd w:val="0"/>
        <w:spacing w:line="360" w:lineRule="auto"/>
        <w:jc w:val="left"/>
        <w:rPr>
          <w:rFonts w:hint="eastAsia" w:ascii="宋体" w:hAnsi="宋体" w:eastAsia="宋体" w:cs="宋体"/>
          <w:kern w:val="0"/>
          <w:szCs w:val="24"/>
          <w:highlight w:val="none"/>
          <w:lang w:val="zh-CN"/>
        </w:rPr>
      </w:pPr>
      <w:r>
        <w:rPr>
          <w:rFonts w:hint="eastAsia" w:ascii="宋体" w:hAnsi="宋体" w:eastAsia="宋体" w:cs="宋体"/>
          <w:kern w:val="0"/>
          <w:szCs w:val="24"/>
          <w:highlight w:val="none"/>
          <w:lang w:val="zh-CN"/>
        </w:rPr>
        <w:t>（5）评审结果和中标候选投标人排序表；</w:t>
      </w:r>
    </w:p>
    <w:p w14:paraId="2A94221B">
      <w:pPr>
        <w:autoSpaceDE w:val="0"/>
        <w:autoSpaceDN w:val="0"/>
        <w:adjustRightInd w:val="0"/>
        <w:spacing w:line="360" w:lineRule="auto"/>
        <w:jc w:val="left"/>
        <w:rPr>
          <w:rFonts w:hint="eastAsia" w:ascii="宋体" w:hAnsi="宋体" w:eastAsia="宋体" w:cs="宋体"/>
          <w:szCs w:val="24"/>
          <w:highlight w:val="none"/>
          <w:lang w:val="zh-CN"/>
        </w:rPr>
      </w:pPr>
      <w:r>
        <w:rPr>
          <w:rFonts w:hint="eastAsia" w:ascii="宋体" w:hAnsi="宋体" w:eastAsia="宋体" w:cs="宋体"/>
          <w:kern w:val="0"/>
          <w:szCs w:val="24"/>
          <w:highlight w:val="none"/>
          <w:lang w:val="zh-CN"/>
        </w:rPr>
        <w:t>（6）评标委员会的推荐</w:t>
      </w:r>
      <w:r>
        <w:rPr>
          <w:rFonts w:hint="eastAsia" w:ascii="宋体" w:hAnsi="宋体" w:eastAsia="宋体" w:cs="宋体"/>
          <w:szCs w:val="24"/>
          <w:highlight w:val="none"/>
          <w:lang w:val="zh-CN"/>
        </w:rPr>
        <w:t>建议。</w:t>
      </w:r>
    </w:p>
    <w:p w14:paraId="3ADC1C06">
      <w:pPr>
        <w:autoSpaceDE w:val="0"/>
        <w:autoSpaceDN w:val="0"/>
        <w:adjustRightInd w:val="0"/>
        <w:spacing w:line="360" w:lineRule="auto"/>
        <w:jc w:val="center"/>
        <w:rPr>
          <w:rFonts w:hint="eastAsia" w:ascii="宋体" w:hAnsi="宋体" w:eastAsia="宋体" w:cs="宋体"/>
          <w:b/>
          <w:bCs/>
          <w:sz w:val="28"/>
          <w:szCs w:val="28"/>
          <w:highlight w:val="none"/>
          <w:lang w:val="zh-CN"/>
        </w:rPr>
      </w:pPr>
    </w:p>
    <w:p w14:paraId="0BE235E0">
      <w:pPr>
        <w:autoSpaceDE w:val="0"/>
        <w:autoSpaceDN w:val="0"/>
        <w:adjustRightInd w:val="0"/>
        <w:spacing w:line="360" w:lineRule="auto"/>
        <w:jc w:val="center"/>
        <w:rPr>
          <w:rFonts w:hint="eastAsia" w:ascii="宋体" w:hAnsi="宋体" w:eastAsia="宋体" w:cs="宋体"/>
          <w:b/>
          <w:bCs/>
          <w:sz w:val="30"/>
          <w:szCs w:val="30"/>
          <w:highlight w:val="none"/>
          <w:lang w:val="zh-CN"/>
        </w:rPr>
      </w:pPr>
      <w:bookmarkStart w:id="744" w:name="_Toc23773_WPSOffice_Level1"/>
      <w:r>
        <w:rPr>
          <w:rFonts w:hint="eastAsia" w:ascii="宋体" w:hAnsi="宋体" w:eastAsia="宋体" w:cs="宋体"/>
          <w:b/>
          <w:bCs/>
          <w:sz w:val="28"/>
          <w:szCs w:val="28"/>
          <w:highlight w:val="none"/>
          <w:lang w:val="zh-CN"/>
        </w:rPr>
        <w:t>七、注意事项</w:t>
      </w:r>
      <w:bookmarkEnd w:id="744"/>
    </w:p>
    <w:p w14:paraId="5DEC5122">
      <w:pPr>
        <w:autoSpaceDE w:val="0"/>
        <w:autoSpaceDN w:val="0"/>
        <w:adjustRightInd w:val="0"/>
        <w:spacing w:line="360" w:lineRule="auto"/>
        <w:ind w:left="420" w:hanging="420" w:hangingChars="200"/>
        <w:rPr>
          <w:rFonts w:hint="eastAsia" w:ascii="宋体" w:hAnsi="宋体" w:eastAsia="宋体" w:cs="宋体"/>
          <w:szCs w:val="24"/>
          <w:highlight w:val="none"/>
          <w:lang w:val="zh-CN"/>
        </w:rPr>
      </w:pPr>
      <w:r>
        <w:rPr>
          <w:rFonts w:hint="eastAsia" w:ascii="宋体" w:hAnsi="宋体" w:eastAsia="宋体" w:cs="宋体"/>
          <w:szCs w:val="24"/>
          <w:highlight w:val="none"/>
          <w:lang w:val="zh-CN"/>
        </w:rPr>
        <w:t>15、为确保评审工作的顺利进行，防止因泄密或其它意外而造成的不良后果及影响，凡参加评审工作的人员都必须认真执行本规定：</w:t>
      </w:r>
    </w:p>
    <w:p w14:paraId="4422F3A5">
      <w:pPr>
        <w:autoSpaceDE w:val="0"/>
        <w:autoSpaceDN w:val="0"/>
        <w:adjustRightInd w:val="0"/>
        <w:spacing w:line="360" w:lineRule="auto"/>
        <w:ind w:left="436" w:leftChars="-59" w:hanging="560" w:hangingChars="267"/>
        <w:rPr>
          <w:rFonts w:hint="eastAsia" w:ascii="宋体" w:hAnsi="宋体" w:eastAsia="宋体" w:cs="宋体"/>
          <w:szCs w:val="24"/>
          <w:highlight w:val="none"/>
          <w:lang w:val="zh-CN"/>
        </w:rPr>
      </w:pPr>
      <w:r>
        <w:rPr>
          <w:rFonts w:hint="eastAsia" w:ascii="宋体" w:hAnsi="宋体" w:eastAsia="宋体" w:cs="宋体"/>
          <w:szCs w:val="24"/>
          <w:highlight w:val="none"/>
          <w:lang w:val="zh-CN"/>
        </w:rPr>
        <w:t>（1）在评审工作期间，所有分发的投标文件、资料等仅限于在评审场所中使用，不得带往其它地方，所有的招标文件、投标文件、资料等一律编号登记；</w:t>
      </w:r>
    </w:p>
    <w:p w14:paraId="02A34217">
      <w:pPr>
        <w:autoSpaceDE w:val="0"/>
        <w:autoSpaceDN w:val="0"/>
        <w:adjustRightInd w:val="0"/>
        <w:spacing w:line="360" w:lineRule="auto"/>
        <w:ind w:left="436" w:leftChars="-59" w:hanging="560" w:hangingChars="267"/>
        <w:rPr>
          <w:rFonts w:hint="eastAsia" w:ascii="宋体" w:hAnsi="宋体" w:eastAsia="宋体" w:cs="宋体"/>
          <w:szCs w:val="24"/>
          <w:highlight w:val="none"/>
          <w:lang w:val="zh-CN"/>
        </w:rPr>
      </w:pPr>
      <w:r>
        <w:rPr>
          <w:rFonts w:hint="eastAsia" w:ascii="宋体" w:hAnsi="宋体" w:eastAsia="宋体" w:cs="宋体"/>
          <w:szCs w:val="24"/>
          <w:highlight w:val="none"/>
          <w:lang w:val="zh-CN"/>
        </w:rPr>
        <w:t>（2）评审人员及工作人员不得在公共场合谈论有关评审内容；</w:t>
      </w:r>
    </w:p>
    <w:p w14:paraId="6F6B4C26">
      <w:pPr>
        <w:autoSpaceDE w:val="0"/>
        <w:autoSpaceDN w:val="0"/>
        <w:adjustRightInd w:val="0"/>
        <w:spacing w:line="360" w:lineRule="auto"/>
        <w:ind w:left="436" w:leftChars="-59" w:hanging="560" w:hangingChars="267"/>
        <w:rPr>
          <w:rFonts w:hint="eastAsia" w:ascii="宋体" w:hAnsi="宋体" w:eastAsia="宋体" w:cs="宋体"/>
          <w:szCs w:val="24"/>
          <w:highlight w:val="none"/>
          <w:lang w:val="zh-CN"/>
        </w:rPr>
      </w:pPr>
      <w:r>
        <w:rPr>
          <w:rFonts w:hint="eastAsia" w:ascii="宋体" w:hAnsi="宋体" w:eastAsia="宋体" w:cs="宋体"/>
          <w:szCs w:val="24"/>
          <w:highlight w:val="none"/>
          <w:lang w:val="zh-CN"/>
        </w:rPr>
        <w:t>（3）评审人员及工作人员不得以书信、电讯、口述等方式将有关评审内容（如资料、投标文件、投标报价、评审方式、评标委员会的决定、评审组织机构、评审人员名单等）披露给未参加评审的任何无关人员，包括上级领导、同级和下级人员，任何与评审无关的人员（包括亲朋好友和同事）不得进入评审场所；</w:t>
      </w:r>
    </w:p>
    <w:p w14:paraId="579CC28A">
      <w:pPr>
        <w:autoSpaceDE w:val="0"/>
        <w:autoSpaceDN w:val="0"/>
        <w:adjustRightInd w:val="0"/>
        <w:spacing w:line="360" w:lineRule="auto"/>
        <w:ind w:left="436" w:leftChars="-59" w:hanging="560" w:hangingChars="267"/>
        <w:rPr>
          <w:rFonts w:hint="eastAsia" w:ascii="宋体" w:hAnsi="宋体" w:eastAsia="宋体" w:cs="宋体"/>
          <w:szCs w:val="24"/>
          <w:highlight w:val="none"/>
          <w:lang w:val="zh-CN"/>
        </w:rPr>
      </w:pPr>
      <w:r>
        <w:rPr>
          <w:rFonts w:hint="eastAsia" w:ascii="宋体" w:hAnsi="宋体" w:eastAsia="宋体" w:cs="宋体"/>
          <w:szCs w:val="24"/>
          <w:highlight w:val="none"/>
          <w:lang w:val="zh-CN"/>
        </w:rPr>
        <w:t>（4）</w:t>
      </w:r>
      <w:r>
        <w:rPr>
          <w:rFonts w:hint="eastAsia" w:ascii="宋体" w:hAnsi="宋体" w:eastAsia="宋体" w:cs="宋体"/>
          <w:color w:val="auto"/>
          <w:szCs w:val="24"/>
          <w:highlight w:val="none"/>
          <w:lang w:val="en-US" w:eastAsia="zh-CN"/>
        </w:rPr>
        <w:t>如有需要举行</w:t>
      </w:r>
      <w:r>
        <w:rPr>
          <w:rFonts w:hint="eastAsia" w:ascii="宋体" w:hAnsi="宋体" w:eastAsia="宋体" w:cs="宋体"/>
          <w:color w:val="auto"/>
          <w:szCs w:val="24"/>
          <w:highlight w:val="none"/>
          <w:lang w:val="zh-CN"/>
        </w:rPr>
        <w:t>澄清会，在举</w:t>
      </w:r>
      <w:r>
        <w:rPr>
          <w:rFonts w:hint="eastAsia" w:ascii="宋体" w:hAnsi="宋体" w:eastAsia="宋体" w:cs="宋体"/>
          <w:szCs w:val="24"/>
          <w:highlight w:val="none"/>
          <w:lang w:val="zh-CN"/>
        </w:rPr>
        <w:t>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14:paraId="540E0127">
      <w:pPr>
        <w:autoSpaceDE w:val="0"/>
        <w:autoSpaceDN w:val="0"/>
        <w:adjustRightInd w:val="0"/>
        <w:spacing w:line="360" w:lineRule="auto"/>
        <w:ind w:left="436" w:leftChars="-59" w:hanging="560" w:hangingChars="267"/>
        <w:rPr>
          <w:rFonts w:hint="eastAsia" w:ascii="宋体" w:hAnsi="宋体" w:eastAsia="宋体" w:cs="宋体"/>
          <w:szCs w:val="24"/>
          <w:highlight w:val="none"/>
          <w:lang w:val="zh-CN"/>
        </w:rPr>
      </w:pPr>
      <w:r>
        <w:rPr>
          <w:rFonts w:hint="eastAsia" w:ascii="宋体" w:hAnsi="宋体" w:eastAsia="宋体" w:cs="宋体"/>
          <w:szCs w:val="24"/>
          <w:highlight w:val="none"/>
          <w:lang w:val="zh-CN"/>
        </w:rPr>
        <w:t>（5）任何评审人员和工作人员不得对外公布评审的一切内容。</w:t>
      </w:r>
    </w:p>
    <w:bookmarkEnd w:id="703"/>
    <w:bookmarkEnd w:id="717"/>
    <w:bookmarkEnd w:id="718"/>
    <w:bookmarkEnd w:id="719"/>
    <w:p w14:paraId="2184D9B3">
      <w:pPr>
        <w:widowControl/>
        <w:jc w:val="left"/>
        <w:rPr>
          <w:rFonts w:hint="eastAsia" w:ascii="宋体" w:hAnsi="宋体" w:eastAsia="宋体" w:cs="宋体"/>
          <w:szCs w:val="24"/>
          <w:highlight w:val="none"/>
          <w:lang w:val="zh-CN"/>
        </w:rPr>
      </w:pPr>
    </w:p>
    <w:sectPr>
      <w:pgSz w:w="12240" w:h="15840"/>
      <w:pgMar w:top="1191" w:right="1737" w:bottom="1191" w:left="1043"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ˎ̥">
    <w:altName w:val="Times New Roman"/>
    <w:panose1 w:val="00000000000000000000"/>
    <w:charset w:val="01"/>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rutigerNext LT Light">
    <w:altName w:val="宋体"/>
    <w:panose1 w:val="00000000000000000000"/>
    <w:charset w:val="86"/>
    <w:family w:val="swiss"/>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42B8">
    <w:pPr>
      <w:pStyle w:val="26"/>
      <w:jc w:val="center"/>
    </w:pPr>
    <w:r>
      <w:rPr>
        <w:rFonts w:hint="eastAsia"/>
      </w:rPr>
      <w:t>第</w:t>
    </w:r>
    <w:r>
      <w:rPr>
        <w:bCs/>
      </w:rPr>
      <w:fldChar w:fldCharType="begin"/>
    </w:r>
    <w:r>
      <w:rPr>
        <w:bCs/>
      </w:rPr>
      <w:instrText xml:space="preserve">PAGE</w:instrText>
    </w:r>
    <w:r>
      <w:rPr>
        <w:bCs/>
      </w:rPr>
      <w:fldChar w:fldCharType="separate"/>
    </w:r>
    <w:r>
      <w:rPr>
        <w:bCs/>
      </w:rPr>
      <w:t>25</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66F42">
    <w:pPr>
      <w:pStyle w:val="26"/>
      <w:jc w:val="center"/>
    </w:pPr>
    <w:r>
      <w:rPr>
        <w:rFonts w:hint="eastAsia"/>
      </w:rPr>
      <w:t>第</w:t>
    </w:r>
    <w:r>
      <w:rPr>
        <w:bCs/>
      </w:rPr>
      <w:fldChar w:fldCharType="begin"/>
    </w:r>
    <w:r>
      <w:rPr>
        <w:bCs/>
      </w:rPr>
      <w:instrText xml:space="preserve">PAGE</w:instrText>
    </w:r>
    <w:r>
      <w:rPr>
        <w:bCs/>
      </w:rPr>
      <w:fldChar w:fldCharType="separate"/>
    </w:r>
    <w:r>
      <w:rPr>
        <w:bCs/>
      </w:rPr>
      <w:t>1</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69</w:t>
    </w:r>
    <w:r>
      <w:rPr>
        <w:bCs/>
      </w:rPr>
      <w:fldChar w:fldCharType="end"/>
    </w:r>
    <w:r>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254B2">
    <w:pPr>
      <w:pStyle w:val="26"/>
      <w:jc w:val="center"/>
    </w:pPr>
    <w:r>
      <w:rPr>
        <w:rFonts w:hint="eastAsia"/>
      </w:rPr>
      <w:t>第</w:t>
    </w:r>
    <w:r>
      <w:rPr>
        <w:bCs/>
      </w:rPr>
      <w:fldChar w:fldCharType="begin"/>
    </w:r>
    <w:r>
      <w:rPr>
        <w:bCs/>
      </w:rPr>
      <w:instrText xml:space="preserve">PAGE</w:instrText>
    </w:r>
    <w:r>
      <w:rPr>
        <w:bCs/>
      </w:rPr>
      <w:fldChar w:fldCharType="separate"/>
    </w:r>
    <w:r>
      <w:rPr>
        <w:bCs/>
      </w:rPr>
      <w:t>40</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40</w:t>
    </w:r>
    <w:r>
      <w:rPr>
        <w:bCs/>
      </w:rPr>
      <w:fldChar w:fldCharType="end"/>
    </w:r>
    <w:r>
      <w:rPr>
        <w:rFonts w:hint="eastAsia"/>
        <w:bCs/>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120E8">
    <w:pPr>
      <w:pStyle w:val="26"/>
      <w:jc w:val="center"/>
    </w:pPr>
    <w:r>
      <w:rPr>
        <w:rFonts w:hint="eastAsia"/>
      </w:rPr>
      <w:t>第</w:t>
    </w:r>
    <w:r>
      <w:rPr>
        <w:bCs/>
      </w:rPr>
      <w:fldChar w:fldCharType="begin"/>
    </w:r>
    <w:r>
      <w:rPr>
        <w:bCs/>
      </w:rPr>
      <w:instrText xml:space="preserve">PAGE</w:instrText>
    </w:r>
    <w:r>
      <w:rPr>
        <w:bCs/>
      </w:rPr>
      <w:fldChar w:fldCharType="separate"/>
    </w:r>
    <w:r>
      <w:rPr>
        <w:bCs/>
      </w:rPr>
      <w:t>49</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49</w:t>
    </w:r>
    <w:r>
      <w:rPr>
        <w:bCs/>
      </w:rPr>
      <w:fldChar w:fldCharType="end"/>
    </w:r>
    <w:r>
      <w:rPr>
        <w:rFonts w:hint="eastAsia"/>
        <w:bCs/>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F7FF9">
    <w:pPr>
      <w:pStyle w:val="26"/>
      <w:jc w:val="center"/>
    </w:pPr>
    <w:r>
      <w:rPr>
        <w:rFonts w:hint="eastAsia"/>
      </w:rPr>
      <w:t>第</w:t>
    </w:r>
    <w:r>
      <w:rPr>
        <w:lang w:val="zh-CN"/>
      </w:rPr>
      <w:t xml:space="preserve"> </w:t>
    </w:r>
    <w:r>
      <w:rPr>
        <w:bCs/>
        <w:sz w:val="24"/>
        <w:szCs w:val="24"/>
      </w:rPr>
      <w:fldChar w:fldCharType="begin"/>
    </w:r>
    <w:r>
      <w:rPr>
        <w:bCs/>
      </w:rPr>
      <w:instrText xml:space="preserve">PAGE</w:instrText>
    </w:r>
    <w:r>
      <w:rPr>
        <w:bCs/>
        <w:sz w:val="24"/>
        <w:szCs w:val="24"/>
      </w:rPr>
      <w:fldChar w:fldCharType="separate"/>
    </w:r>
    <w:r>
      <w:rPr>
        <w:bCs/>
      </w:rPr>
      <w:t>66</w:t>
    </w:r>
    <w:r>
      <w:rPr>
        <w:bCs/>
        <w:sz w:val="24"/>
        <w:szCs w:val="24"/>
      </w:rPr>
      <w:fldChar w:fldCharType="end"/>
    </w:r>
    <w:r>
      <w:rPr>
        <w:lang w:val="zh-CN"/>
      </w:rPr>
      <w:t xml:space="preserve"> </w:t>
    </w:r>
    <w:r>
      <w:rPr>
        <w:rFonts w:hint="eastAsia"/>
        <w:lang w:val="zh-CN"/>
      </w:rPr>
      <w:t>页，共</w:t>
    </w:r>
    <w:r>
      <w:rPr>
        <w:lang w:val="zh-CN"/>
      </w:rPr>
      <w:t xml:space="preserve"> </w:t>
    </w:r>
    <w:r>
      <w:rPr>
        <w:bCs/>
        <w:sz w:val="24"/>
        <w:szCs w:val="24"/>
      </w:rPr>
      <w:fldChar w:fldCharType="begin"/>
    </w:r>
    <w:r>
      <w:rPr>
        <w:bCs/>
      </w:rPr>
      <w:instrText xml:space="preserve">NUMPAGES</w:instrText>
    </w:r>
    <w:r>
      <w:rPr>
        <w:bCs/>
        <w:sz w:val="24"/>
        <w:szCs w:val="24"/>
      </w:rPr>
      <w:fldChar w:fldCharType="separate"/>
    </w:r>
    <w:r>
      <w:rPr>
        <w:bCs/>
      </w:rPr>
      <w:t>68</w:t>
    </w:r>
    <w:r>
      <w:rPr>
        <w:bCs/>
        <w:sz w:val="24"/>
        <w:szCs w:val="24"/>
      </w:rPr>
      <w:fldChar w:fldCharType="end"/>
    </w:r>
    <w:r>
      <w:rPr>
        <w:b/>
        <w:bCs/>
        <w:sz w:val="24"/>
        <w:szCs w:val="24"/>
      </w:rPr>
      <w:t xml:space="preserve"> </w:t>
    </w:r>
    <w:r>
      <w:rPr>
        <w:rFonts w:hint="eastAsia"/>
      </w:rPr>
      <w:t>页</w:t>
    </w:r>
  </w:p>
  <w:p w14:paraId="7C7DF8B0">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8D6FBB"/>
    <w:multiLevelType w:val="multilevel"/>
    <w:tmpl w:val="2F8D6FBB"/>
    <w:lvl w:ilvl="0" w:tentative="0">
      <w:start w:val="1"/>
      <w:numFmt w:val="decimal"/>
      <w:lvlText w:val="%1."/>
      <w:legacy w:legacy="1" w:legacySpace="0" w:legacyIndent="360"/>
      <w:lvlJc w:val="left"/>
      <w:rPr>
        <w:rFonts w:hint="eastAsia" w:ascii="宋体" w:hAnsi="宋体" w:eastAsia="宋体"/>
      </w:rPr>
    </w:lvl>
    <w:lvl w:ilvl="1" w:tentative="0">
      <w:start w:val="5"/>
      <w:numFmt w:val="decimal"/>
      <w:isLgl/>
      <w:lvlText w:val="%1.%2"/>
      <w:lvlJc w:val="left"/>
      <w:pPr>
        <w:tabs>
          <w:tab w:val="left" w:pos="0"/>
        </w:tabs>
        <w:ind w:left="0" w:firstLine="0"/>
      </w:pPr>
      <w:rPr>
        <w:rFonts w:hint="default"/>
      </w:rPr>
    </w:lvl>
    <w:lvl w:ilvl="2" w:tentative="0">
      <w:start w:val="1"/>
      <w:numFmt w:val="decimal"/>
      <w:isLgl/>
      <w:lvlText w:val="%1.%2.%3"/>
      <w:lvlJc w:val="left"/>
      <w:pPr>
        <w:tabs>
          <w:tab w:val="left" w:pos="0"/>
        </w:tabs>
        <w:ind w:left="0" w:firstLine="0"/>
      </w:pPr>
      <w:rPr>
        <w:rFonts w:hint="default"/>
      </w:rPr>
    </w:lvl>
    <w:lvl w:ilvl="3" w:tentative="0">
      <w:start w:val="1"/>
      <w:numFmt w:val="decimal"/>
      <w:isLgl/>
      <w:lvlText w:val="%1.%2.%3.%4"/>
      <w:lvlJc w:val="left"/>
      <w:pPr>
        <w:tabs>
          <w:tab w:val="left" w:pos="0"/>
        </w:tabs>
        <w:ind w:left="0" w:firstLine="0"/>
      </w:pPr>
      <w:rPr>
        <w:rFonts w:hint="default"/>
      </w:rPr>
    </w:lvl>
    <w:lvl w:ilvl="4" w:tentative="0">
      <w:start w:val="1"/>
      <w:numFmt w:val="decimal"/>
      <w:isLgl/>
      <w:lvlText w:val="%1.%2.%3.%4.%5"/>
      <w:lvlJc w:val="left"/>
      <w:pPr>
        <w:tabs>
          <w:tab w:val="left" w:pos="0"/>
        </w:tabs>
        <w:ind w:left="0" w:firstLine="0"/>
      </w:pPr>
      <w:rPr>
        <w:rFonts w:hint="default"/>
      </w:rPr>
    </w:lvl>
    <w:lvl w:ilvl="5" w:tentative="0">
      <w:start w:val="1"/>
      <w:numFmt w:val="decimal"/>
      <w:isLgl/>
      <w:lvlText w:val="%1.%2.%3.%4.%5.%6"/>
      <w:lvlJc w:val="left"/>
      <w:pPr>
        <w:tabs>
          <w:tab w:val="left" w:pos="0"/>
        </w:tabs>
        <w:ind w:left="0" w:firstLine="0"/>
      </w:pPr>
      <w:rPr>
        <w:rFonts w:hint="default"/>
      </w:rPr>
    </w:lvl>
    <w:lvl w:ilvl="6" w:tentative="0">
      <w:start w:val="1"/>
      <w:numFmt w:val="decimal"/>
      <w:isLgl/>
      <w:lvlText w:val="%1.%2.%3.%4.%5.%6.%7"/>
      <w:lvlJc w:val="left"/>
      <w:pPr>
        <w:tabs>
          <w:tab w:val="left" w:pos="0"/>
        </w:tabs>
        <w:ind w:left="0" w:firstLine="0"/>
      </w:pPr>
      <w:rPr>
        <w:rFonts w:hint="default"/>
      </w:rPr>
    </w:lvl>
    <w:lvl w:ilvl="7" w:tentative="0">
      <w:start w:val="1"/>
      <w:numFmt w:val="decimal"/>
      <w:isLgl/>
      <w:lvlText w:val="%1.%2.%3.%4.%5.%6.%7.%8"/>
      <w:lvlJc w:val="left"/>
      <w:pPr>
        <w:tabs>
          <w:tab w:val="left" w:pos="0"/>
        </w:tabs>
        <w:ind w:left="0" w:firstLine="0"/>
      </w:pPr>
      <w:rPr>
        <w:rFonts w:hint="default"/>
      </w:rPr>
    </w:lvl>
    <w:lvl w:ilvl="8" w:tentative="0">
      <w:start w:val="1"/>
      <w:numFmt w:val="decimal"/>
      <w:isLgl/>
      <w:lvlText w:val="%1.%2.%3.%4.%5.%6.%7.%8.%9"/>
      <w:lvlJc w:val="left"/>
      <w:pPr>
        <w:tabs>
          <w:tab w:val="left" w:pos="0"/>
        </w:tabs>
        <w:ind w:left="0" w:firstLine="0"/>
      </w:pPr>
      <w:rPr>
        <w:rFonts w:hint="default"/>
      </w:rPr>
    </w:lvl>
  </w:abstractNum>
  <w:abstractNum w:abstractNumId="1">
    <w:nsid w:val="391A286E"/>
    <w:multiLevelType w:val="singleLevel"/>
    <w:tmpl w:val="391A286E"/>
    <w:lvl w:ilvl="0" w:tentative="0">
      <w:start w:val="6"/>
      <w:numFmt w:val="chineseCounting"/>
      <w:suff w:val="space"/>
      <w:lvlText w:val="第%1篇"/>
      <w:lvlJc w:val="left"/>
      <w:rPr>
        <w:rFonts w:hint="eastAsia"/>
      </w:rPr>
    </w:lvl>
  </w:abstractNum>
  <w:abstractNum w:abstractNumId="2">
    <w:nsid w:val="442A3BA7"/>
    <w:multiLevelType w:val="multilevel"/>
    <w:tmpl w:val="442A3BA7"/>
    <w:lvl w:ilvl="0" w:tentative="0">
      <w:start w:val="1"/>
      <w:numFmt w:val="decimal"/>
      <w:lvlText w:val="%1"/>
      <w:lvlJc w:val="left"/>
      <w:pPr>
        <w:ind w:left="360" w:hanging="36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zZDFmYWE3YTY0ZjdjODg3NWJlYzQ1MzZmOTgxY2EifQ=="/>
  </w:docVars>
  <w:rsids>
    <w:rsidRoot w:val="001E63B6"/>
    <w:rsid w:val="000011AE"/>
    <w:rsid w:val="00004430"/>
    <w:rsid w:val="00006AEC"/>
    <w:rsid w:val="00015A2E"/>
    <w:rsid w:val="000245A6"/>
    <w:rsid w:val="0002570D"/>
    <w:rsid w:val="00027708"/>
    <w:rsid w:val="00035595"/>
    <w:rsid w:val="00040BE6"/>
    <w:rsid w:val="00040F92"/>
    <w:rsid w:val="00046C4B"/>
    <w:rsid w:val="00052FA1"/>
    <w:rsid w:val="00054A52"/>
    <w:rsid w:val="00054D9C"/>
    <w:rsid w:val="000622F9"/>
    <w:rsid w:val="000640CD"/>
    <w:rsid w:val="000768C6"/>
    <w:rsid w:val="000770B9"/>
    <w:rsid w:val="0008097F"/>
    <w:rsid w:val="00084D8D"/>
    <w:rsid w:val="000853A8"/>
    <w:rsid w:val="00086BE3"/>
    <w:rsid w:val="00094AF8"/>
    <w:rsid w:val="000A31BD"/>
    <w:rsid w:val="000A34F7"/>
    <w:rsid w:val="000A65CD"/>
    <w:rsid w:val="000A73D7"/>
    <w:rsid w:val="000B4B09"/>
    <w:rsid w:val="000C1661"/>
    <w:rsid w:val="000C18B7"/>
    <w:rsid w:val="000C5D06"/>
    <w:rsid w:val="000C6A11"/>
    <w:rsid w:val="000D0B5D"/>
    <w:rsid w:val="000D5537"/>
    <w:rsid w:val="000D75D3"/>
    <w:rsid w:val="000E3ECA"/>
    <w:rsid w:val="000E4A4F"/>
    <w:rsid w:val="000E4D54"/>
    <w:rsid w:val="000F0A84"/>
    <w:rsid w:val="001059DC"/>
    <w:rsid w:val="0010738F"/>
    <w:rsid w:val="0011440A"/>
    <w:rsid w:val="00114519"/>
    <w:rsid w:val="001233ED"/>
    <w:rsid w:val="00127946"/>
    <w:rsid w:val="00131E91"/>
    <w:rsid w:val="001450A8"/>
    <w:rsid w:val="001523C0"/>
    <w:rsid w:val="00152F07"/>
    <w:rsid w:val="0015711A"/>
    <w:rsid w:val="001644BA"/>
    <w:rsid w:val="001647C7"/>
    <w:rsid w:val="00165203"/>
    <w:rsid w:val="00166309"/>
    <w:rsid w:val="00170004"/>
    <w:rsid w:val="00174AE6"/>
    <w:rsid w:val="001758D3"/>
    <w:rsid w:val="00177B51"/>
    <w:rsid w:val="0018078B"/>
    <w:rsid w:val="00183284"/>
    <w:rsid w:val="00183344"/>
    <w:rsid w:val="0019682B"/>
    <w:rsid w:val="001A1FCB"/>
    <w:rsid w:val="001B74B3"/>
    <w:rsid w:val="001C2086"/>
    <w:rsid w:val="001C4AC2"/>
    <w:rsid w:val="001C6FAA"/>
    <w:rsid w:val="001D00B3"/>
    <w:rsid w:val="001D5A65"/>
    <w:rsid w:val="001D6B15"/>
    <w:rsid w:val="001E4158"/>
    <w:rsid w:val="001E6227"/>
    <w:rsid w:val="001E63B6"/>
    <w:rsid w:val="001E6DD8"/>
    <w:rsid w:val="001F0290"/>
    <w:rsid w:val="001F6A01"/>
    <w:rsid w:val="00202DB9"/>
    <w:rsid w:val="00215B7A"/>
    <w:rsid w:val="00223D5B"/>
    <w:rsid w:val="0022528C"/>
    <w:rsid w:val="002258BB"/>
    <w:rsid w:val="00225B7D"/>
    <w:rsid w:val="002260FC"/>
    <w:rsid w:val="002315B7"/>
    <w:rsid w:val="002347FE"/>
    <w:rsid w:val="0024360C"/>
    <w:rsid w:val="002451A7"/>
    <w:rsid w:val="00247373"/>
    <w:rsid w:val="00260C05"/>
    <w:rsid w:val="00261575"/>
    <w:rsid w:val="00262407"/>
    <w:rsid w:val="00275E0E"/>
    <w:rsid w:val="0028146F"/>
    <w:rsid w:val="002831F6"/>
    <w:rsid w:val="00290CBF"/>
    <w:rsid w:val="0029590E"/>
    <w:rsid w:val="002A3EB3"/>
    <w:rsid w:val="002B1734"/>
    <w:rsid w:val="002B5DBC"/>
    <w:rsid w:val="002B7423"/>
    <w:rsid w:val="002B7CA9"/>
    <w:rsid w:val="002C4A4A"/>
    <w:rsid w:val="002D0003"/>
    <w:rsid w:val="002D1442"/>
    <w:rsid w:val="002E4079"/>
    <w:rsid w:val="002F68EE"/>
    <w:rsid w:val="002F7DEF"/>
    <w:rsid w:val="003014E2"/>
    <w:rsid w:val="00302D85"/>
    <w:rsid w:val="0030753D"/>
    <w:rsid w:val="00311DA1"/>
    <w:rsid w:val="003121B1"/>
    <w:rsid w:val="0031709C"/>
    <w:rsid w:val="003223D5"/>
    <w:rsid w:val="00322AA4"/>
    <w:rsid w:val="00325EF0"/>
    <w:rsid w:val="00326230"/>
    <w:rsid w:val="00326290"/>
    <w:rsid w:val="00330DA7"/>
    <w:rsid w:val="00332C2D"/>
    <w:rsid w:val="00335872"/>
    <w:rsid w:val="003462E3"/>
    <w:rsid w:val="003462FF"/>
    <w:rsid w:val="00347A73"/>
    <w:rsid w:val="00347CB0"/>
    <w:rsid w:val="00352495"/>
    <w:rsid w:val="00353707"/>
    <w:rsid w:val="00354BE6"/>
    <w:rsid w:val="0035524D"/>
    <w:rsid w:val="00357E51"/>
    <w:rsid w:val="003628C2"/>
    <w:rsid w:val="00364854"/>
    <w:rsid w:val="00366BB7"/>
    <w:rsid w:val="003721DF"/>
    <w:rsid w:val="003748D5"/>
    <w:rsid w:val="0037694B"/>
    <w:rsid w:val="00381E11"/>
    <w:rsid w:val="003824D1"/>
    <w:rsid w:val="00393CBD"/>
    <w:rsid w:val="00395C76"/>
    <w:rsid w:val="003A2B25"/>
    <w:rsid w:val="003A5520"/>
    <w:rsid w:val="003B077B"/>
    <w:rsid w:val="003B3342"/>
    <w:rsid w:val="003B5C9C"/>
    <w:rsid w:val="003C193B"/>
    <w:rsid w:val="003D0D72"/>
    <w:rsid w:val="003D17A4"/>
    <w:rsid w:val="003D39E2"/>
    <w:rsid w:val="003D3F68"/>
    <w:rsid w:val="003E006E"/>
    <w:rsid w:val="003E30F8"/>
    <w:rsid w:val="003E399E"/>
    <w:rsid w:val="003E6830"/>
    <w:rsid w:val="003F3875"/>
    <w:rsid w:val="003F42C0"/>
    <w:rsid w:val="003F51B0"/>
    <w:rsid w:val="004033E1"/>
    <w:rsid w:val="00405E84"/>
    <w:rsid w:val="0040607F"/>
    <w:rsid w:val="00417860"/>
    <w:rsid w:val="00420A7A"/>
    <w:rsid w:val="004235AF"/>
    <w:rsid w:val="0042558D"/>
    <w:rsid w:val="00427A89"/>
    <w:rsid w:val="0043107A"/>
    <w:rsid w:val="00432C43"/>
    <w:rsid w:val="004359C6"/>
    <w:rsid w:val="004360FC"/>
    <w:rsid w:val="004378C7"/>
    <w:rsid w:val="00437B9C"/>
    <w:rsid w:val="00437FC4"/>
    <w:rsid w:val="00441805"/>
    <w:rsid w:val="004551D1"/>
    <w:rsid w:val="0045753C"/>
    <w:rsid w:val="004577C3"/>
    <w:rsid w:val="0046038A"/>
    <w:rsid w:val="00460F3E"/>
    <w:rsid w:val="00464570"/>
    <w:rsid w:val="004761B2"/>
    <w:rsid w:val="00481AFA"/>
    <w:rsid w:val="0049337D"/>
    <w:rsid w:val="004B093D"/>
    <w:rsid w:val="004B604C"/>
    <w:rsid w:val="004E4ADE"/>
    <w:rsid w:val="004E5028"/>
    <w:rsid w:val="004E5F4E"/>
    <w:rsid w:val="004F2802"/>
    <w:rsid w:val="00500B9E"/>
    <w:rsid w:val="00503499"/>
    <w:rsid w:val="00506501"/>
    <w:rsid w:val="00507BC4"/>
    <w:rsid w:val="00513DB6"/>
    <w:rsid w:val="00524E92"/>
    <w:rsid w:val="00531E28"/>
    <w:rsid w:val="005344B1"/>
    <w:rsid w:val="005423E7"/>
    <w:rsid w:val="005572B4"/>
    <w:rsid w:val="0056010A"/>
    <w:rsid w:val="00563302"/>
    <w:rsid w:val="00571307"/>
    <w:rsid w:val="005743EA"/>
    <w:rsid w:val="00576F2E"/>
    <w:rsid w:val="00581210"/>
    <w:rsid w:val="00581FC3"/>
    <w:rsid w:val="005832B2"/>
    <w:rsid w:val="005851F1"/>
    <w:rsid w:val="005910B4"/>
    <w:rsid w:val="00596A23"/>
    <w:rsid w:val="005B735D"/>
    <w:rsid w:val="005C4A71"/>
    <w:rsid w:val="005C6F40"/>
    <w:rsid w:val="005D4119"/>
    <w:rsid w:val="005D66C2"/>
    <w:rsid w:val="005E2AC9"/>
    <w:rsid w:val="005E4D67"/>
    <w:rsid w:val="005F3D7C"/>
    <w:rsid w:val="00602D7E"/>
    <w:rsid w:val="00603BD0"/>
    <w:rsid w:val="0060555D"/>
    <w:rsid w:val="00606161"/>
    <w:rsid w:val="006062B3"/>
    <w:rsid w:val="00612EB1"/>
    <w:rsid w:val="0061352C"/>
    <w:rsid w:val="006165C8"/>
    <w:rsid w:val="006175B4"/>
    <w:rsid w:val="00617AAD"/>
    <w:rsid w:val="00621CDC"/>
    <w:rsid w:val="006229B2"/>
    <w:rsid w:val="00625E3D"/>
    <w:rsid w:val="00630B61"/>
    <w:rsid w:val="006402A6"/>
    <w:rsid w:val="00644B65"/>
    <w:rsid w:val="006530F8"/>
    <w:rsid w:val="006537BE"/>
    <w:rsid w:val="006654C0"/>
    <w:rsid w:val="00681997"/>
    <w:rsid w:val="0068405C"/>
    <w:rsid w:val="00691017"/>
    <w:rsid w:val="0069152C"/>
    <w:rsid w:val="006A29A5"/>
    <w:rsid w:val="006A2BD9"/>
    <w:rsid w:val="006A3C57"/>
    <w:rsid w:val="006A4F83"/>
    <w:rsid w:val="006A5072"/>
    <w:rsid w:val="006B5151"/>
    <w:rsid w:val="006C2D84"/>
    <w:rsid w:val="006C2F7D"/>
    <w:rsid w:val="006C3580"/>
    <w:rsid w:val="006C3F4D"/>
    <w:rsid w:val="006C6349"/>
    <w:rsid w:val="006D479F"/>
    <w:rsid w:val="006E2E51"/>
    <w:rsid w:val="006F6DB2"/>
    <w:rsid w:val="00704B3A"/>
    <w:rsid w:val="00710CF8"/>
    <w:rsid w:val="00711E08"/>
    <w:rsid w:val="007138FD"/>
    <w:rsid w:val="00716BB1"/>
    <w:rsid w:val="007172FD"/>
    <w:rsid w:val="007200C8"/>
    <w:rsid w:val="007215F6"/>
    <w:rsid w:val="00721BAA"/>
    <w:rsid w:val="00745968"/>
    <w:rsid w:val="00747A3E"/>
    <w:rsid w:val="007730C9"/>
    <w:rsid w:val="00775150"/>
    <w:rsid w:val="00776B48"/>
    <w:rsid w:val="0078099D"/>
    <w:rsid w:val="00787DE8"/>
    <w:rsid w:val="007942D8"/>
    <w:rsid w:val="00794983"/>
    <w:rsid w:val="00796ED7"/>
    <w:rsid w:val="007A7740"/>
    <w:rsid w:val="007B4F1D"/>
    <w:rsid w:val="007C002A"/>
    <w:rsid w:val="007C024B"/>
    <w:rsid w:val="007D408A"/>
    <w:rsid w:val="007D4A5A"/>
    <w:rsid w:val="007D6B20"/>
    <w:rsid w:val="007E0673"/>
    <w:rsid w:val="007E32FC"/>
    <w:rsid w:val="007F01A2"/>
    <w:rsid w:val="007F0378"/>
    <w:rsid w:val="007F2ABC"/>
    <w:rsid w:val="007F7FEC"/>
    <w:rsid w:val="0081027D"/>
    <w:rsid w:val="00817B3D"/>
    <w:rsid w:val="00822299"/>
    <w:rsid w:val="008270D5"/>
    <w:rsid w:val="008279A7"/>
    <w:rsid w:val="00831B7F"/>
    <w:rsid w:val="0085250F"/>
    <w:rsid w:val="008525D6"/>
    <w:rsid w:val="0085388E"/>
    <w:rsid w:val="00856F5E"/>
    <w:rsid w:val="008604D1"/>
    <w:rsid w:val="008659E9"/>
    <w:rsid w:val="0087095D"/>
    <w:rsid w:val="00871835"/>
    <w:rsid w:val="00871F12"/>
    <w:rsid w:val="00875420"/>
    <w:rsid w:val="00876184"/>
    <w:rsid w:val="00880A50"/>
    <w:rsid w:val="00884732"/>
    <w:rsid w:val="0089007C"/>
    <w:rsid w:val="008928AE"/>
    <w:rsid w:val="00893092"/>
    <w:rsid w:val="00894583"/>
    <w:rsid w:val="008A4C9B"/>
    <w:rsid w:val="008B08C5"/>
    <w:rsid w:val="008B6384"/>
    <w:rsid w:val="008B6557"/>
    <w:rsid w:val="008B74A7"/>
    <w:rsid w:val="008C02C2"/>
    <w:rsid w:val="008C1CB3"/>
    <w:rsid w:val="008C7F21"/>
    <w:rsid w:val="008D1795"/>
    <w:rsid w:val="008D4357"/>
    <w:rsid w:val="008D565D"/>
    <w:rsid w:val="008D6357"/>
    <w:rsid w:val="008E5EA1"/>
    <w:rsid w:val="008E6AB7"/>
    <w:rsid w:val="008F13C0"/>
    <w:rsid w:val="008F38EE"/>
    <w:rsid w:val="009001CB"/>
    <w:rsid w:val="009004F6"/>
    <w:rsid w:val="009077A0"/>
    <w:rsid w:val="009113DE"/>
    <w:rsid w:val="00913121"/>
    <w:rsid w:val="009171D5"/>
    <w:rsid w:val="00917709"/>
    <w:rsid w:val="00917C84"/>
    <w:rsid w:val="009220F2"/>
    <w:rsid w:val="009227C1"/>
    <w:rsid w:val="00923EDB"/>
    <w:rsid w:val="00925D9A"/>
    <w:rsid w:val="00926978"/>
    <w:rsid w:val="00932BD9"/>
    <w:rsid w:val="0094670F"/>
    <w:rsid w:val="009479D0"/>
    <w:rsid w:val="00961BA9"/>
    <w:rsid w:val="00967923"/>
    <w:rsid w:val="009701D2"/>
    <w:rsid w:val="00970774"/>
    <w:rsid w:val="00972FAE"/>
    <w:rsid w:val="0097462A"/>
    <w:rsid w:val="00986292"/>
    <w:rsid w:val="00987779"/>
    <w:rsid w:val="009A2AA5"/>
    <w:rsid w:val="009A63FB"/>
    <w:rsid w:val="009B55D4"/>
    <w:rsid w:val="009B787A"/>
    <w:rsid w:val="009B7A49"/>
    <w:rsid w:val="009B7AD9"/>
    <w:rsid w:val="009C387D"/>
    <w:rsid w:val="009C571F"/>
    <w:rsid w:val="009D0461"/>
    <w:rsid w:val="009D4188"/>
    <w:rsid w:val="009D4EFC"/>
    <w:rsid w:val="009D7FA3"/>
    <w:rsid w:val="009E216D"/>
    <w:rsid w:val="009E6283"/>
    <w:rsid w:val="009E63CA"/>
    <w:rsid w:val="009F34CB"/>
    <w:rsid w:val="009F7460"/>
    <w:rsid w:val="00A03E44"/>
    <w:rsid w:val="00A075A8"/>
    <w:rsid w:val="00A10A7B"/>
    <w:rsid w:val="00A15F6A"/>
    <w:rsid w:val="00A311C2"/>
    <w:rsid w:val="00A32233"/>
    <w:rsid w:val="00A36A24"/>
    <w:rsid w:val="00A376FB"/>
    <w:rsid w:val="00A45306"/>
    <w:rsid w:val="00A45D73"/>
    <w:rsid w:val="00A62F8C"/>
    <w:rsid w:val="00A64725"/>
    <w:rsid w:val="00A6666A"/>
    <w:rsid w:val="00A73490"/>
    <w:rsid w:val="00A819B6"/>
    <w:rsid w:val="00A91C8B"/>
    <w:rsid w:val="00A95824"/>
    <w:rsid w:val="00AB2EDC"/>
    <w:rsid w:val="00AB47F4"/>
    <w:rsid w:val="00AC136E"/>
    <w:rsid w:val="00AC1F6A"/>
    <w:rsid w:val="00AC413D"/>
    <w:rsid w:val="00AD3A9D"/>
    <w:rsid w:val="00AD79D3"/>
    <w:rsid w:val="00AE5434"/>
    <w:rsid w:val="00AE6DBF"/>
    <w:rsid w:val="00AE75DB"/>
    <w:rsid w:val="00B0092D"/>
    <w:rsid w:val="00B01C60"/>
    <w:rsid w:val="00B01D22"/>
    <w:rsid w:val="00B03A00"/>
    <w:rsid w:val="00B0445D"/>
    <w:rsid w:val="00B0447C"/>
    <w:rsid w:val="00B05E53"/>
    <w:rsid w:val="00B072AA"/>
    <w:rsid w:val="00B10650"/>
    <w:rsid w:val="00B10E08"/>
    <w:rsid w:val="00B11436"/>
    <w:rsid w:val="00B12341"/>
    <w:rsid w:val="00B25D19"/>
    <w:rsid w:val="00B359D9"/>
    <w:rsid w:val="00B35BC7"/>
    <w:rsid w:val="00B40B8B"/>
    <w:rsid w:val="00B4404D"/>
    <w:rsid w:val="00B50993"/>
    <w:rsid w:val="00B63168"/>
    <w:rsid w:val="00B63E9B"/>
    <w:rsid w:val="00B64963"/>
    <w:rsid w:val="00B70085"/>
    <w:rsid w:val="00B7099F"/>
    <w:rsid w:val="00B71873"/>
    <w:rsid w:val="00B72A5D"/>
    <w:rsid w:val="00B736B7"/>
    <w:rsid w:val="00B73C45"/>
    <w:rsid w:val="00B82E01"/>
    <w:rsid w:val="00B84DD7"/>
    <w:rsid w:val="00B91811"/>
    <w:rsid w:val="00B94460"/>
    <w:rsid w:val="00B9561A"/>
    <w:rsid w:val="00BA437F"/>
    <w:rsid w:val="00BA5C29"/>
    <w:rsid w:val="00BB6C9A"/>
    <w:rsid w:val="00BC0594"/>
    <w:rsid w:val="00BC11FC"/>
    <w:rsid w:val="00BC1F54"/>
    <w:rsid w:val="00BC4C9D"/>
    <w:rsid w:val="00BC54FC"/>
    <w:rsid w:val="00BD2118"/>
    <w:rsid w:val="00BD5092"/>
    <w:rsid w:val="00BD5997"/>
    <w:rsid w:val="00BE6F50"/>
    <w:rsid w:val="00BF1BA3"/>
    <w:rsid w:val="00BF588D"/>
    <w:rsid w:val="00C03447"/>
    <w:rsid w:val="00C07EF5"/>
    <w:rsid w:val="00C128FE"/>
    <w:rsid w:val="00C13304"/>
    <w:rsid w:val="00C1777A"/>
    <w:rsid w:val="00C212E3"/>
    <w:rsid w:val="00C22FAE"/>
    <w:rsid w:val="00C24C44"/>
    <w:rsid w:val="00C26B0C"/>
    <w:rsid w:val="00C30F18"/>
    <w:rsid w:val="00C331D1"/>
    <w:rsid w:val="00C35958"/>
    <w:rsid w:val="00C372A8"/>
    <w:rsid w:val="00C375FF"/>
    <w:rsid w:val="00C40848"/>
    <w:rsid w:val="00C50E47"/>
    <w:rsid w:val="00C562AA"/>
    <w:rsid w:val="00C574F4"/>
    <w:rsid w:val="00C747C6"/>
    <w:rsid w:val="00C756C3"/>
    <w:rsid w:val="00C80F66"/>
    <w:rsid w:val="00C84AE8"/>
    <w:rsid w:val="00C85D1B"/>
    <w:rsid w:val="00C96DDA"/>
    <w:rsid w:val="00CA7F1F"/>
    <w:rsid w:val="00CB5D3E"/>
    <w:rsid w:val="00CC4C46"/>
    <w:rsid w:val="00CC6AAB"/>
    <w:rsid w:val="00CC77FF"/>
    <w:rsid w:val="00CC7CF5"/>
    <w:rsid w:val="00CE3C5A"/>
    <w:rsid w:val="00CE59C6"/>
    <w:rsid w:val="00CE7586"/>
    <w:rsid w:val="00D03659"/>
    <w:rsid w:val="00D03EDF"/>
    <w:rsid w:val="00D10DC0"/>
    <w:rsid w:val="00D11555"/>
    <w:rsid w:val="00D13D6D"/>
    <w:rsid w:val="00D20C74"/>
    <w:rsid w:val="00D24FD7"/>
    <w:rsid w:val="00D25647"/>
    <w:rsid w:val="00D34FE4"/>
    <w:rsid w:val="00D377A7"/>
    <w:rsid w:val="00D44C95"/>
    <w:rsid w:val="00D452A7"/>
    <w:rsid w:val="00D4584F"/>
    <w:rsid w:val="00D54725"/>
    <w:rsid w:val="00D559FF"/>
    <w:rsid w:val="00D62B8C"/>
    <w:rsid w:val="00D63276"/>
    <w:rsid w:val="00D66F39"/>
    <w:rsid w:val="00D84B36"/>
    <w:rsid w:val="00D85853"/>
    <w:rsid w:val="00D936A0"/>
    <w:rsid w:val="00D97162"/>
    <w:rsid w:val="00D97CE9"/>
    <w:rsid w:val="00DA36E7"/>
    <w:rsid w:val="00DA4FC7"/>
    <w:rsid w:val="00DA550D"/>
    <w:rsid w:val="00DA7017"/>
    <w:rsid w:val="00DB13DD"/>
    <w:rsid w:val="00DB1B31"/>
    <w:rsid w:val="00DB1C27"/>
    <w:rsid w:val="00DB38EE"/>
    <w:rsid w:val="00DB7973"/>
    <w:rsid w:val="00DC13AB"/>
    <w:rsid w:val="00DC5EF2"/>
    <w:rsid w:val="00DC7EF7"/>
    <w:rsid w:val="00DD6B5E"/>
    <w:rsid w:val="00DD6BD4"/>
    <w:rsid w:val="00DE5E58"/>
    <w:rsid w:val="00DE7B46"/>
    <w:rsid w:val="00E0162C"/>
    <w:rsid w:val="00E11487"/>
    <w:rsid w:val="00E14ACC"/>
    <w:rsid w:val="00E15A8C"/>
    <w:rsid w:val="00E4144C"/>
    <w:rsid w:val="00E44F84"/>
    <w:rsid w:val="00E463C6"/>
    <w:rsid w:val="00E53121"/>
    <w:rsid w:val="00E5318E"/>
    <w:rsid w:val="00E53532"/>
    <w:rsid w:val="00E6034D"/>
    <w:rsid w:val="00E71967"/>
    <w:rsid w:val="00E754B1"/>
    <w:rsid w:val="00E801B5"/>
    <w:rsid w:val="00E905E8"/>
    <w:rsid w:val="00E93F56"/>
    <w:rsid w:val="00E952D9"/>
    <w:rsid w:val="00E96773"/>
    <w:rsid w:val="00E97CB9"/>
    <w:rsid w:val="00EB27E9"/>
    <w:rsid w:val="00EB37C9"/>
    <w:rsid w:val="00EC134E"/>
    <w:rsid w:val="00ED0445"/>
    <w:rsid w:val="00ED3C3B"/>
    <w:rsid w:val="00EE48C3"/>
    <w:rsid w:val="00EF199D"/>
    <w:rsid w:val="00EF4E12"/>
    <w:rsid w:val="00EF5326"/>
    <w:rsid w:val="00EF65F3"/>
    <w:rsid w:val="00F01510"/>
    <w:rsid w:val="00F02A6D"/>
    <w:rsid w:val="00F0424C"/>
    <w:rsid w:val="00F10495"/>
    <w:rsid w:val="00F10DA8"/>
    <w:rsid w:val="00F1168A"/>
    <w:rsid w:val="00F12A10"/>
    <w:rsid w:val="00F2391C"/>
    <w:rsid w:val="00F31E30"/>
    <w:rsid w:val="00F3326F"/>
    <w:rsid w:val="00F34781"/>
    <w:rsid w:val="00F41A5D"/>
    <w:rsid w:val="00F470A2"/>
    <w:rsid w:val="00F51F93"/>
    <w:rsid w:val="00F552E5"/>
    <w:rsid w:val="00F56AA8"/>
    <w:rsid w:val="00F67C91"/>
    <w:rsid w:val="00F723F9"/>
    <w:rsid w:val="00F82315"/>
    <w:rsid w:val="00F83D3C"/>
    <w:rsid w:val="00F840D6"/>
    <w:rsid w:val="00F8691C"/>
    <w:rsid w:val="00F900BE"/>
    <w:rsid w:val="00F97392"/>
    <w:rsid w:val="00F97DF6"/>
    <w:rsid w:val="00FA4EEC"/>
    <w:rsid w:val="00FB335B"/>
    <w:rsid w:val="00FB4EAA"/>
    <w:rsid w:val="00FC5512"/>
    <w:rsid w:val="00FC6366"/>
    <w:rsid w:val="00FD0CD9"/>
    <w:rsid w:val="00FD4970"/>
    <w:rsid w:val="00FD6927"/>
    <w:rsid w:val="00FE02D9"/>
    <w:rsid w:val="00FE14F9"/>
    <w:rsid w:val="00FF2EFF"/>
    <w:rsid w:val="00FF4843"/>
    <w:rsid w:val="00FF5EEA"/>
    <w:rsid w:val="02A0745C"/>
    <w:rsid w:val="051554AC"/>
    <w:rsid w:val="054853F5"/>
    <w:rsid w:val="058F7720"/>
    <w:rsid w:val="06903537"/>
    <w:rsid w:val="06A75D00"/>
    <w:rsid w:val="0A281EEF"/>
    <w:rsid w:val="0AF7616B"/>
    <w:rsid w:val="0BC038D2"/>
    <w:rsid w:val="0BE5207C"/>
    <w:rsid w:val="0CA77331"/>
    <w:rsid w:val="0F241091"/>
    <w:rsid w:val="10BC03C7"/>
    <w:rsid w:val="10D03F34"/>
    <w:rsid w:val="11C5790C"/>
    <w:rsid w:val="130F4A87"/>
    <w:rsid w:val="14237C67"/>
    <w:rsid w:val="15A13C38"/>
    <w:rsid w:val="16B60189"/>
    <w:rsid w:val="17606A5A"/>
    <w:rsid w:val="19617E7A"/>
    <w:rsid w:val="198343FB"/>
    <w:rsid w:val="199D3F96"/>
    <w:rsid w:val="1AE833AF"/>
    <w:rsid w:val="1B0940FF"/>
    <w:rsid w:val="1CD57C7B"/>
    <w:rsid w:val="1D8F07D0"/>
    <w:rsid w:val="207A1985"/>
    <w:rsid w:val="20E27B73"/>
    <w:rsid w:val="20FB739D"/>
    <w:rsid w:val="22C5455D"/>
    <w:rsid w:val="22C62CF4"/>
    <w:rsid w:val="23A06120"/>
    <w:rsid w:val="24667E33"/>
    <w:rsid w:val="2559758D"/>
    <w:rsid w:val="259D70CC"/>
    <w:rsid w:val="286E02B3"/>
    <w:rsid w:val="28AC24C6"/>
    <w:rsid w:val="28C8735A"/>
    <w:rsid w:val="28CD7B64"/>
    <w:rsid w:val="28DA73F5"/>
    <w:rsid w:val="29A712B9"/>
    <w:rsid w:val="29AE6B2F"/>
    <w:rsid w:val="2A141CA3"/>
    <w:rsid w:val="2A9E4307"/>
    <w:rsid w:val="2B592488"/>
    <w:rsid w:val="2B7A0AA7"/>
    <w:rsid w:val="2CFC2BFE"/>
    <w:rsid w:val="2E421B72"/>
    <w:rsid w:val="2F4B2025"/>
    <w:rsid w:val="314D028A"/>
    <w:rsid w:val="321E77E6"/>
    <w:rsid w:val="33095B3D"/>
    <w:rsid w:val="355530AA"/>
    <w:rsid w:val="364631D7"/>
    <w:rsid w:val="36806379"/>
    <w:rsid w:val="368928C2"/>
    <w:rsid w:val="3776777C"/>
    <w:rsid w:val="37850378"/>
    <w:rsid w:val="38F00B77"/>
    <w:rsid w:val="394607B3"/>
    <w:rsid w:val="39FF1B87"/>
    <w:rsid w:val="3A2D43ED"/>
    <w:rsid w:val="3B1F29B6"/>
    <w:rsid w:val="3BA57E01"/>
    <w:rsid w:val="3BCA5C37"/>
    <w:rsid w:val="3C692EFA"/>
    <w:rsid w:val="3CAD798A"/>
    <w:rsid w:val="3DF67891"/>
    <w:rsid w:val="3E18158D"/>
    <w:rsid w:val="3ED14C7B"/>
    <w:rsid w:val="3EDE6333"/>
    <w:rsid w:val="3EFB0793"/>
    <w:rsid w:val="3F5B255F"/>
    <w:rsid w:val="40A36A84"/>
    <w:rsid w:val="40DC5A18"/>
    <w:rsid w:val="423050F8"/>
    <w:rsid w:val="42385C98"/>
    <w:rsid w:val="42933CF0"/>
    <w:rsid w:val="42C7371B"/>
    <w:rsid w:val="43B50E83"/>
    <w:rsid w:val="43FA0CF0"/>
    <w:rsid w:val="454F6D22"/>
    <w:rsid w:val="469B3BCE"/>
    <w:rsid w:val="48586940"/>
    <w:rsid w:val="49A11F60"/>
    <w:rsid w:val="4BC8467F"/>
    <w:rsid w:val="4CFE53E3"/>
    <w:rsid w:val="4D122F4C"/>
    <w:rsid w:val="4D2261C3"/>
    <w:rsid w:val="4E0D453F"/>
    <w:rsid w:val="4E1B4533"/>
    <w:rsid w:val="4F0A4599"/>
    <w:rsid w:val="4FE63648"/>
    <w:rsid w:val="50EF43D0"/>
    <w:rsid w:val="51EF5042"/>
    <w:rsid w:val="54F06565"/>
    <w:rsid w:val="564203BE"/>
    <w:rsid w:val="56B37004"/>
    <w:rsid w:val="570D3802"/>
    <w:rsid w:val="57573E4D"/>
    <w:rsid w:val="58BA6D2D"/>
    <w:rsid w:val="59633BAD"/>
    <w:rsid w:val="59FB128F"/>
    <w:rsid w:val="5B0F11F3"/>
    <w:rsid w:val="5B3572FB"/>
    <w:rsid w:val="5BE12FA3"/>
    <w:rsid w:val="5C4D6613"/>
    <w:rsid w:val="5C5C54B7"/>
    <w:rsid w:val="5D8866EC"/>
    <w:rsid w:val="5DEF3C61"/>
    <w:rsid w:val="5E1A72C0"/>
    <w:rsid w:val="5E8C14B0"/>
    <w:rsid w:val="5EBF421E"/>
    <w:rsid w:val="603A7008"/>
    <w:rsid w:val="618D2305"/>
    <w:rsid w:val="62B13874"/>
    <w:rsid w:val="62C01E93"/>
    <w:rsid w:val="6349163F"/>
    <w:rsid w:val="63672753"/>
    <w:rsid w:val="65E62E7A"/>
    <w:rsid w:val="66B57786"/>
    <w:rsid w:val="66EC7F6C"/>
    <w:rsid w:val="67287B59"/>
    <w:rsid w:val="67BB5990"/>
    <w:rsid w:val="69F452BC"/>
    <w:rsid w:val="6AAD178D"/>
    <w:rsid w:val="6B2A62D8"/>
    <w:rsid w:val="6C2766C6"/>
    <w:rsid w:val="6C2A3048"/>
    <w:rsid w:val="6CC649E7"/>
    <w:rsid w:val="6DDA5CDD"/>
    <w:rsid w:val="6F5F71DE"/>
    <w:rsid w:val="6F832DFB"/>
    <w:rsid w:val="6FBC4288"/>
    <w:rsid w:val="70BC3E77"/>
    <w:rsid w:val="74DD63C6"/>
    <w:rsid w:val="751D3132"/>
    <w:rsid w:val="77281627"/>
    <w:rsid w:val="772A5792"/>
    <w:rsid w:val="790D22C6"/>
    <w:rsid w:val="7A4B0B98"/>
    <w:rsid w:val="7A6171B2"/>
    <w:rsid w:val="7AB76BC1"/>
    <w:rsid w:val="7B3F0C68"/>
    <w:rsid w:val="7D630A43"/>
    <w:rsid w:val="7D645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0"/>
    <w:qFormat/>
    <w:uiPriority w:val="9"/>
    <w:pPr>
      <w:autoSpaceDE w:val="0"/>
      <w:autoSpaceDN w:val="0"/>
      <w:adjustRightInd w:val="0"/>
      <w:jc w:val="left"/>
      <w:outlineLvl w:val="0"/>
    </w:pPr>
    <w:rPr>
      <w:rFonts w:ascii="宋体" w:hAnsi="Calibri" w:eastAsia="宋体" w:cs="Times New Roman"/>
      <w:kern w:val="0"/>
      <w:sz w:val="24"/>
      <w:szCs w:val="24"/>
    </w:rPr>
  </w:style>
  <w:style w:type="paragraph" w:styleId="3">
    <w:name w:val="heading 2"/>
    <w:basedOn w:val="1"/>
    <w:next w:val="1"/>
    <w:link w:val="48"/>
    <w:qFormat/>
    <w:uiPriority w:val="0"/>
    <w:pPr>
      <w:autoSpaceDE w:val="0"/>
      <w:autoSpaceDN w:val="0"/>
      <w:adjustRightInd w:val="0"/>
      <w:jc w:val="left"/>
      <w:outlineLvl w:val="1"/>
    </w:pPr>
    <w:rPr>
      <w:rFonts w:ascii="宋体" w:hAnsi="Calibri" w:eastAsia="宋体" w:cs="Times New Roman"/>
      <w:kern w:val="0"/>
      <w:sz w:val="24"/>
      <w:szCs w:val="24"/>
    </w:rPr>
  </w:style>
  <w:style w:type="paragraph" w:styleId="4">
    <w:name w:val="heading 3"/>
    <w:basedOn w:val="1"/>
    <w:next w:val="1"/>
    <w:link w:val="144"/>
    <w:qFormat/>
    <w:uiPriority w:val="0"/>
    <w:pPr>
      <w:autoSpaceDE w:val="0"/>
      <w:autoSpaceDN w:val="0"/>
      <w:adjustRightInd w:val="0"/>
      <w:jc w:val="left"/>
      <w:outlineLvl w:val="2"/>
    </w:pPr>
    <w:rPr>
      <w:rFonts w:ascii="宋体" w:hAnsi="Calibri" w:eastAsia="宋体" w:cs="Times New Roman"/>
      <w:kern w:val="0"/>
      <w:sz w:val="24"/>
      <w:szCs w:val="24"/>
    </w:rPr>
  </w:style>
  <w:style w:type="paragraph" w:styleId="5">
    <w:name w:val="heading 4"/>
    <w:basedOn w:val="1"/>
    <w:next w:val="1"/>
    <w:link w:val="50"/>
    <w:qFormat/>
    <w:uiPriority w:val="9"/>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6">
    <w:name w:val="heading 5"/>
    <w:basedOn w:val="1"/>
    <w:next w:val="1"/>
    <w:link w:val="132"/>
    <w:qFormat/>
    <w:uiPriority w:val="9"/>
    <w:pPr>
      <w:keepNext/>
      <w:keepLines/>
      <w:autoSpaceDE w:val="0"/>
      <w:autoSpaceDN w:val="0"/>
      <w:adjustRightInd w:val="0"/>
      <w:spacing w:before="280" w:after="290" w:line="376" w:lineRule="auto"/>
      <w:jc w:val="left"/>
      <w:outlineLvl w:val="4"/>
    </w:pPr>
    <w:rPr>
      <w:rFonts w:ascii="宋体" w:hAnsi="Calibri" w:eastAsia="宋体" w:cs="Times New Roman"/>
      <w:b/>
      <w:bCs/>
      <w:kern w:val="0"/>
      <w:sz w:val="28"/>
      <w:szCs w:val="28"/>
    </w:rPr>
  </w:style>
  <w:style w:type="paragraph" w:styleId="7">
    <w:name w:val="heading 6"/>
    <w:basedOn w:val="1"/>
    <w:next w:val="8"/>
    <w:link w:val="142"/>
    <w:qFormat/>
    <w:uiPriority w:val="9"/>
    <w:pPr>
      <w:keepLines/>
      <w:tabs>
        <w:tab w:val="left" w:pos="1152"/>
      </w:tabs>
      <w:adjustRightInd w:val="0"/>
      <w:snapToGrid w:val="0"/>
      <w:spacing w:beforeLines="50" w:line="360" w:lineRule="auto"/>
      <w:ind w:left="1152" w:hanging="1152"/>
      <w:jc w:val="left"/>
      <w:textAlignment w:val="baseline"/>
      <w:outlineLvl w:val="5"/>
    </w:pPr>
    <w:rPr>
      <w:rFonts w:ascii="Times New Roman" w:hAnsi="Calibri" w:eastAsia="黑体" w:cs="Times New Roman"/>
      <w:b/>
      <w:bCs/>
      <w:kern w:val="0"/>
      <w:sz w:val="28"/>
      <w:szCs w:val="24"/>
    </w:rPr>
  </w:style>
  <w:style w:type="paragraph" w:styleId="9">
    <w:name w:val="heading 7"/>
    <w:basedOn w:val="1"/>
    <w:next w:val="8"/>
    <w:link w:val="53"/>
    <w:qFormat/>
    <w:uiPriority w:val="9"/>
    <w:pPr>
      <w:keepNext/>
      <w:keepLines/>
      <w:tabs>
        <w:tab w:val="left" w:pos="1296"/>
      </w:tabs>
      <w:adjustRightInd w:val="0"/>
      <w:snapToGrid w:val="0"/>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10">
    <w:name w:val="heading 8"/>
    <w:basedOn w:val="1"/>
    <w:next w:val="8"/>
    <w:link w:val="54"/>
    <w:qFormat/>
    <w:uiPriority w:val="9"/>
    <w:pPr>
      <w:keepNext/>
      <w:keepLines/>
      <w:tabs>
        <w:tab w:val="left" w:pos="1440"/>
      </w:tabs>
      <w:snapToGrid w:val="0"/>
      <w:spacing w:before="240" w:after="120"/>
      <w:ind w:left="1440" w:hanging="1440"/>
      <w:outlineLvl w:val="7"/>
    </w:pPr>
    <w:rPr>
      <w:rFonts w:ascii="Times New Roman" w:hAnsi="Calibri" w:eastAsia="黑体" w:cs="Times New Roman"/>
      <w:b/>
      <w:kern w:val="0"/>
      <w:sz w:val="28"/>
      <w:szCs w:val="24"/>
    </w:rPr>
  </w:style>
  <w:style w:type="paragraph" w:styleId="11">
    <w:name w:val="heading 9"/>
    <w:basedOn w:val="1"/>
    <w:next w:val="8"/>
    <w:link w:val="55"/>
    <w:qFormat/>
    <w:uiPriority w:val="9"/>
    <w:pPr>
      <w:keepNext/>
      <w:keepLines/>
      <w:tabs>
        <w:tab w:val="left" w:pos="1584"/>
      </w:tabs>
      <w:snapToGrid w:val="0"/>
      <w:spacing w:before="240" w:after="120"/>
      <w:ind w:left="1584" w:hanging="1584"/>
      <w:outlineLvl w:val="8"/>
    </w:pPr>
    <w:rPr>
      <w:rFonts w:ascii="Times New Roman" w:hAnsi="Calibri" w:eastAsia="黑体" w:cs="Times New Roman"/>
      <w:b/>
      <w:kern w:val="0"/>
      <w:sz w:val="28"/>
      <w:szCs w:val="24"/>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customStyle="1" w:styleId="8">
    <w:name w:val="模板正文"/>
    <w:basedOn w:val="1"/>
    <w:link w:val="94"/>
    <w:qFormat/>
    <w:uiPriority w:val="0"/>
    <w:pPr>
      <w:wordWrap w:val="0"/>
      <w:autoSpaceDE w:val="0"/>
      <w:autoSpaceDN w:val="0"/>
      <w:adjustRightInd w:val="0"/>
      <w:spacing w:beforeLines="50" w:line="360" w:lineRule="auto"/>
      <w:ind w:firstLine="200" w:firstLineChars="200"/>
      <w:jc w:val="left"/>
    </w:pPr>
    <w:rPr>
      <w:rFonts w:ascii="宋体" w:eastAsia="仿宋"/>
      <w:sz w:val="24"/>
      <w:szCs w:val="21"/>
    </w:rPr>
  </w:style>
  <w:style w:type="paragraph" w:styleId="12">
    <w:name w:val="Normal Indent"/>
    <w:basedOn w:val="1"/>
    <w:qFormat/>
    <w:uiPriority w:val="0"/>
    <w:pPr>
      <w:widowControl/>
      <w:autoSpaceDE w:val="0"/>
      <w:autoSpaceDN w:val="0"/>
      <w:adjustRightInd w:val="0"/>
      <w:ind w:firstLine="420" w:firstLineChars="200"/>
      <w:jc w:val="left"/>
    </w:pPr>
    <w:rPr>
      <w:rFonts w:ascii="宋体" w:hAnsi="Calibri" w:eastAsia="宋体" w:cs="Times New Roman"/>
      <w:kern w:val="0"/>
      <w:sz w:val="20"/>
      <w:szCs w:val="20"/>
    </w:rPr>
  </w:style>
  <w:style w:type="paragraph" w:styleId="13">
    <w:name w:val="caption"/>
    <w:basedOn w:val="1"/>
    <w:next w:val="1"/>
    <w:link w:val="83"/>
    <w:qFormat/>
    <w:uiPriority w:val="0"/>
    <w:pPr>
      <w:autoSpaceDE w:val="0"/>
      <w:autoSpaceDN w:val="0"/>
      <w:adjustRightInd w:val="0"/>
      <w:spacing w:before="152" w:after="160"/>
      <w:jc w:val="left"/>
    </w:pPr>
    <w:rPr>
      <w:rFonts w:ascii="Arial" w:hAnsi="Arial" w:eastAsia="黑体" w:cs="Arial"/>
    </w:rPr>
  </w:style>
  <w:style w:type="paragraph" w:styleId="14">
    <w:name w:val="Document Map"/>
    <w:basedOn w:val="1"/>
    <w:link w:val="116"/>
    <w:semiHidden/>
    <w:qFormat/>
    <w:uiPriority w:val="99"/>
    <w:pPr>
      <w:shd w:val="clear" w:color="auto" w:fill="000080"/>
      <w:autoSpaceDE w:val="0"/>
      <w:autoSpaceDN w:val="0"/>
      <w:adjustRightInd w:val="0"/>
      <w:jc w:val="left"/>
    </w:pPr>
    <w:rPr>
      <w:rFonts w:ascii="宋体" w:hAnsi="Times New Roman" w:eastAsia="宋体" w:cs="Times New Roman"/>
      <w:kern w:val="0"/>
      <w:sz w:val="24"/>
      <w:szCs w:val="24"/>
    </w:rPr>
  </w:style>
  <w:style w:type="paragraph" w:styleId="15">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6">
    <w:name w:val="annotation text"/>
    <w:basedOn w:val="1"/>
    <w:link w:val="163"/>
    <w:unhideWhenUsed/>
    <w:qFormat/>
    <w:uiPriority w:val="99"/>
    <w:pPr>
      <w:jc w:val="left"/>
    </w:pPr>
  </w:style>
  <w:style w:type="paragraph" w:styleId="17">
    <w:name w:val="Body Text 3"/>
    <w:basedOn w:val="1"/>
    <w:link w:val="156"/>
    <w:qFormat/>
    <w:uiPriority w:val="0"/>
    <w:pPr>
      <w:autoSpaceDE w:val="0"/>
      <w:autoSpaceDN w:val="0"/>
      <w:adjustRightInd w:val="0"/>
      <w:ind w:right="-26"/>
      <w:jc w:val="center"/>
    </w:pPr>
    <w:rPr>
      <w:rFonts w:ascii="宋体" w:hAnsi="Times New Roman" w:eastAsia="宋体" w:cs="Times New Roman"/>
      <w:b/>
      <w:bCs/>
      <w:color w:val="3366FF"/>
      <w:sz w:val="52"/>
      <w:szCs w:val="52"/>
      <w:lang w:val="zh-CN"/>
    </w:rPr>
  </w:style>
  <w:style w:type="paragraph" w:styleId="18">
    <w:name w:val="Body Text"/>
    <w:basedOn w:val="1"/>
    <w:next w:val="19"/>
    <w:link w:val="118"/>
    <w:qFormat/>
    <w:uiPriority w:val="99"/>
    <w:pPr>
      <w:autoSpaceDE w:val="0"/>
      <w:autoSpaceDN w:val="0"/>
      <w:adjustRightInd w:val="0"/>
      <w:ind w:right="-26"/>
      <w:jc w:val="center"/>
    </w:pPr>
    <w:rPr>
      <w:rFonts w:ascii="宋体" w:eastAsia="宋体"/>
      <w:b/>
      <w:bCs/>
      <w:sz w:val="84"/>
      <w:szCs w:val="84"/>
      <w:lang w:val="zh-CN"/>
    </w:rPr>
  </w:style>
  <w:style w:type="paragraph" w:styleId="19">
    <w:name w:val="Body Text First Indent"/>
    <w:basedOn w:val="18"/>
    <w:link w:val="201"/>
    <w:semiHidden/>
    <w:unhideWhenUsed/>
    <w:qFormat/>
    <w:uiPriority w:val="99"/>
    <w:pPr>
      <w:autoSpaceDE/>
      <w:autoSpaceDN/>
      <w:adjustRightInd/>
      <w:spacing w:after="120"/>
      <w:ind w:right="0" w:firstLine="420" w:firstLineChars="100"/>
      <w:jc w:val="both"/>
    </w:pPr>
    <w:rPr>
      <w:rFonts w:asciiTheme="minorHAnsi" w:eastAsiaTheme="minorEastAsia"/>
      <w:b w:val="0"/>
      <w:bCs w:val="0"/>
      <w:sz w:val="21"/>
      <w:szCs w:val="22"/>
      <w:lang w:val="en-US"/>
    </w:rPr>
  </w:style>
  <w:style w:type="paragraph" w:styleId="20">
    <w:name w:val="Body Text Indent"/>
    <w:basedOn w:val="1"/>
    <w:link w:val="92"/>
    <w:qFormat/>
    <w:uiPriority w:val="0"/>
    <w:pPr>
      <w:ind w:left="567" w:leftChars="270"/>
    </w:pPr>
    <w:rPr>
      <w:rFonts w:ascii="Times New Roman" w:hAnsi="Times New Roman" w:eastAsia="宋体" w:cs="Times New Roman"/>
      <w:szCs w:val="20"/>
    </w:rPr>
  </w:style>
  <w:style w:type="paragraph" w:styleId="21">
    <w:name w:val="toc 3"/>
    <w:basedOn w:val="1"/>
    <w:next w:val="1"/>
    <w:unhideWhenUsed/>
    <w:qFormat/>
    <w:uiPriority w:val="39"/>
    <w:pPr>
      <w:tabs>
        <w:tab w:val="right" w:leader="dot" w:pos="10144"/>
      </w:tabs>
      <w:ind w:left="840" w:leftChars="400"/>
    </w:pPr>
  </w:style>
  <w:style w:type="paragraph" w:styleId="22">
    <w:name w:val="Plain Text"/>
    <w:basedOn w:val="1"/>
    <w:link w:val="100"/>
    <w:qFormat/>
    <w:uiPriority w:val="0"/>
    <w:rPr>
      <w:rFonts w:ascii="宋体" w:hAnsi="Courier New" w:eastAsia="宋体"/>
    </w:rPr>
  </w:style>
  <w:style w:type="paragraph" w:styleId="23">
    <w:name w:val="Date"/>
    <w:basedOn w:val="1"/>
    <w:next w:val="1"/>
    <w:link w:val="108"/>
    <w:qFormat/>
    <w:uiPriority w:val="99"/>
    <w:pPr>
      <w:autoSpaceDE w:val="0"/>
      <w:autoSpaceDN w:val="0"/>
      <w:adjustRightInd w:val="0"/>
      <w:ind w:left="100" w:leftChars="2500"/>
      <w:jc w:val="left"/>
    </w:pPr>
    <w:rPr>
      <w:rFonts w:ascii="宋体" w:hAnsi="Times New Roman" w:eastAsia="宋体" w:cs="Times New Roman"/>
      <w:b/>
      <w:bCs/>
      <w:szCs w:val="21"/>
      <w:lang w:val="zh-CN"/>
    </w:rPr>
  </w:style>
  <w:style w:type="paragraph" w:styleId="24">
    <w:name w:val="Body Text Indent 2"/>
    <w:basedOn w:val="1"/>
    <w:link w:val="101"/>
    <w:qFormat/>
    <w:uiPriority w:val="0"/>
    <w:pPr>
      <w:tabs>
        <w:tab w:val="left" w:pos="8640"/>
      </w:tabs>
      <w:ind w:left="1260"/>
    </w:pPr>
    <w:rPr>
      <w:rFonts w:ascii="宋体" w:hAnsi="Times New Roman" w:eastAsia="宋体" w:cs="Times New Roman"/>
      <w:szCs w:val="20"/>
    </w:rPr>
  </w:style>
  <w:style w:type="paragraph" w:styleId="25">
    <w:name w:val="Balloon Text"/>
    <w:basedOn w:val="1"/>
    <w:link w:val="74"/>
    <w:qFormat/>
    <w:uiPriority w:val="0"/>
    <w:rPr>
      <w:rFonts w:ascii="Times New Roman" w:hAnsi="Times New Roman" w:eastAsia="宋体" w:cs="Times New Roman"/>
      <w:sz w:val="18"/>
      <w:szCs w:val="18"/>
    </w:rPr>
  </w:style>
  <w:style w:type="paragraph" w:styleId="26">
    <w:name w:val="footer"/>
    <w:basedOn w:val="1"/>
    <w:link w:val="78"/>
    <w:qFormat/>
    <w:uiPriority w:val="99"/>
    <w:pPr>
      <w:tabs>
        <w:tab w:val="center" w:pos="4153"/>
        <w:tab w:val="right" w:pos="8306"/>
      </w:tabs>
      <w:autoSpaceDE w:val="0"/>
      <w:autoSpaceDN w:val="0"/>
      <w:adjustRightInd w:val="0"/>
      <w:snapToGrid w:val="0"/>
      <w:jc w:val="left"/>
    </w:pPr>
    <w:rPr>
      <w:rFonts w:ascii="宋体" w:eastAsia="宋体"/>
      <w:sz w:val="18"/>
      <w:szCs w:val="18"/>
    </w:rPr>
  </w:style>
  <w:style w:type="paragraph" w:styleId="27">
    <w:name w:val="header"/>
    <w:basedOn w:val="1"/>
    <w:link w:val="120"/>
    <w:qFormat/>
    <w:uiPriority w:val="99"/>
    <w:pPr>
      <w:pBdr>
        <w:bottom w:val="single" w:color="auto" w:sz="6" w:space="1"/>
      </w:pBdr>
      <w:tabs>
        <w:tab w:val="center" w:pos="4153"/>
        <w:tab w:val="right" w:pos="8306"/>
      </w:tabs>
      <w:autoSpaceDE w:val="0"/>
      <w:autoSpaceDN w:val="0"/>
      <w:adjustRightInd w:val="0"/>
      <w:snapToGrid w:val="0"/>
      <w:jc w:val="center"/>
    </w:pPr>
    <w:rPr>
      <w:rFonts w:ascii="宋体" w:eastAsia="宋体"/>
      <w:sz w:val="18"/>
      <w:szCs w:val="18"/>
    </w:rPr>
  </w:style>
  <w:style w:type="paragraph" w:styleId="28">
    <w:name w:val="toc 1"/>
    <w:basedOn w:val="1"/>
    <w:next w:val="1"/>
    <w:unhideWhenUsed/>
    <w:qFormat/>
    <w:uiPriority w:val="39"/>
  </w:style>
  <w:style w:type="paragraph" w:styleId="29">
    <w:name w:val="List"/>
    <w:basedOn w:val="1"/>
    <w:unhideWhenUsed/>
    <w:qFormat/>
    <w:uiPriority w:val="0"/>
    <w:pPr>
      <w:autoSpaceDE w:val="0"/>
      <w:autoSpaceDN w:val="0"/>
      <w:adjustRightInd w:val="0"/>
      <w:ind w:left="200" w:hanging="200" w:hangingChars="200"/>
      <w:contextualSpacing/>
      <w:jc w:val="left"/>
    </w:pPr>
    <w:rPr>
      <w:rFonts w:ascii="宋体" w:hAnsi="Calibri" w:eastAsia="宋体" w:cs="Times New Roman"/>
      <w:kern w:val="0"/>
      <w:sz w:val="24"/>
      <w:szCs w:val="24"/>
    </w:rPr>
  </w:style>
  <w:style w:type="paragraph" w:styleId="30">
    <w:name w:val="Body Text Indent 3"/>
    <w:basedOn w:val="1"/>
    <w:link w:val="154"/>
    <w:qFormat/>
    <w:uiPriority w:val="0"/>
    <w:pPr>
      <w:autoSpaceDE w:val="0"/>
      <w:autoSpaceDN w:val="0"/>
      <w:adjustRightInd w:val="0"/>
      <w:spacing w:line="360" w:lineRule="auto"/>
      <w:ind w:firstLine="480" w:firstLineChars="200"/>
      <w:jc w:val="left"/>
    </w:pPr>
    <w:rPr>
      <w:rFonts w:ascii="宋体" w:hAnsi="Times New Roman" w:eastAsia="宋体" w:cs="Times New Roman"/>
      <w:kern w:val="0"/>
      <w:sz w:val="24"/>
      <w:szCs w:val="24"/>
    </w:rPr>
  </w:style>
  <w:style w:type="paragraph" w:styleId="31">
    <w:name w:val="toc 2"/>
    <w:basedOn w:val="1"/>
    <w:next w:val="1"/>
    <w:semiHidden/>
    <w:unhideWhenUsed/>
    <w:qFormat/>
    <w:uiPriority w:val="39"/>
    <w:pPr>
      <w:ind w:left="420" w:leftChars="200"/>
    </w:pPr>
  </w:style>
  <w:style w:type="paragraph" w:styleId="32">
    <w:name w:val="Body Text 2"/>
    <w:basedOn w:val="1"/>
    <w:link w:val="143"/>
    <w:qFormat/>
    <w:uiPriority w:val="0"/>
    <w:pPr>
      <w:tabs>
        <w:tab w:val="left" w:pos="0"/>
      </w:tabs>
      <w:spacing w:line="400" w:lineRule="atLeast"/>
    </w:pPr>
    <w:rPr>
      <w:rFonts w:ascii="Arial" w:hAnsi="Arial" w:eastAsia="宋体" w:cs="Times New Roman"/>
      <w:color w:val="000000"/>
      <w:szCs w:val="24"/>
    </w:rPr>
  </w:style>
  <w:style w:type="paragraph" w:styleId="33">
    <w:name w:val="HTML Preformatted"/>
    <w:basedOn w:val="1"/>
    <w:link w:val="8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Arial"/>
      <w:szCs w:val="21"/>
    </w:rPr>
  </w:style>
  <w:style w:type="paragraph" w:styleId="34">
    <w:name w:val="Normal (Web)"/>
    <w:basedOn w:val="1"/>
    <w:link w:val="93"/>
    <w:qFormat/>
    <w:uiPriority w:val="0"/>
    <w:pPr>
      <w:widowControl/>
      <w:spacing w:before="100" w:beforeAutospacing="1" w:after="100" w:afterAutospacing="1"/>
      <w:jc w:val="left"/>
    </w:pPr>
    <w:rPr>
      <w:rFonts w:ascii="宋体" w:hAnsi="宋体"/>
      <w:sz w:val="15"/>
      <w:szCs w:val="15"/>
    </w:rPr>
  </w:style>
  <w:style w:type="paragraph" w:styleId="35">
    <w:name w:val="Title"/>
    <w:basedOn w:val="1"/>
    <w:next w:val="1"/>
    <w:link w:val="58"/>
    <w:qFormat/>
    <w:uiPriority w:val="10"/>
    <w:pPr>
      <w:spacing w:before="120" w:after="60" w:line="300" w:lineRule="auto"/>
      <w:jc w:val="left"/>
      <w:outlineLvl w:val="0"/>
    </w:pPr>
    <w:rPr>
      <w:rFonts w:ascii="等线 Light" w:hAnsi="等线 Light" w:eastAsia="仿宋"/>
      <w:b/>
      <w:bCs/>
      <w:sz w:val="28"/>
      <w:szCs w:val="32"/>
    </w:rPr>
  </w:style>
  <w:style w:type="paragraph" w:styleId="36">
    <w:name w:val="annotation subject"/>
    <w:basedOn w:val="16"/>
    <w:next w:val="16"/>
    <w:link w:val="110"/>
    <w:qFormat/>
    <w:uiPriority w:val="99"/>
    <w:pPr>
      <w:autoSpaceDE w:val="0"/>
      <w:autoSpaceDN w:val="0"/>
      <w:adjustRightInd w:val="0"/>
    </w:pPr>
    <w:rPr>
      <w:rFonts w:ascii="宋体" w:hAnsi="Times New Roman" w:eastAsia="宋体" w:cs="Times New Roman"/>
      <w:b/>
      <w:bCs/>
      <w:kern w:val="0"/>
      <w:sz w:val="24"/>
      <w:szCs w:val="24"/>
    </w:rPr>
  </w:style>
  <w:style w:type="table" w:styleId="38">
    <w:name w:val="Table Grid"/>
    <w:basedOn w:val="3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qFormat/>
    <w:uiPriority w:val="0"/>
    <w:rPr>
      <w:b/>
      <w:bCs/>
    </w:rPr>
  </w:style>
  <w:style w:type="character" w:styleId="41">
    <w:name w:val="FollowedHyperlink"/>
    <w:unhideWhenUsed/>
    <w:qFormat/>
    <w:uiPriority w:val="99"/>
    <w:rPr>
      <w:color w:val="954F72"/>
      <w:u w:val="single"/>
    </w:rPr>
  </w:style>
  <w:style w:type="character" w:styleId="42">
    <w:name w:val="Emphasis"/>
    <w:qFormat/>
    <w:uiPriority w:val="0"/>
    <w:rPr>
      <w:i/>
      <w:iCs/>
    </w:rPr>
  </w:style>
  <w:style w:type="character" w:styleId="43">
    <w:name w:val="Hyperlink"/>
    <w:qFormat/>
    <w:uiPriority w:val="99"/>
    <w:rPr>
      <w:rFonts w:hint="default" w:ascii="Arial" w:hAnsi="Arial" w:cs="Arial"/>
      <w:color w:val="000000"/>
      <w:sz w:val="20"/>
      <w:szCs w:val="20"/>
      <w:u w:val="none"/>
    </w:rPr>
  </w:style>
  <w:style w:type="character" w:styleId="44">
    <w:name w:val="annotation reference"/>
    <w:qFormat/>
    <w:uiPriority w:val="99"/>
    <w:rPr>
      <w:sz w:val="21"/>
      <w:szCs w:val="21"/>
    </w:rPr>
  </w:style>
  <w:style w:type="paragraph" w:customStyle="1" w:styleId="45">
    <w:name w:val="文档正文"/>
    <w:basedOn w:val="1"/>
    <w:qFormat/>
    <w:uiPriority w:val="0"/>
    <w:pPr>
      <w:spacing w:line="360" w:lineRule="auto"/>
    </w:pPr>
    <w:rPr>
      <w:rFonts w:ascii="宋体" w:cs="Arial"/>
      <w:bCs/>
    </w:rPr>
  </w:style>
  <w:style w:type="paragraph" w:customStyle="1" w:styleId="46">
    <w:name w:val="首行缩进"/>
    <w:basedOn w:val="1"/>
    <w:qFormat/>
    <w:uiPriority w:val="0"/>
    <w:pPr>
      <w:ind w:firstLine="480" w:firstLineChars="200"/>
    </w:pPr>
    <w:rPr>
      <w:lang w:val="zh-CN"/>
    </w:rPr>
  </w:style>
  <w:style w:type="character" w:customStyle="1" w:styleId="47">
    <w:name w:val="标题 1 字符"/>
    <w:basedOn w:val="39"/>
    <w:qFormat/>
    <w:uiPriority w:val="0"/>
    <w:rPr>
      <w:b/>
      <w:bCs/>
      <w:kern w:val="44"/>
      <w:sz w:val="44"/>
      <w:szCs w:val="44"/>
    </w:rPr>
  </w:style>
  <w:style w:type="character" w:customStyle="1" w:styleId="48">
    <w:name w:val="标题 2 Char"/>
    <w:basedOn w:val="39"/>
    <w:link w:val="3"/>
    <w:qFormat/>
    <w:uiPriority w:val="0"/>
    <w:rPr>
      <w:rFonts w:ascii="宋体" w:hAnsi="Calibri" w:eastAsia="宋体" w:cs="Times New Roman"/>
      <w:kern w:val="0"/>
      <w:sz w:val="24"/>
      <w:szCs w:val="24"/>
    </w:rPr>
  </w:style>
  <w:style w:type="character" w:customStyle="1" w:styleId="49">
    <w:name w:val="标题 3 字符"/>
    <w:basedOn w:val="39"/>
    <w:qFormat/>
    <w:uiPriority w:val="0"/>
    <w:rPr>
      <w:b/>
      <w:bCs/>
      <w:sz w:val="32"/>
      <w:szCs w:val="32"/>
    </w:rPr>
  </w:style>
  <w:style w:type="character" w:customStyle="1" w:styleId="50">
    <w:name w:val="标题 4 Char1"/>
    <w:basedOn w:val="39"/>
    <w:link w:val="5"/>
    <w:qFormat/>
    <w:uiPriority w:val="9"/>
    <w:rPr>
      <w:rFonts w:ascii="Arial" w:hAnsi="Arial" w:eastAsia="黑体" w:cs="Times New Roman"/>
      <w:b/>
      <w:bCs/>
      <w:kern w:val="0"/>
      <w:sz w:val="28"/>
      <w:szCs w:val="28"/>
    </w:rPr>
  </w:style>
  <w:style w:type="character" w:customStyle="1" w:styleId="51">
    <w:name w:val="标题 5 字符"/>
    <w:basedOn w:val="39"/>
    <w:qFormat/>
    <w:uiPriority w:val="9"/>
    <w:rPr>
      <w:b/>
      <w:bCs/>
      <w:sz w:val="28"/>
      <w:szCs w:val="28"/>
    </w:rPr>
  </w:style>
  <w:style w:type="character" w:customStyle="1" w:styleId="52">
    <w:name w:val="标题 6 字符"/>
    <w:basedOn w:val="39"/>
    <w:qFormat/>
    <w:uiPriority w:val="0"/>
    <w:rPr>
      <w:rFonts w:asciiTheme="majorHAnsi" w:hAnsiTheme="majorHAnsi" w:eastAsiaTheme="majorEastAsia" w:cstheme="majorBidi"/>
      <w:b/>
      <w:bCs/>
      <w:sz w:val="24"/>
      <w:szCs w:val="24"/>
    </w:rPr>
  </w:style>
  <w:style w:type="character" w:customStyle="1" w:styleId="53">
    <w:name w:val="标题 7 Char"/>
    <w:basedOn w:val="39"/>
    <w:link w:val="9"/>
    <w:qFormat/>
    <w:uiPriority w:val="9"/>
    <w:rPr>
      <w:rFonts w:ascii="Times New Roman" w:hAnsi="Calibri" w:eastAsia="黑体" w:cs="Times New Roman"/>
      <w:b/>
      <w:bCs/>
      <w:kern w:val="0"/>
      <w:sz w:val="28"/>
      <w:szCs w:val="24"/>
    </w:rPr>
  </w:style>
  <w:style w:type="character" w:customStyle="1" w:styleId="54">
    <w:name w:val="标题 8 Char"/>
    <w:basedOn w:val="39"/>
    <w:link w:val="10"/>
    <w:qFormat/>
    <w:uiPriority w:val="9"/>
    <w:rPr>
      <w:rFonts w:ascii="Times New Roman" w:hAnsi="Calibri" w:eastAsia="黑体" w:cs="Times New Roman"/>
      <w:b/>
      <w:kern w:val="0"/>
      <w:sz w:val="28"/>
      <w:szCs w:val="24"/>
    </w:rPr>
  </w:style>
  <w:style w:type="character" w:customStyle="1" w:styleId="55">
    <w:name w:val="标题 9 Char"/>
    <w:basedOn w:val="39"/>
    <w:link w:val="11"/>
    <w:qFormat/>
    <w:uiPriority w:val="9"/>
    <w:rPr>
      <w:rFonts w:ascii="Times New Roman" w:hAnsi="Calibri" w:eastAsia="黑体" w:cs="Times New Roman"/>
      <w:b/>
      <w:kern w:val="0"/>
      <w:sz w:val="28"/>
      <w:szCs w:val="24"/>
    </w:rPr>
  </w:style>
  <w:style w:type="character" w:customStyle="1" w:styleId="56">
    <w:name w:val="正文文本缩进 字符"/>
    <w:qFormat/>
    <w:uiPriority w:val="0"/>
    <w:rPr>
      <w:rFonts w:ascii="Times New Roman" w:hAnsi="Times New Roman" w:eastAsia="宋体" w:cs="Times New Roman"/>
      <w:szCs w:val="20"/>
    </w:rPr>
  </w:style>
  <w:style w:type="character" w:customStyle="1" w:styleId="57">
    <w:name w:val="普通(网站) Char"/>
    <w:qFormat/>
    <w:locked/>
    <w:uiPriority w:val="0"/>
    <w:rPr>
      <w:rFonts w:ascii="宋体" w:hAnsi="宋体"/>
      <w:sz w:val="15"/>
      <w:szCs w:val="15"/>
    </w:rPr>
  </w:style>
  <w:style w:type="character" w:customStyle="1" w:styleId="58">
    <w:name w:val="标题 Char"/>
    <w:link w:val="35"/>
    <w:qFormat/>
    <w:uiPriority w:val="10"/>
    <w:rPr>
      <w:rFonts w:ascii="等线 Light" w:hAnsi="等线 Light" w:eastAsia="仿宋"/>
      <w:b/>
      <w:bCs/>
      <w:sz w:val="28"/>
      <w:szCs w:val="32"/>
    </w:rPr>
  </w:style>
  <w:style w:type="character" w:customStyle="1" w:styleId="59">
    <w:name w:val="日期 Char"/>
    <w:semiHidden/>
    <w:qFormat/>
    <w:uiPriority w:val="99"/>
    <w:rPr>
      <w:kern w:val="2"/>
      <w:sz w:val="21"/>
    </w:rPr>
  </w:style>
  <w:style w:type="character" w:customStyle="1" w:styleId="60">
    <w:name w:val="文档结构图 字符1"/>
    <w:semiHidden/>
    <w:qFormat/>
    <w:uiPriority w:val="99"/>
    <w:rPr>
      <w:rFonts w:ascii="Microsoft YaHei UI" w:hAnsi="Calibri" w:eastAsia="Microsoft YaHei UI" w:cs="Times New Roman"/>
      <w:kern w:val="0"/>
      <w:sz w:val="18"/>
      <w:szCs w:val="18"/>
    </w:rPr>
  </w:style>
  <w:style w:type="character" w:customStyle="1" w:styleId="61">
    <w:name w:val="批注文字 Char"/>
    <w:semiHidden/>
    <w:qFormat/>
    <w:uiPriority w:val="99"/>
    <w:rPr>
      <w:kern w:val="2"/>
      <w:sz w:val="21"/>
    </w:rPr>
  </w:style>
  <w:style w:type="character" w:customStyle="1" w:styleId="62">
    <w:name w:val="正文缩进2格 Char"/>
    <w:link w:val="63"/>
    <w:qFormat/>
    <w:uiPriority w:val="0"/>
    <w:rPr>
      <w:rFonts w:ascii="仿宋_GB2312" w:hAnsi="宋体" w:eastAsia="仿宋_GB2312"/>
      <w:sz w:val="31"/>
      <w:szCs w:val="28"/>
    </w:rPr>
  </w:style>
  <w:style w:type="paragraph" w:customStyle="1" w:styleId="63">
    <w:name w:val="正文缩进2格"/>
    <w:basedOn w:val="1"/>
    <w:link w:val="62"/>
    <w:qFormat/>
    <w:uiPriority w:val="0"/>
    <w:pPr>
      <w:spacing w:line="600" w:lineRule="exact"/>
      <w:ind w:firstLine="639" w:firstLineChars="206"/>
    </w:pPr>
    <w:rPr>
      <w:rFonts w:ascii="仿宋_GB2312" w:hAnsi="宋体" w:eastAsia="仿宋_GB2312"/>
      <w:sz w:val="31"/>
      <w:szCs w:val="28"/>
    </w:rPr>
  </w:style>
  <w:style w:type="character" w:customStyle="1" w:styleId="64">
    <w:name w:val="批注文字 字符"/>
    <w:semiHidden/>
    <w:qFormat/>
    <w:uiPriority w:val="99"/>
    <w:rPr>
      <w:rFonts w:ascii="Times New Roman" w:hAnsi="Times New Roman"/>
      <w:kern w:val="2"/>
      <w:sz w:val="24"/>
      <w:szCs w:val="24"/>
    </w:rPr>
  </w:style>
  <w:style w:type="character" w:customStyle="1" w:styleId="65">
    <w:name w:val="正文文本缩进 Char"/>
    <w:qFormat/>
    <w:uiPriority w:val="0"/>
    <w:rPr>
      <w:rFonts w:ascii="Times New Roman" w:hAnsi="Times New Roman" w:eastAsia="宋体" w:cs="Times New Roman"/>
      <w:szCs w:val="20"/>
      <w:lang w:val="en-US" w:eastAsia="zh-CN"/>
    </w:rPr>
  </w:style>
  <w:style w:type="character" w:customStyle="1" w:styleId="66">
    <w:name w:val="批注框文本 字符1"/>
    <w:semiHidden/>
    <w:qFormat/>
    <w:uiPriority w:val="99"/>
    <w:rPr>
      <w:rFonts w:ascii="宋体" w:hAnsi="Calibri" w:eastAsia="宋体" w:cs="Times New Roman"/>
      <w:kern w:val="0"/>
      <w:sz w:val="18"/>
      <w:szCs w:val="18"/>
    </w:rPr>
  </w:style>
  <w:style w:type="character" w:customStyle="1" w:styleId="67">
    <w:name w:val="List Paragraph Char"/>
    <w:link w:val="68"/>
    <w:qFormat/>
    <w:uiPriority w:val="34"/>
    <w:rPr>
      <w:rFonts w:ascii="Calibri" w:hAnsi="Calibri"/>
    </w:rPr>
  </w:style>
  <w:style w:type="paragraph" w:customStyle="1" w:styleId="68">
    <w:name w:val="列出段落1"/>
    <w:basedOn w:val="1"/>
    <w:link w:val="67"/>
    <w:qFormat/>
    <w:uiPriority w:val="34"/>
    <w:pPr>
      <w:ind w:firstLine="420" w:firstLineChars="200"/>
    </w:pPr>
    <w:rPr>
      <w:rFonts w:ascii="Calibri" w:hAnsi="Calibri"/>
    </w:rPr>
  </w:style>
  <w:style w:type="character" w:customStyle="1" w:styleId="69">
    <w:name w:val="标书正文 字符"/>
    <w:link w:val="70"/>
    <w:qFormat/>
    <w:uiPriority w:val="0"/>
    <w:rPr>
      <w:rFonts w:ascii="Calibri" w:hAnsi="Calibri" w:eastAsia="仿宋"/>
      <w:sz w:val="24"/>
      <w:szCs w:val="21"/>
    </w:rPr>
  </w:style>
  <w:style w:type="paragraph" w:customStyle="1" w:styleId="70">
    <w:name w:val="标书正文"/>
    <w:basedOn w:val="1"/>
    <w:link w:val="69"/>
    <w:qFormat/>
    <w:uiPriority w:val="0"/>
    <w:pPr>
      <w:adjustRightInd w:val="0"/>
      <w:snapToGrid w:val="0"/>
      <w:spacing w:beforeLines="50" w:line="360" w:lineRule="auto"/>
      <w:ind w:firstLine="200" w:firstLineChars="200"/>
    </w:pPr>
    <w:rPr>
      <w:rFonts w:ascii="Calibri" w:hAnsi="Calibri" w:eastAsia="仿宋"/>
      <w:sz w:val="24"/>
      <w:szCs w:val="21"/>
    </w:rPr>
  </w:style>
  <w:style w:type="character" w:customStyle="1" w:styleId="71">
    <w:name w:val="正文文本 字符"/>
    <w:semiHidden/>
    <w:qFormat/>
    <w:uiPriority w:val="99"/>
    <w:rPr>
      <w:rFonts w:ascii="Times New Roman" w:hAnsi="Times New Roman"/>
      <w:kern w:val="2"/>
      <w:sz w:val="24"/>
      <w:szCs w:val="24"/>
    </w:rPr>
  </w:style>
  <w:style w:type="character" w:customStyle="1" w:styleId="72">
    <w:name w:val="页脚 Char"/>
    <w:qFormat/>
    <w:uiPriority w:val="0"/>
    <w:rPr>
      <w:kern w:val="2"/>
      <w:sz w:val="18"/>
      <w:szCs w:val="18"/>
    </w:rPr>
  </w:style>
  <w:style w:type="character" w:customStyle="1" w:styleId="73">
    <w:name w:val="neir1"/>
    <w:qFormat/>
    <w:uiPriority w:val="0"/>
    <w:rPr>
      <w:rFonts w:hint="default" w:ascii="ˎ̥" w:hAnsi="ˎ̥"/>
      <w:color w:val="333333"/>
      <w:sz w:val="21"/>
      <w:szCs w:val="21"/>
      <w:u w:val="none"/>
    </w:rPr>
  </w:style>
  <w:style w:type="character" w:customStyle="1" w:styleId="74">
    <w:name w:val="批注框文本 Char1"/>
    <w:link w:val="25"/>
    <w:qFormat/>
    <w:uiPriority w:val="0"/>
    <w:rPr>
      <w:rFonts w:ascii="Times New Roman" w:hAnsi="Times New Roman" w:eastAsia="宋体" w:cs="Times New Roman"/>
      <w:sz w:val="18"/>
      <w:szCs w:val="18"/>
    </w:rPr>
  </w:style>
  <w:style w:type="character" w:customStyle="1" w:styleId="75">
    <w:name w:val="正文文本 3 字符1"/>
    <w:semiHidden/>
    <w:qFormat/>
    <w:uiPriority w:val="99"/>
    <w:rPr>
      <w:rFonts w:ascii="宋体" w:hAnsi="Calibri" w:eastAsia="宋体" w:cs="Times New Roman"/>
      <w:kern w:val="0"/>
      <w:sz w:val="16"/>
      <w:szCs w:val="16"/>
    </w:rPr>
  </w:style>
  <w:style w:type="character" w:customStyle="1" w:styleId="76">
    <w:name w:val="正文文本 字符3"/>
    <w:semiHidden/>
    <w:qFormat/>
    <w:uiPriority w:val="99"/>
    <w:rPr>
      <w:rFonts w:ascii="宋体" w:hAnsi="Calibri" w:eastAsia="宋体" w:cs="Times New Roman"/>
      <w:kern w:val="0"/>
      <w:sz w:val="24"/>
      <w:szCs w:val="24"/>
    </w:rPr>
  </w:style>
  <w:style w:type="character" w:customStyle="1" w:styleId="77">
    <w:name w:val="日期 字符1"/>
    <w:semiHidden/>
    <w:qFormat/>
    <w:uiPriority w:val="99"/>
    <w:rPr>
      <w:rFonts w:ascii="宋体" w:hAnsi="Calibri" w:eastAsia="宋体" w:cs="Times New Roman"/>
      <w:kern w:val="0"/>
      <w:sz w:val="24"/>
      <w:szCs w:val="24"/>
    </w:rPr>
  </w:style>
  <w:style w:type="character" w:customStyle="1" w:styleId="78">
    <w:name w:val="页脚 Char2"/>
    <w:link w:val="26"/>
    <w:qFormat/>
    <w:uiPriority w:val="99"/>
    <w:rPr>
      <w:rFonts w:ascii="宋体" w:eastAsia="宋体"/>
      <w:sz w:val="18"/>
      <w:szCs w:val="18"/>
    </w:rPr>
  </w:style>
  <w:style w:type="character" w:customStyle="1" w:styleId="79">
    <w:name w:val="吉奥正文 Char"/>
    <w:link w:val="80"/>
    <w:qFormat/>
    <w:locked/>
    <w:uiPriority w:val="0"/>
    <w:rPr>
      <w:rFonts w:eastAsia="仿宋_GB2312"/>
      <w:sz w:val="28"/>
    </w:rPr>
  </w:style>
  <w:style w:type="paragraph" w:customStyle="1" w:styleId="80">
    <w:name w:val="吉奥正文"/>
    <w:basedOn w:val="1"/>
    <w:link w:val="79"/>
    <w:qFormat/>
    <w:uiPriority w:val="0"/>
    <w:pPr>
      <w:adjustRightInd w:val="0"/>
      <w:snapToGrid w:val="0"/>
      <w:spacing w:before="120" w:line="360" w:lineRule="auto"/>
      <w:ind w:firstLine="200" w:firstLineChars="200"/>
      <w:textAlignment w:val="baseline"/>
    </w:pPr>
    <w:rPr>
      <w:rFonts w:eastAsia="仿宋_GB2312"/>
      <w:sz w:val="28"/>
    </w:rPr>
  </w:style>
  <w:style w:type="character" w:customStyle="1" w:styleId="81">
    <w:name w:val="页脚 Char1"/>
    <w:qFormat/>
    <w:uiPriority w:val="99"/>
    <w:rPr>
      <w:rFonts w:ascii="宋体" w:hAnsi="Times New Roman" w:eastAsia="宋体" w:cs="Times New Roman"/>
      <w:kern w:val="0"/>
      <w:sz w:val="18"/>
      <w:szCs w:val="18"/>
    </w:rPr>
  </w:style>
  <w:style w:type="character" w:customStyle="1" w:styleId="82">
    <w:name w:val="标题 字符"/>
    <w:qFormat/>
    <w:uiPriority w:val="10"/>
    <w:rPr>
      <w:rFonts w:ascii="Cambria" w:hAnsi="Cambria" w:eastAsia="宋体" w:cs="Times New Roman"/>
      <w:b/>
      <w:bCs/>
      <w:kern w:val="0"/>
      <w:sz w:val="32"/>
      <w:szCs w:val="32"/>
      <w:lang w:val="en-US" w:eastAsia="zh-CN"/>
    </w:rPr>
  </w:style>
  <w:style w:type="character" w:customStyle="1" w:styleId="83">
    <w:name w:val="题注 Char"/>
    <w:link w:val="13"/>
    <w:qFormat/>
    <w:uiPriority w:val="0"/>
    <w:rPr>
      <w:rFonts w:ascii="Arial" w:hAnsi="Arial" w:eastAsia="黑体" w:cs="Arial"/>
    </w:rPr>
  </w:style>
  <w:style w:type="character" w:customStyle="1" w:styleId="84">
    <w:name w:val="批注文字 字符2"/>
    <w:qFormat/>
    <w:uiPriority w:val="99"/>
    <w:rPr>
      <w:rFonts w:ascii="宋体" w:hAnsi="Times New Roman" w:eastAsia="宋体" w:cs="Times New Roman"/>
      <w:kern w:val="0"/>
      <w:sz w:val="24"/>
      <w:szCs w:val="24"/>
    </w:rPr>
  </w:style>
  <w:style w:type="character" w:customStyle="1" w:styleId="85">
    <w:name w:val="批注主题 字符1"/>
    <w:semiHidden/>
    <w:qFormat/>
    <w:uiPriority w:val="99"/>
    <w:rPr>
      <w:rFonts w:ascii="宋体" w:hAnsi="Calibri" w:eastAsia="宋体" w:cs="Times New Roman"/>
      <w:b/>
      <w:bCs/>
      <w:kern w:val="0"/>
      <w:sz w:val="24"/>
      <w:szCs w:val="24"/>
    </w:rPr>
  </w:style>
  <w:style w:type="character" w:customStyle="1" w:styleId="86">
    <w:name w:val="HTML 预设格式 Char"/>
    <w:link w:val="33"/>
    <w:qFormat/>
    <w:uiPriority w:val="99"/>
    <w:rPr>
      <w:rFonts w:ascii="Arial" w:hAnsi="Arial" w:eastAsia="宋体" w:cs="Arial"/>
      <w:szCs w:val="21"/>
    </w:rPr>
  </w:style>
  <w:style w:type="character" w:customStyle="1" w:styleId="87">
    <w:name w:val="标题 3.1 Char"/>
    <w:link w:val="88"/>
    <w:qFormat/>
    <w:uiPriority w:val="0"/>
    <w:rPr>
      <w:rFonts w:ascii="宋体" w:hAnsi="宋体"/>
      <w:b/>
      <w:bCs/>
      <w:sz w:val="32"/>
      <w:szCs w:val="32"/>
    </w:rPr>
  </w:style>
  <w:style w:type="paragraph" w:customStyle="1" w:styleId="88">
    <w:name w:val="标题 3.1"/>
    <w:basedOn w:val="4"/>
    <w:link w:val="87"/>
    <w:qFormat/>
    <w:uiPriority w:val="0"/>
    <w:pPr>
      <w:keepNext/>
      <w:keepLines/>
      <w:pageBreakBefore/>
      <w:tabs>
        <w:tab w:val="left" w:pos="1440"/>
        <w:tab w:val="left" w:pos="1620"/>
      </w:tabs>
      <w:autoSpaceDE/>
      <w:autoSpaceDN/>
      <w:adjustRightInd/>
      <w:spacing w:before="260" w:after="260" w:line="600" w:lineRule="exact"/>
      <w:jc w:val="both"/>
    </w:pPr>
    <w:rPr>
      <w:rFonts w:hAnsi="宋体" w:eastAsiaTheme="minorEastAsia" w:cstheme="minorBidi"/>
      <w:b/>
      <w:bCs/>
      <w:kern w:val="2"/>
      <w:sz w:val="32"/>
      <w:szCs w:val="32"/>
    </w:rPr>
  </w:style>
  <w:style w:type="character" w:customStyle="1" w:styleId="89">
    <w:name w:val="HTML 预设格式 Char1"/>
    <w:semiHidden/>
    <w:qFormat/>
    <w:uiPriority w:val="99"/>
    <w:rPr>
      <w:rFonts w:ascii="Courier New" w:hAnsi="Courier New" w:eastAsia="宋体" w:cs="Courier New"/>
      <w:kern w:val="0"/>
      <w:sz w:val="20"/>
      <w:szCs w:val="20"/>
    </w:rPr>
  </w:style>
  <w:style w:type="character" w:customStyle="1" w:styleId="90">
    <w:name w:val="批注文字 字符1"/>
    <w:qFormat/>
    <w:uiPriority w:val="0"/>
    <w:rPr>
      <w:rFonts w:eastAsia="宋体"/>
      <w:kern w:val="2"/>
      <w:sz w:val="24"/>
      <w:szCs w:val="24"/>
      <w:lang w:val="en-US" w:eastAsia="zh-CN" w:bidi="ar-SA"/>
    </w:rPr>
  </w:style>
  <w:style w:type="character" w:customStyle="1" w:styleId="91">
    <w:name w:val="正文文本缩进 字符2"/>
    <w:semiHidden/>
    <w:qFormat/>
    <w:uiPriority w:val="99"/>
    <w:rPr>
      <w:rFonts w:ascii="宋体" w:hAnsi="Calibri" w:eastAsia="宋体" w:cs="Times New Roman"/>
      <w:kern w:val="0"/>
      <w:sz w:val="24"/>
      <w:szCs w:val="24"/>
    </w:rPr>
  </w:style>
  <w:style w:type="character" w:customStyle="1" w:styleId="92">
    <w:name w:val="正文文本缩进 Char1"/>
    <w:link w:val="20"/>
    <w:qFormat/>
    <w:uiPriority w:val="0"/>
    <w:rPr>
      <w:rFonts w:ascii="Times New Roman" w:hAnsi="Times New Roman" w:eastAsia="宋体" w:cs="Times New Roman"/>
      <w:szCs w:val="20"/>
    </w:rPr>
  </w:style>
  <w:style w:type="character" w:customStyle="1" w:styleId="93">
    <w:name w:val="普通(网站) Char1"/>
    <w:link w:val="34"/>
    <w:qFormat/>
    <w:locked/>
    <w:uiPriority w:val="0"/>
    <w:rPr>
      <w:rFonts w:ascii="宋体" w:hAnsi="宋体"/>
      <w:sz w:val="15"/>
      <w:szCs w:val="15"/>
    </w:rPr>
  </w:style>
  <w:style w:type="character" w:customStyle="1" w:styleId="94">
    <w:name w:val="模板正文 Char"/>
    <w:link w:val="8"/>
    <w:qFormat/>
    <w:uiPriority w:val="0"/>
    <w:rPr>
      <w:rFonts w:ascii="宋体" w:eastAsia="仿宋"/>
      <w:sz w:val="24"/>
      <w:szCs w:val="21"/>
    </w:rPr>
  </w:style>
  <w:style w:type="character" w:customStyle="1" w:styleId="95">
    <w:name w:val="批注主题 Char"/>
    <w:semiHidden/>
    <w:qFormat/>
    <w:uiPriority w:val="99"/>
    <w:rPr>
      <w:b/>
      <w:bCs/>
      <w:kern w:val="2"/>
      <w:sz w:val="21"/>
    </w:rPr>
  </w:style>
  <w:style w:type="character" w:customStyle="1" w:styleId="96">
    <w:name w:val="正文文本 Char1"/>
    <w:qFormat/>
    <w:uiPriority w:val="0"/>
    <w:rPr>
      <w:rFonts w:ascii="宋体" w:hAnsi="Times New Roman" w:eastAsia="宋体" w:cs="Times New Roman"/>
      <w:kern w:val="0"/>
      <w:sz w:val="24"/>
      <w:szCs w:val="24"/>
    </w:rPr>
  </w:style>
  <w:style w:type="character" w:customStyle="1" w:styleId="97">
    <w:name w:val="正文文本 字符1"/>
    <w:qFormat/>
    <w:uiPriority w:val="99"/>
    <w:rPr>
      <w:rFonts w:ascii="宋体" w:eastAsia="宋体"/>
      <w:b/>
      <w:bCs/>
      <w:sz w:val="84"/>
      <w:szCs w:val="84"/>
      <w:lang w:val="zh-CN"/>
    </w:rPr>
  </w:style>
  <w:style w:type="character" w:customStyle="1" w:styleId="98">
    <w:name w:val="标题 1 Char"/>
    <w:qFormat/>
    <w:uiPriority w:val="9"/>
    <w:rPr>
      <w:rFonts w:ascii="宋体" w:hAnsi="Times New Roman" w:eastAsia="宋体" w:cs="Times New Roman"/>
      <w:kern w:val="0"/>
      <w:sz w:val="24"/>
      <w:szCs w:val="24"/>
    </w:rPr>
  </w:style>
  <w:style w:type="character" w:customStyle="1" w:styleId="99">
    <w:name w:val="正文文本 Char2"/>
    <w:qFormat/>
    <w:uiPriority w:val="99"/>
    <w:rPr>
      <w:rFonts w:ascii="宋体" w:eastAsia="宋体"/>
      <w:b/>
      <w:bCs/>
      <w:sz w:val="84"/>
      <w:szCs w:val="84"/>
      <w:lang w:val="zh-CN"/>
    </w:rPr>
  </w:style>
  <w:style w:type="character" w:customStyle="1" w:styleId="100">
    <w:name w:val="纯文本 Char2"/>
    <w:link w:val="22"/>
    <w:qFormat/>
    <w:uiPriority w:val="0"/>
    <w:rPr>
      <w:rFonts w:ascii="宋体" w:hAnsi="Courier New" w:eastAsia="宋体"/>
    </w:rPr>
  </w:style>
  <w:style w:type="character" w:customStyle="1" w:styleId="101">
    <w:name w:val="正文文本缩进 2 Char"/>
    <w:link w:val="24"/>
    <w:qFormat/>
    <w:uiPriority w:val="0"/>
    <w:rPr>
      <w:rFonts w:ascii="宋体" w:hAnsi="Times New Roman" w:eastAsia="宋体" w:cs="Times New Roman"/>
      <w:szCs w:val="20"/>
    </w:rPr>
  </w:style>
  <w:style w:type="character" w:customStyle="1" w:styleId="102">
    <w:name w:val="HTML Markup"/>
    <w:qFormat/>
    <w:uiPriority w:val="0"/>
    <w:rPr>
      <w:vanish/>
      <w:color w:val="FF0000"/>
    </w:rPr>
  </w:style>
  <w:style w:type="character" w:customStyle="1" w:styleId="103">
    <w:name w:val="页眉 Char1"/>
    <w:qFormat/>
    <w:uiPriority w:val="0"/>
    <w:rPr>
      <w:rFonts w:ascii="宋体" w:hAnsi="Times New Roman" w:eastAsia="宋体" w:cs="Times New Roman"/>
      <w:kern w:val="0"/>
      <w:sz w:val="18"/>
      <w:szCs w:val="18"/>
    </w:rPr>
  </w:style>
  <w:style w:type="character" w:customStyle="1" w:styleId="104">
    <w:name w:val="font11"/>
    <w:qFormat/>
    <w:uiPriority w:val="0"/>
    <w:rPr>
      <w:rFonts w:hint="eastAsia" w:ascii="宋体" w:hAnsi="宋体" w:eastAsia="宋体" w:cs="宋体"/>
      <w:color w:val="FF0000"/>
      <w:sz w:val="22"/>
      <w:szCs w:val="22"/>
      <w:u w:val="none"/>
    </w:rPr>
  </w:style>
  <w:style w:type="character" w:customStyle="1" w:styleId="105">
    <w:name w:val="style61"/>
    <w:qFormat/>
    <w:uiPriority w:val="0"/>
    <w:rPr>
      <w:b/>
      <w:bCs/>
    </w:rPr>
  </w:style>
  <w:style w:type="character" w:customStyle="1" w:styleId="106">
    <w:name w:val="表头文字 Char"/>
    <w:link w:val="107"/>
    <w:qFormat/>
    <w:uiPriority w:val="0"/>
    <w:rPr>
      <w:rFonts w:eastAsia="仿宋_GB2312"/>
      <w:b/>
      <w:sz w:val="28"/>
      <w:szCs w:val="21"/>
    </w:rPr>
  </w:style>
  <w:style w:type="paragraph" w:customStyle="1" w:styleId="107">
    <w:name w:val="表头文字"/>
    <w:basedOn w:val="1"/>
    <w:link w:val="106"/>
    <w:qFormat/>
    <w:uiPriority w:val="0"/>
    <w:pPr>
      <w:adjustRightInd w:val="0"/>
      <w:snapToGrid w:val="0"/>
      <w:spacing w:before="120" w:line="360" w:lineRule="auto"/>
      <w:jc w:val="center"/>
      <w:textAlignment w:val="baseline"/>
    </w:pPr>
    <w:rPr>
      <w:rFonts w:eastAsia="仿宋_GB2312"/>
      <w:b/>
      <w:sz w:val="28"/>
      <w:szCs w:val="21"/>
    </w:rPr>
  </w:style>
  <w:style w:type="character" w:customStyle="1" w:styleId="108">
    <w:name w:val="日期 Char1"/>
    <w:link w:val="23"/>
    <w:qFormat/>
    <w:uiPriority w:val="99"/>
    <w:rPr>
      <w:rFonts w:ascii="宋体" w:hAnsi="Times New Roman" w:eastAsia="宋体" w:cs="Times New Roman"/>
      <w:b/>
      <w:bCs/>
      <w:szCs w:val="21"/>
      <w:lang w:val="zh-CN"/>
    </w:rPr>
  </w:style>
  <w:style w:type="character" w:customStyle="1" w:styleId="109">
    <w:name w:val="纯文本 Char1"/>
    <w:qFormat/>
    <w:uiPriority w:val="0"/>
    <w:rPr>
      <w:rFonts w:ascii="宋体" w:hAnsi="Courier New" w:eastAsia="宋体" w:cs="Courier New"/>
      <w:kern w:val="0"/>
      <w:szCs w:val="21"/>
    </w:rPr>
  </w:style>
  <w:style w:type="character" w:customStyle="1" w:styleId="110">
    <w:name w:val="批注主题 Char1"/>
    <w:link w:val="36"/>
    <w:qFormat/>
    <w:uiPriority w:val="99"/>
    <w:rPr>
      <w:rFonts w:ascii="宋体" w:hAnsi="Times New Roman" w:eastAsia="宋体" w:cs="Times New Roman"/>
      <w:b/>
      <w:bCs/>
      <w:kern w:val="0"/>
      <w:sz w:val="24"/>
      <w:szCs w:val="24"/>
    </w:rPr>
  </w:style>
  <w:style w:type="character" w:customStyle="1" w:styleId="111">
    <w:name w:val="纯文本 字符"/>
    <w:qFormat/>
    <w:uiPriority w:val="99"/>
    <w:rPr>
      <w:rFonts w:ascii="宋体" w:hAnsi="Courier New" w:eastAsia="宋体" w:cs="Times New Roman"/>
      <w:szCs w:val="20"/>
      <w:lang w:val="en-US" w:eastAsia="zh-CN"/>
    </w:rPr>
  </w:style>
  <w:style w:type="character" w:customStyle="1" w:styleId="112">
    <w:name w:val="font71"/>
    <w:qFormat/>
    <w:uiPriority w:val="0"/>
    <w:rPr>
      <w:rFonts w:hint="eastAsia" w:ascii="宋体" w:hAnsi="宋体" w:eastAsia="宋体" w:cs="宋体"/>
      <w:color w:val="FF0000"/>
      <w:sz w:val="18"/>
      <w:szCs w:val="18"/>
      <w:u w:val="none"/>
    </w:rPr>
  </w:style>
  <w:style w:type="character" w:customStyle="1" w:styleId="113">
    <w:name w:val="font21"/>
    <w:qFormat/>
    <w:uiPriority w:val="0"/>
    <w:rPr>
      <w:rFonts w:hint="eastAsia" w:ascii="宋体" w:hAnsi="宋体" w:eastAsia="宋体" w:cs="宋体"/>
      <w:b/>
      <w:color w:val="000000"/>
      <w:sz w:val="21"/>
      <w:szCs w:val="21"/>
      <w:u w:val="none"/>
    </w:rPr>
  </w:style>
  <w:style w:type="character" w:customStyle="1" w:styleId="114">
    <w:name w:val="纯文本 字符3"/>
    <w:semiHidden/>
    <w:qFormat/>
    <w:uiPriority w:val="99"/>
    <w:rPr>
      <w:rFonts w:ascii="等线" w:hAnsi="Courier New" w:cs="Courier New"/>
      <w:kern w:val="0"/>
      <w:sz w:val="24"/>
      <w:szCs w:val="24"/>
    </w:rPr>
  </w:style>
  <w:style w:type="character" w:customStyle="1" w:styleId="115">
    <w:name w:val="font31"/>
    <w:qFormat/>
    <w:uiPriority w:val="0"/>
    <w:rPr>
      <w:rFonts w:hint="eastAsia" w:ascii="宋体" w:hAnsi="宋体" w:eastAsia="宋体" w:cs="宋体"/>
      <w:color w:val="000000"/>
      <w:sz w:val="18"/>
      <w:szCs w:val="18"/>
      <w:u w:val="none"/>
    </w:rPr>
  </w:style>
  <w:style w:type="character" w:customStyle="1" w:styleId="116">
    <w:name w:val="文档结构图 Char"/>
    <w:link w:val="14"/>
    <w:semiHidden/>
    <w:qFormat/>
    <w:uiPriority w:val="99"/>
    <w:rPr>
      <w:rFonts w:ascii="宋体" w:hAnsi="Times New Roman" w:eastAsia="宋体" w:cs="Times New Roman"/>
      <w:kern w:val="0"/>
      <w:sz w:val="24"/>
      <w:szCs w:val="24"/>
      <w:shd w:val="clear" w:color="auto" w:fill="000080"/>
    </w:rPr>
  </w:style>
  <w:style w:type="character" w:customStyle="1" w:styleId="117">
    <w:name w:val="普通(网站) 字符1"/>
    <w:qFormat/>
    <w:locked/>
    <w:uiPriority w:val="0"/>
    <w:rPr>
      <w:rFonts w:ascii="宋体" w:hAnsi="宋体"/>
      <w:sz w:val="15"/>
      <w:szCs w:val="15"/>
    </w:rPr>
  </w:style>
  <w:style w:type="character" w:customStyle="1" w:styleId="118">
    <w:name w:val="正文文本 Char3"/>
    <w:link w:val="18"/>
    <w:qFormat/>
    <w:uiPriority w:val="99"/>
    <w:rPr>
      <w:rFonts w:ascii="宋体" w:eastAsia="宋体"/>
      <w:b/>
      <w:bCs/>
      <w:sz w:val="84"/>
      <w:szCs w:val="84"/>
      <w:lang w:val="zh-CN"/>
    </w:rPr>
  </w:style>
  <w:style w:type="character" w:customStyle="1" w:styleId="119">
    <w:name w:val="标题 5 Char"/>
    <w:semiHidden/>
    <w:qFormat/>
    <w:uiPriority w:val="9"/>
    <w:rPr>
      <w:b/>
      <w:bCs/>
      <w:kern w:val="2"/>
      <w:sz w:val="28"/>
      <w:szCs w:val="28"/>
    </w:rPr>
  </w:style>
  <w:style w:type="character" w:customStyle="1" w:styleId="120">
    <w:name w:val="页眉 Char2"/>
    <w:link w:val="27"/>
    <w:qFormat/>
    <w:uiPriority w:val="99"/>
    <w:rPr>
      <w:rFonts w:ascii="宋体" w:eastAsia="宋体"/>
      <w:sz w:val="18"/>
      <w:szCs w:val="18"/>
    </w:rPr>
  </w:style>
  <w:style w:type="character" w:customStyle="1" w:styleId="121">
    <w:name w:val="表格文字 Char"/>
    <w:link w:val="122"/>
    <w:qFormat/>
    <w:uiPriority w:val="0"/>
    <w:rPr>
      <w:rFonts w:eastAsia="仿宋_GB2312"/>
      <w:sz w:val="28"/>
      <w:szCs w:val="24"/>
    </w:rPr>
  </w:style>
  <w:style w:type="paragraph" w:customStyle="1" w:styleId="122">
    <w:name w:val="表格文字"/>
    <w:basedOn w:val="1"/>
    <w:link w:val="121"/>
    <w:qFormat/>
    <w:uiPriority w:val="0"/>
    <w:rPr>
      <w:rFonts w:eastAsia="仿宋_GB2312"/>
      <w:sz w:val="28"/>
      <w:szCs w:val="24"/>
    </w:rPr>
  </w:style>
  <w:style w:type="character" w:customStyle="1" w:styleId="123">
    <w:name w:val="标题 字符2"/>
    <w:qFormat/>
    <w:uiPriority w:val="10"/>
    <w:rPr>
      <w:rFonts w:ascii="等线 Light" w:hAnsi="等线 Light" w:eastAsia="等线 Light" w:cs="Times New Roman"/>
      <w:b/>
      <w:bCs/>
      <w:kern w:val="0"/>
      <w:sz w:val="32"/>
      <w:szCs w:val="32"/>
    </w:rPr>
  </w:style>
  <w:style w:type="character" w:customStyle="1" w:styleId="124">
    <w:name w:val="正文缩进2格 Char Char"/>
    <w:qFormat/>
    <w:uiPriority w:val="0"/>
    <w:rPr>
      <w:rFonts w:ascii="仿宋_GB2312" w:hAnsi="宋体" w:eastAsia="仿宋_GB2312"/>
      <w:kern w:val="2"/>
      <w:sz w:val="31"/>
      <w:szCs w:val="28"/>
      <w:lang w:val="en-US" w:eastAsia="zh-CN" w:bidi="ar-SA"/>
    </w:rPr>
  </w:style>
  <w:style w:type="character" w:customStyle="1" w:styleId="125">
    <w:name w:val="小 Char"/>
    <w:qFormat/>
    <w:uiPriority w:val="0"/>
    <w:rPr>
      <w:rFonts w:ascii="宋体" w:hAnsi="Courier New" w:eastAsia="宋体"/>
      <w:kern w:val="2"/>
      <w:sz w:val="21"/>
      <w:lang w:val="en-US" w:eastAsia="zh-CN" w:bidi="ar-SA"/>
    </w:rPr>
  </w:style>
  <w:style w:type="character" w:customStyle="1" w:styleId="126">
    <w:name w:val="themebody1"/>
    <w:qFormat/>
    <w:uiPriority w:val="0"/>
    <w:rPr>
      <w:color w:val="FFFFFF"/>
    </w:rPr>
  </w:style>
  <w:style w:type="character" w:customStyle="1" w:styleId="127">
    <w:name w:val="页脚 字符1"/>
    <w:semiHidden/>
    <w:qFormat/>
    <w:uiPriority w:val="99"/>
    <w:rPr>
      <w:rFonts w:ascii="宋体" w:hAnsi="Calibri" w:eastAsia="宋体" w:cs="Times New Roman"/>
      <w:kern w:val="0"/>
      <w:sz w:val="18"/>
      <w:szCs w:val="18"/>
    </w:rPr>
  </w:style>
  <w:style w:type="character" w:customStyle="1" w:styleId="128">
    <w:name w:val="列出段落 Char"/>
    <w:link w:val="129"/>
    <w:qFormat/>
    <w:uiPriority w:val="34"/>
    <w:rPr>
      <w:kern w:val="2"/>
      <w:sz w:val="21"/>
      <w:szCs w:val="22"/>
    </w:rPr>
  </w:style>
  <w:style w:type="paragraph" w:styleId="129">
    <w:name w:val="List Paragraph"/>
    <w:basedOn w:val="1"/>
    <w:link w:val="128"/>
    <w:qFormat/>
    <w:uiPriority w:val="34"/>
    <w:pPr>
      <w:ind w:firstLine="420" w:firstLineChars="200"/>
    </w:pPr>
  </w:style>
  <w:style w:type="character" w:customStyle="1" w:styleId="130">
    <w:name w:val="正文文本 Char"/>
    <w:qFormat/>
    <w:uiPriority w:val="99"/>
    <w:rPr>
      <w:rFonts w:ascii="宋体" w:eastAsia="宋体"/>
      <w:b/>
      <w:bCs/>
      <w:sz w:val="84"/>
      <w:szCs w:val="84"/>
      <w:lang w:val="zh-CN"/>
    </w:rPr>
  </w:style>
  <w:style w:type="character" w:customStyle="1" w:styleId="131">
    <w:name w:val="页眉 字符1"/>
    <w:semiHidden/>
    <w:qFormat/>
    <w:uiPriority w:val="99"/>
    <w:rPr>
      <w:rFonts w:ascii="宋体" w:hAnsi="Calibri" w:eastAsia="宋体" w:cs="Times New Roman"/>
      <w:kern w:val="0"/>
      <w:sz w:val="18"/>
      <w:szCs w:val="18"/>
    </w:rPr>
  </w:style>
  <w:style w:type="character" w:customStyle="1" w:styleId="132">
    <w:name w:val="标题 5 Char1"/>
    <w:link w:val="6"/>
    <w:qFormat/>
    <w:uiPriority w:val="9"/>
    <w:rPr>
      <w:rFonts w:ascii="宋体" w:hAnsi="Calibri" w:eastAsia="宋体" w:cs="Times New Roman"/>
      <w:b/>
      <w:bCs/>
      <w:kern w:val="0"/>
      <w:sz w:val="28"/>
      <w:szCs w:val="28"/>
    </w:rPr>
  </w:style>
  <w:style w:type="character" w:customStyle="1" w:styleId="133">
    <w:name w:val="keyfeatures1"/>
    <w:qFormat/>
    <w:uiPriority w:val="0"/>
    <w:rPr>
      <w:rFonts w:hint="default" w:ascii="Arial" w:hAnsi="Arial" w:cs="Arial"/>
      <w:color w:val="003366"/>
      <w:sz w:val="17"/>
      <w:szCs w:val="17"/>
      <w:u w:val="none"/>
    </w:rPr>
  </w:style>
  <w:style w:type="character" w:customStyle="1" w:styleId="134">
    <w:name w:val="题注 字符"/>
    <w:qFormat/>
    <w:uiPriority w:val="0"/>
    <w:rPr>
      <w:rFonts w:ascii="宋体" w:hAnsi="宋体" w:eastAsia="黑体" w:cs="Times New Roman"/>
      <w:b/>
      <w:szCs w:val="21"/>
    </w:rPr>
  </w:style>
  <w:style w:type="character" w:customStyle="1" w:styleId="135">
    <w:name w:val="标题 4 Char"/>
    <w:qFormat/>
    <w:uiPriority w:val="0"/>
    <w:rPr>
      <w:rFonts w:ascii="宋体" w:hAnsi="宋体" w:eastAsia="宋体"/>
      <w:b/>
      <w:kern w:val="2"/>
      <w:sz w:val="21"/>
      <w:szCs w:val="24"/>
      <w:lang w:val="en-US" w:eastAsia="zh-CN" w:bidi="ar-SA"/>
    </w:rPr>
  </w:style>
  <w:style w:type="character" w:customStyle="1" w:styleId="136">
    <w:name w:val="批注文字 字符3"/>
    <w:semiHidden/>
    <w:qFormat/>
    <w:uiPriority w:val="99"/>
    <w:rPr>
      <w:rFonts w:ascii="宋体" w:hAnsi="Calibri" w:eastAsia="宋体" w:cs="Times New Roman"/>
      <w:kern w:val="0"/>
      <w:sz w:val="24"/>
      <w:szCs w:val="24"/>
    </w:rPr>
  </w:style>
  <w:style w:type="character" w:customStyle="1" w:styleId="137">
    <w:name w:val="纯文本 字符1"/>
    <w:qFormat/>
    <w:uiPriority w:val="0"/>
    <w:rPr>
      <w:rFonts w:ascii="宋体" w:hAnsi="Courier New" w:eastAsia="宋体"/>
      <w:kern w:val="2"/>
      <w:sz w:val="21"/>
      <w:szCs w:val="24"/>
      <w:lang w:val="en-US" w:eastAsia="zh-CN" w:bidi="ar-SA"/>
    </w:rPr>
  </w:style>
  <w:style w:type="character" w:customStyle="1" w:styleId="138">
    <w:name w:val="列出段落 Char1"/>
    <w:qFormat/>
    <w:uiPriority w:val="34"/>
    <w:rPr>
      <w:rFonts w:ascii="宋体"/>
      <w:sz w:val="24"/>
      <w:szCs w:val="24"/>
    </w:rPr>
  </w:style>
  <w:style w:type="character" w:customStyle="1" w:styleId="139">
    <w:name w:val="彩色列表 - 着色 1 字符"/>
    <w:link w:val="140"/>
    <w:qFormat/>
    <w:uiPriority w:val="0"/>
    <w:rPr>
      <w:rFonts w:ascii="Calibri" w:hAnsi="Calibri"/>
    </w:rPr>
  </w:style>
  <w:style w:type="paragraph" w:customStyle="1" w:styleId="140">
    <w:name w:val="彩色列表 - 着色 11"/>
    <w:basedOn w:val="1"/>
    <w:link w:val="139"/>
    <w:qFormat/>
    <w:uiPriority w:val="0"/>
    <w:pPr>
      <w:ind w:firstLine="420" w:firstLineChars="200"/>
    </w:pPr>
    <w:rPr>
      <w:rFonts w:ascii="Calibri" w:hAnsi="Calibri"/>
    </w:rPr>
  </w:style>
  <w:style w:type="character" w:customStyle="1" w:styleId="141">
    <w:name w:val="纯文本 Char"/>
    <w:qFormat/>
    <w:uiPriority w:val="0"/>
    <w:rPr>
      <w:rFonts w:ascii="宋体" w:hAnsi="Courier New" w:eastAsia="宋体" w:cs="Times New Roman"/>
      <w:szCs w:val="20"/>
    </w:rPr>
  </w:style>
  <w:style w:type="character" w:customStyle="1" w:styleId="142">
    <w:name w:val="标题 6 Char"/>
    <w:link w:val="7"/>
    <w:qFormat/>
    <w:uiPriority w:val="9"/>
    <w:rPr>
      <w:rFonts w:ascii="Times New Roman" w:hAnsi="Calibri" w:eastAsia="黑体" w:cs="Times New Roman"/>
      <w:b/>
      <w:bCs/>
      <w:kern w:val="0"/>
      <w:sz w:val="28"/>
      <w:szCs w:val="24"/>
    </w:rPr>
  </w:style>
  <w:style w:type="character" w:customStyle="1" w:styleId="143">
    <w:name w:val="正文文本 2 Char"/>
    <w:link w:val="32"/>
    <w:qFormat/>
    <w:uiPriority w:val="0"/>
    <w:rPr>
      <w:rFonts w:ascii="Arial" w:hAnsi="Arial" w:eastAsia="宋体" w:cs="Times New Roman"/>
      <w:color w:val="000000"/>
      <w:szCs w:val="24"/>
    </w:rPr>
  </w:style>
  <w:style w:type="character" w:customStyle="1" w:styleId="144">
    <w:name w:val="标题 3 Char"/>
    <w:link w:val="4"/>
    <w:qFormat/>
    <w:uiPriority w:val="0"/>
    <w:rPr>
      <w:rFonts w:ascii="宋体" w:hAnsi="Calibri" w:eastAsia="宋体" w:cs="Times New Roman"/>
      <w:kern w:val="0"/>
      <w:sz w:val="24"/>
      <w:szCs w:val="24"/>
    </w:rPr>
  </w:style>
  <w:style w:type="character" w:customStyle="1" w:styleId="145">
    <w:name w:val="正文文本缩进 2 字符1"/>
    <w:semiHidden/>
    <w:qFormat/>
    <w:uiPriority w:val="99"/>
    <w:rPr>
      <w:rFonts w:ascii="宋体" w:hAnsi="Calibri" w:eastAsia="宋体" w:cs="Times New Roman"/>
      <w:kern w:val="0"/>
      <w:sz w:val="24"/>
      <w:szCs w:val="24"/>
    </w:rPr>
  </w:style>
  <w:style w:type="character" w:customStyle="1" w:styleId="146">
    <w:name w:val="正文文本缩进 3 字符1"/>
    <w:semiHidden/>
    <w:qFormat/>
    <w:uiPriority w:val="99"/>
    <w:rPr>
      <w:rFonts w:ascii="宋体" w:hAnsi="Calibri" w:eastAsia="宋体" w:cs="Times New Roman"/>
      <w:kern w:val="0"/>
      <w:sz w:val="16"/>
      <w:szCs w:val="16"/>
    </w:rPr>
  </w:style>
  <w:style w:type="character" w:customStyle="1" w:styleId="147">
    <w:name w:val="正文文本 2 字符1"/>
    <w:semiHidden/>
    <w:qFormat/>
    <w:uiPriority w:val="99"/>
    <w:rPr>
      <w:rFonts w:ascii="宋体" w:hAnsi="Calibri" w:eastAsia="宋体" w:cs="Times New Roman"/>
      <w:kern w:val="0"/>
      <w:sz w:val="24"/>
      <w:szCs w:val="24"/>
    </w:rPr>
  </w:style>
  <w:style w:type="character" w:customStyle="1" w:styleId="148">
    <w:name w:val="eschoolnr"/>
    <w:qFormat/>
    <w:uiPriority w:val="0"/>
    <w:rPr>
      <w:sz w:val="23"/>
      <w:szCs w:val="23"/>
    </w:rPr>
  </w:style>
  <w:style w:type="character" w:customStyle="1" w:styleId="149">
    <w:name w:val="访问过的超链接1"/>
    <w:qFormat/>
    <w:uiPriority w:val="0"/>
    <w:rPr>
      <w:rFonts w:ascii="Arial" w:hAnsi="Arial" w:cs="Arial"/>
      <w:color w:val="000000"/>
      <w:sz w:val="20"/>
      <w:szCs w:val="20"/>
      <w:u w:val="none"/>
    </w:rPr>
  </w:style>
  <w:style w:type="character" w:customStyle="1" w:styleId="150">
    <w:name w:val="标题 1 Char1"/>
    <w:link w:val="2"/>
    <w:qFormat/>
    <w:uiPriority w:val="0"/>
    <w:rPr>
      <w:rFonts w:ascii="宋体" w:hAnsi="Calibri" w:eastAsia="宋体" w:cs="Times New Roman"/>
      <w:kern w:val="0"/>
      <w:sz w:val="24"/>
      <w:szCs w:val="24"/>
    </w:rPr>
  </w:style>
  <w:style w:type="character" w:customStyle="1" w:styleId="151">
    <w:name w:val="批注文字 Char1"/>
    <w:qFormat/>
    <w:uiPriority w:val="0"/>
    <w:rPr>
      <w:kern w:val="2"/>
      <w:sz w:val="21"/>
      <w:szCs w:val="24"/>
    </w:rPr>
  </w:style>
  <w:style w:type="character" w:customStyle="1" w:styleId="152">
    <w:name w:val="批注框文本 Char"/>
    <w:semiHidden/>
    <w:qFormat/>
    <w:uiPriority w:val="99"/>
    <w:rPr>
      <w:kern w:val="2"/>
      <w:sz w:val="18"/>
      <w:szCs w:val="18"/>
    </w:rPr>
  </w:style>
  <w:style w:type="character" w:customStyle="1" w:styleId="153">
    <w:name w:val="DAS正文 Char"/>
    <w:qFormat/>
    <w:uiPriority w:val="0"/>
    <w:rPr>
      <w:rFonts w:ascii="Verdana" w:hAnsi="Verdana" w:eastAsia="宋体"/>
      <w:kern w:val="2"/>
      <w:sz w:val="21"/>
      <w:szCs w:val="21"/>
      <w:lang w:val="en-US" w:eastAsia="zh-CN" w:bidi="ar-SA"/>
    </w:rPr>
  </w:style>
  <w:style w:type="character" w:customStyle="1" w:styleId="154">
    <w:name w:val="正文文本缩进 3 Char"/>
    <w:link w:val="30"/>
    <w:qFormat/>
    <w:uiPriority w:val="0"/>
    <w:rPr>
      <w:rFonts w:ascii="宋体" w:hAnsi="Times New Roman" w:eastAsia="宋体" w:cs="Times New Roman"/>
      <w:kern w:val="0"/>
      <w:sz w:val="24"/>
      <w:szCs w:val="24"/>
    </w:rPr>
  </w:style>
  <w:style w:type="character" w:customStyle="1" w:styleId="155">
    <w:name w:val="页眉 Char"/>
    <w:qFormat/>
    <w:uiPriority w:val="99"/>
    <w:rPr>
      <w:kern w:val="2"/>
      <w:sz w:val="18"/>
      <w:szCs w:val="18"/>
    </w:rPr>
  </w:style>
  <w:style w:type="character" w:customStyle="1" w:styleId="156">
    <w:name w:val="正文文本 3 Char"/>
    <w:link w:val="17"/>
    <w:qFormat/>
    <w:uiPriority w:val="0"/>
    <w:rPr>
      <w:rFonts w:ascii="宋体" w:hAnsi="Times New Roman" w:eastAsia="宋体" w:cs="Times New Roman"/>
      <w:b/>
      <w:bCs/>
      <w:color w:val="3366FF"/>
      <w:sz w:val="52"/>
      <w:szCs w:val="52"/>
      <w:lang w:val="zh-CN"/>
    </w:rPr>
  </w:style>
  <w:style w:type="character" w:customStyle="1" w:styleId="157">
    <w:name w:val="HTML 预设格式 字符1"/>
    <w:semiHidden/>
    <w:qFormat/>
    <w:uiPriority w:val="99"/>
    <w:rPr>
      <w:rFonts w:ascii="Courier New" w:hAnsi="Courier New" w:eastAsia="宋体" w:cs="Courier New"/>
      <w:kern w:val="0"/>
      <w:sz w:val="20"/>
      <w:szCs w:val="20"/>
    </w:rPr>
  </w:style>
  <w:style w:type="character" w:customStyle="1" w:styleId="158">
    <w:name w:val="彩色列表 - 强调文字颜色 1 Char"/>
    <w:link w:val="159"/>
    <w:qFormat/>
    <w:uiPriority w:val="0"/>
    <w:rPr>
      <w:rFonts w:ascii="宋体"/>
      <w:sz w:val="24"/>
      <w:szCs w:val="24"/>
    </w:rPr>
  </w:style>
  <w:style w:type="paragraph" w:customStyle="1" w:styleId="159">
    <w:name w:val="彩色列表 - 强调文字颜色 11"/>
    <w:basedOn w:val="1"/>
    <w:link w:val="158"/>
    <w:qFormat/>
    <w:uiPriority w:val="0"/>
    <w:pPr>
      <w:autoSpaceDE w:val="0"/>
      <w:autoSpaceDN w:val="0"/>
      <w:adjustRightInd w:val="0"/>
      <w:ind w:firstLine="420" w:firstLineChars="200"/>
      <w:jc w:val="left"/>
    </w:pPr>
    <w:rPr>
      <w:rFonts w:ascii="宋体"/>
      <w:sz w:val="24"/>
      <w:szCs w:val="24"/>
    </w:rPr>
  </w:style>
  <w:style w:type="character" w:customStyle="1" w:styleId="160">
    <w:name w:val="普通(网站) 字符"/>
    <w:qFormat/>
    <w:locked/>
    <w:uiPriority w:val="99"/>
    <w:rPr>
      <w:rFonts w:ascii="宋体" w:hAnsi="宋体" w:eastAsia="宋体" w:cs="Times New Roman"/>
      <w:kern w:val="0"/>
      <w:sz w:val="15"/>
      <w:szCs w:val="15"/>
      <w:lang w:val="en-US" w:eastAsia="zh-CN"/>
    </w:rPr>
  </w:style>
  <w:style w:type="paragraph" w:customStyle="1" w:styleId="161">
    <w:name w:val="_Style 123"/>
    <w:basedOn w:val="1"/>
    <w:next w:val="129"/>
    <w:qFormat/>
    <w:uiPriority w:val="34"/>
    <w:pPr>
      <w:spacing w:line="360" w:lineRule="auto"/>
      <w:ind w:firstLine="420" w:firstLineChars="200"/>
    </w:pPr>
    <w:rPr>
      <w:rFonts w:ascii="Calibri" w:hAnsi="Calibri" w:eastAsia="宋体" w:cs="Times New Roman"/>
    </w:rPr>
  </w:style>
  <w:style w:type="character" w:customStyle="1" w:styleId="162">
    <w:name w:val="纯文本 字符4"/>
    <w:basedOn w:val="39"/>
    <w:semiHidden/>
    <w:qFormat/>
    <w:uiPriority w:val="99"/>
    <w:rPr>
      <w:rFonts w:hAnsi="Courier New" w:cs="Courier New" w:asciiTheme="minorEastAsia"/>
    </w:rPr>
  </w:style>
  <w:style w:type="character" w:customStyle="1" w:styleId="163">
    <w:name w:val="批注文字 Char2"/>
    <w:basedOn w:val="39"/>
    <w:link w:val="16"/>
    <w:semiHidden/>
    <w:qFormat/>
    <w:uiPriority w:val="99"/>
  </w:style>
  <w:style w:type="character" w:customStyle="1" w:styleId="164">
    <w:name w:val="批注主题 字符2"/>
    <w:basedOn w:val="163"/>
    <w:semiHidden/>
    <w:qFormat/>
    <w:uiPriority w:val="99"/>
    <w:rPr>
      <w:b/>
      <w:bCs/>
    </w:rPr>
  </w:style>
  <w:style w:type="character" w:customStyle="1" w:styleId="165">
    <w:name w:val="标题 字符3"/>
    <w:basedOn w:val="39"/>
    <w:qFormat/>
    <w:uiPriority w:val="10"/>
    <w:rPr>
      <w:rFonts w:asciiTheme="majorHAnsi" w:hAnsiTheme="majorHAnsi" w:eastAsiaTheme="majorEastAsia" w:cstheme="majorBidi"/>
      <w:b/>
      <w:bCs/>
      <w:sz w:val="32"/>
      <w:szCs w:val="32"/>
    </w:rPr>
  </w:style>
  <w:style w:type="character" w:customStyle="1" w:styleId="166">
    <w:name w:val="正文文本缩进 字符3"/>
    <w:basedOn w:val="39"/>
    <w:semiHidden/>
    <w:qFormat/>
    <w:uiPriority w:val="99"/>
  </w:style>
  <w:style w:type="character" w:customStyle="1" w:styleId="167">
    <w:name w:val="正文文本 字符4"/>
    <w:basedOn w:val="39"/>
    <w:semiHidden/>
    <w:qFormat/>
    <w:uiPriority w:val="99"/>
  </w:style>
  <w:style w:type="character" w:customStyle="1" w:styleId="168">
    <w:name w:val="正文文本缩进 3 字符2"/>
    <w:basedOn w:val="39"/>
    <w:semiHidden/>
    <w:qFormat/>
    <w:uiPriority w:val="99"/>
    <w:rPr>
      <w:sz w:val="16"/>
      <w:szCs w:val="16"/>
    </w:rPr>
  </w:style>
  <w:style w:type="character" w:customStyle="1" w:styleId="169">
    <w:name w:val="页眉 字符2"/>
    <w:basedOn w:val="39"/>
    <w:semiHidden/>
    <w:qFormat/>
    <w:uiPriority w:val="99"/>
    <w:rPr>
      <w:sz w:val="18"/>
      <w:szCs w:val="18"/>
    </w:rPr>
  </w:style>
  <w:style w:type="character" w:customStyle="1" w:styleId="170">
    <w:name w:val="批注框文本 字符2"/>
    <w:basedOn w:val="39"/>
    <w:semiHidden/>
    <w:qFormat/>
    <w:uiPriority w:val="99"/>
    <w:rPr>
      <w:sz w:val="18"/>
      <w:szCs w:val="18"/>
    </w:rPr>
  </w:style>
  <w:style w:type="character" w:customStyle="1" w:styleId="171">
    <w:name w:val="HTML 预设格式 字符2"/>
    <w:basedOn w:val="39"/>
    <w:semiHidden/>
    <w:qFormat/>
    <w:uiPriority w:val="99"/>
    <w:rPr>
      <w:rFonts w:ascii="Courier New" w:hAnsi="Courier New" w:cs="Courier New"/>
      <w:sz w:val="20"/>
      <w:szCs w:val="20"/>
    </w:rPr>
  </w:style>
  <w:style w:type="character" w:customStyle="1" w:styleId="172">
    <w:name w:val="页脚 字符2"/>
    <w:basedOn w:val="39"/>
    <w:semiHidden/>
    <w:qFormat/>
    <w:uiPriority w:val="99"/>
    <w:rPr>
      <w:sz w:val="18"/>
      <w:szCs w:val="18"/>
    </w:rPr>
  </w:style>
  <w:style w:type="character" w:customStyle="1" w:styleId="173">
    <w:name w:val="正文文本缩进 2 字符2"/>
    <w:basedOn w:val="39"/>
    <w:semiHidden/>
    <w:qFormat/>
    <w:uiPriority w:val="99"/>
  </w:style>
  <w:style w:type="character" w:customStyle="1" w:styleId="174">
    <w:name w:val="正文文本 3 字符2"/>
    <w:basedOn w:val="39"/>
    <w:semiHidden/>
    <w:qFormat/>
    <w:uiPriority w:val="99"/>
    <w:rPr>
      <w:sz w:val="16"/>
      <w:szCs w:val="16"/>
    </w:rPr>
  </w:style>
  <w:style w:type="character" w:customStyle="1" w:styleId="175">
    <w:name w:val="正文文本 2 字符2"/>
    <w:basedOn w:val="39"/>
    <w:semiHidden/>
    <w:qFormat/>
    <w:uiPriority w:val="99"/>
  </w:style>
  <w:style w:type="paragraph" w:customStyle="1" w:styleId="176">
    <w:name w:val="WPSOffice手动目录 3"/>
    <w:qFormat/>
    <w:uiPriority w:val="0"/>
    <w:pPr>
      <w:ind w:left="400" w:leftChars="400"/>
    </w:pPr>
    <w:rPr>
      <w:rFonts w:ascii="Calibri" w:hAnsi="Calibri" w:eastAsia="宋体" w:cs="Times New Roman"/>
      <w:lang w:val="en-US" w:eastAsia="zh-CN" w:bidi="ar-SA"/>
    </w:rPr>
  </w:style>
  <w:style w:type="paragraph" w:customStyle="1" w:styleId="177">
    <w:name w:val="列表段落1"/>
    <w:basedOn w:val="1"/>
    <w:qFormat/>
    <w:uiPriority w:val="0"/>
    <w:pPr>
      <w:ind w:firstLine="420" w:firstLineChars="200"/>
    </w:pPr>
    <w:rPr>
      <w:rFonts w:ascii="Times New Roman" w:hAnsi="Times New Roman" w:eastAsia="宋体" w:cs="Times New Roman"/>
      <w:szCs w:val="20"/>
    </w:rPr>
  </w:style>
  <w:style w:type="character" w:customStyle="1" w:styleId="178">
    <w:name w:val="文档结构图 字符2"/>
    <w:basedOn w:val="39"/>
    <w:semiHidden/>
    <w:qFormat/>
    <w:uiPriority w:val="99"/>
    <w:rPr>
      <w:rFonts w:ascii="Microsoft YaHei UI" w:eastAsia="Microsoft YaHei UI"/>
      <w:sz w:val="18"/>
      <w:szCs w:val="18"/>
    </w:rPr>
  </w:style>
  <w:style w:type="character" w:customStyle="1" w:styleId="179">
    <w:name w:val="日期 字符2"/>
    <w:basedOn w:val="39"/>
    <w:semiHidden/>
    <w:qFormat/>
    <w:uiPriority w:val="99"/>
  </w:style>
  <w:style w:type="paragraph" w:customStyle="1" w:styleId="180">
    <w:name w:val="彩色底纹 - 强调文字颜色 11"/>
    <w:semiHidden/>
    <w:qFormat/>
    <w:uiPriority w:val="99"/>
    <w:rPr>
      <w:rFonts w:ascii="宋体" w:hAnsi="Calibri" w:eastAsia="宋体" w:cs="Times New Roman"/>
      <w:sz w:val="24"/>
      <w:szCs w:val="24"/>
      <w:lang w:val="en-US" w:eastAsia="zh-CN" w:bidi="ar-SA"/>
    </w:rPr>
  </w:style>
  <w:style w:type="paragraph" w:customStyle="1" w:styleId="181">
    <w:name w:val="d"/>
    <w:basedOn w:val="1"/>
    <w:qFormat/>
    <w:uiPriority w:val="0"/>
    <w:pPr>
      <w:overflowPunct w:val="0"/>
      <w:autoSpaceDE w:val="0"/>
      <w:autoSpaceDN w:val="0"/>
      <w:adjustRightInd w:val="0"/>
      <w:snapToGrid w:val="0"/>
      <w:spacing w:line="360" w:lineRule="auto"/>
      <w:ind w:firstLine="480" w:firstLineChars="200"/>
    </w:pPr>
    <w:rPr>
      <w:rFonts w:ascii="宋体" w:hAnsi="宋体" w:eastAsia="宋体" w:cs="Arial"/>
      <w:snapToGrid w:val="0"/>
      <w:kern w:val="0"/>
      <w:sz w:val="24"/>
      <w:szCs w:val="21"/>
    </w:rPr>
  </w:style>
  <w:style w:type="paragraph" w:customStyle="1" w:styleId="182">
    <w:name w:val="修订1"/>
    <w:semiHidden/>
    <w:qFormat/>
    <w:uiPriority w:val="99"/>
    <w:rPr>
      <w:rFonts w:ascii="宋体" w:hAnsi="Calibri" w:eastAsia="宋体" w:cs="Times New Roman"/>
      <w:sz w:val="24"/>
      <w:szCs w:val="24"/>
      <w:lang w:val="en-US" w:eastAsia="zh-CN" w:bidi="ar-SA"/>
    </w:rPr>
  </w:style>
  <w:style w:type="paragraph" w:customStyle="1" w:styleId="183">
    <w:name w:val="图/图注"/>
    <w:basedOn w:val="8"/>
    <w:qFormat/>
    <w:uiPriority w:val="0"/>
    <w:pPr>
      <w:wordWrap/>
      <w:autoSpaceDE/>
      <w:autoSpaceDN/>
      <w:adjustRightInd/>
      <w:spacing w:before="50"/>
      <w:ind w:firstLine="0" w:firstLineChars="0"/>
      <w:jc w:val="center"/>
    </w:pPr>
    <w:rPr>
      <w:rFonts w:ascii="Times New Roman" w:eastAsia="黑体"/>
      <w:b/>
      <w:sz w:val="21"/>
      <w:szCs w:val="22"/>
    </w:rPr>
  </w:style>
  <w:style w:type="paragraph" w:customStyle="1" w:styleId="18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85">
    <w:name w:val="A."/>
    <w:basedOn w:val="1"/>
    <w:qFormat/>
    <w:uiPriority w:val="0"/>
    <w:pPr>
      <w:widowControl/>
      <w:tabs>
        <w:tab w:val="left" w:pos="859"/>
        <w:tab w:val="left" w:pos="1200"/>
      </w:tabs>
      <w:spacing w:before="240" w:line="240" w:lineRule="atLeast"/>
      <w:ind w:left="859" w:hanging="453"/>
    </w:pPr>
    <w:rPr>
      <w:rFonts w:ascii="Times New Roman" w:hAnsi="Times New Roman" w:eastAsia="宋体" w:cs="Times New Roman"/>
      <w:sz w:val="24"/>
      <w:szCs w:val="24"/>
    </w:rPr>
  </w:style>
  <w:style w:type="paragraph" w:customStyle="1" w:styleId="186">
    <w:name w:val="Pa8"/>
    <w:basedOn w:val="1"/>
    <w:next w:val="1"/>
    <w:qFormat/>
    <w:uiPriority w:val="99"/>
    <w:pPr>
      <w:autoSpaceDE w:val="0"/>
      <w:autoSpaceDN w:val="0"/>
      <w:adjustRightInd w:val="0"/>
      <w:spacing w:line="181" w:lineRule="atLeast"/>
      <w:jc w:val="left"/>
    </w:pPr>
    <w:rPr>
      <w:rFonts w:ascii="FrutigerNext LT Light" w:hAnsi="Calibri" w:eastAsia="FrutigerNext LT Light" w:cs="Times New Roman"/>
      <w:kern w:val="0"/>
      <w:sz w:val="24"/>
      <w:szCs w:val="24"/>
    </w:rPr>
  </w:style>
  <w:style w:type="paragraph" w:customStyle="1" w:styleId="187">
    <w:name w:val="p0"/>
    <w:basedOn w:val="1"/>
    <w:qFormat/>
    <w:uiPriority w:val="0"/>
    <w:pPr>
      <w:widowControl/>
    </w:pPr>
    <w:rPr>
      <w:rFonts w:ascii="Times New Roman" w:hAnsi="Calibri" w:eastAsia="宋体" w:cs="Times New Roman"/>
      <w:kern w:val="0"/>
      <w:szCs w:val="20"/>
    </w:rPr>
  </w:style>
  <w:style w:type="paragraph" w:customStyle="1" w:styleId="188">
    <w:name w:val="Char Char Char Char Char Char"/>
    <w:basedOn w:val="1"/>
    <w:qFormat/>
    <w:uiPriority w:val="0"/>
    <w:pPr>
      <w:widowControl/>
      <w:spacing w:after="160" w:line="240" w:lineRule="exact"/>
      <w:jc w:val="left"/>
    </w:pPr>
    <w:rPr>
      <w:rFonts w:ascii="Times New Roman" w:hAnsi="Times New Roman" w:eastAsia="宋体" w:cs="Times New Roman"/>
      <w:szCs w:val="24"/>
    </w:rPr>
  </w:style>
  <w:style w:type="paragraph" w:customStyle="1" w:styleId="189">
    <w:name w:val="Char"/>
    <w:basedOn w:val="1"/>
    <w:qFormat/>
    <w:uiPriority w:val="0"/>
    <w:pPr>
      <w:widowControl/>
      <w:spacing w:after="160" w:line="240" w:lineRule="exact"/>
      <w:jc w:val="center"/>
    </w:pPr>
    <w:rPr>
      <w:rFonts w:ascii="Times New Roman" w:hAnsi="Times New Roman" w:eastAsia="宋体" w:cs="Times New Roman"/>
      <w:szCs w:val="24"/>
    </w:rPr>
  </w:style>
  <w:style w:type="paragraph" w:customStyle="1" w:styleId="190">
    <w:name w:val="网格表 32"/>
    <w:basedOn w:val="2"/>
    <w:next w:val="1"/>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91">
    <w:name w:val="WPSOffice手动目录 1"/>
    <w:qFormat/>
    <w:uiPriority w:val="0"/>
    <w:rPr>
      <w:rFonts w:ascii="Calibri" w:hAnsi="Calibri" w:eastAsia="宋体" w:cs="Times New Roman"/>
      <w:lang w:val="en-US" w:eastAsia="zh-CN" w:bidi="ar-SA"/>
    </w:rPr>
  </w:style>
  <w:style w:type="paragraph" w:customStyle="1" w:styleId="192">
    <w:name w:val="_Style 69"/>
    <w:basedOn w:val="1"/>
    <w:next w:val="129"/>
    <w:qFormat/>
    <w:uiPriority w:val="34"/>
    <w:pPr>
      <w:spacing w:line="360" w:lineRule="auto"/>
      <w:ind w:firstLine="420" w:firstLineChars="200"/>
    </w:pPr>
    <w:rPr>
      <w:rFonts w:ascii="Calibri" w:hAnsi="Calibri" w:eastAsia="宋体" w:cs="Times New Roman"/>
    </w:rPr>
  </w:style>
  <w:style w:type="paragraph" w:customStyle="1" w:styleId="193">
    <w:name w:val="中等深浅网格 21"/>
    <w:qFormat/>
    <w:uiPriority w:val="1"/>
    <w:pPr>
      <w:widowControl w:val="0"/>
      <w:jc w:val="both"/>
    </w:pPr>
    <w:rPr>
      <w:rFonts w:ascii="Calibri" w:hAnsi="Calibri" w:eastAsia="宋体" w:cs="Times New Roman"/>
      <w:kern w:val="2"/>
      <w:sz w:val="21"/>
      <w:szCs w:val="22"/>
      <w:lang w:val="en-US" w:eastAsia="zh-CN" w:bidi="ar-SA"/>
    </w:rPr>
  </w:style>
  <w:style w:type="paragraph" w:customStyle="1" w:styleId="194">
    <w:name w:val="保留正文"/>
    <w:basedOn w:val="18"/>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95">
    <w:name w:val="彩色底纹 - 着色 11"/>
    <w:semiHidden/>
    <w:qFormat/>
    <w:uiPriority w:val="99"/>
    <w:rPr>
      <w:rFonts w:ascii="宋体" w:hAnsi="Calibri" w:eastAsia="宋体" w:cs="Times New Roman"/>
      <w:sz w:val="24"/>
      <w:szCs w:val="24"/>
      <w:lang w:val="en-US" w:eastAsia="zh-CN" w:bidi="ar-SA"/>
    </w:rPr>
  </w:style>
  <w:style w:type="paragraph" w:customStyle="1" w:styleId="196">
    <w:name w:val="WPSOffice手动目录 2"/>
    <w:qFormat/>
    <w:uiPriority w:val="0"/>
    <w:pPr>
      <w:ind w:left="200" w:leftChars="200"/>
    </w:pPr>
    <w:rPr>
      <w:rFonts w:ascii="Calibri" w:hAnsi="Calibri" w:eastAsia="宋体" w:cs="Times New Roman"/>
      <w:lang w:val="en-US" w:eastAsia="zh-CN" w:bidi="ar-SA"/>
    </w:rPr>
  </w:style>
  <w:style w:type="paragraph" w:customStyle="1" w:styleId="197">
    <w:name w:val="网格表 31"/>
    <w:basedOn w:val="2"/>
    <w:next w:val="1"/>
    <w:unhideWhenUsed/>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98">
    <w:name w:val="表格文字居中"/>
    <w:basedOn w:val="122"/>
    <w:qFormat/>
    <w:uiPriority w:val="0"/>
    <w:pPr>
      <w:jc w:val="center"/>
    </w:pPr>
    <w:rPr>
      <w:rFonts w:cs="宋体"/>
      <w:szCs w:val="20"/>
    </w:rPr>
  </w:style>
  <w:style w:type="paragraph" w:customStyle="1" w:styleId="199">
    <w:name w:val="正文缩进4格"/>
    <w:basedOn w:val="63"/>
    <w:qFormat/>
    <w:uiPriority w:val="0"/>
    <w:pPr>
      <w:spacing w:line="360" w:lineRule="auto"/>
      <w:ind w:left="964" w:leftChars="314" w:hanging="210" w:hangingChars="100"/>
    </w:pPr>
    <w:rPr>
      <w:rFonts w:ascii="宋体" w:eastAsia="宋体"/>
      <w:sz w:val="21"/>
      <w:szCs w:val="21"/>
      <w:lang w:val="zh-CN"/>
    </w:rPr>
  </w:style>
  <w:style w:type="paragraph" w:customStyle="1" w:styleId="200">
    <w:name w:val="版本说明标题"/>
    <w:basedOn w:val="1"/>
    <w:qFormat/>
    <w:uiPriority w:val="0"/>
    <w:pPr>
      <w:adjustRightInd w:val="0"/>
      <w:snapToGrid w:val="0"/>
      <w:spacing w:beforeLines="50" w:afterLines="50"/>
      <w:ind w:firstLine="560"/>
      <w:jc w:val="center"/>
      <w:textAlignment w:val="baseline"/>
    </w:pPr>
    <w:rPr>
      <w:rFonts w:ascii="Times New Roman" w:hAnsi="Calibri" w:eastAsia="仿宋_GB2312" w:cs="Times New Roman"/>
      <w:b/>
      <w:color w:val="000000"/>
      <w:sz w:val="28"/>
      <w:szCs w:val="28"/>
    </w:rPr>
  </w:style>
  <w:style w:type="character" w:customStyle="1" w:styleId="201">
    <w:name w:val="正文首行缩进 Char"/>
    <w:basedOn w:val="118"/>
    <w:link w:val="19"/>
    <w:semiHidden/>
    <w:qFormat/>
    <w:uiPriority w:val="99"/>
    <w:rPr>
      <w:rFonts w:ascii="宋体" w:eastAsia="宋体"/>
      <w:b w:val="0"/>
      <w:bCs w:val="0"/>
      <w:sz w:val="84"/>
      <w:szCs w:val="84"/>
      <w:lang w:val="zh-CN"/>
    </w:rPr>
  </w:style>
  <w:style w:type="paragraph" w:customStyle="1" w:styleId="202">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3">
    <w:name w:val="样式 宋体 行距: 1.5 倍行距"/>
    <w:basedOn w:val="1"/>
    <w:qFormat/>
    <w:uiPriority w:val="0"/>
    <w:pPr>
      <w:autoSpaceDE w:val="0"/>
      <w:autoSpaceDN w:val="0"/>
      <w:adjustRightInd w:val="0"/>
      <w:jc w:val="center"/>
    </w:pPr>
    <w:rPr>
      <w:rFonts w:ascii="Times New Roman" w:hAnsi="Times New Roman" w:eastAsia="宋体" w:cs="Times New Roman"/>
      <w:b/>
      <w:kern w:val="0"/>
      <w:sz w:val="24"/>
      <w:szCs w:val="24"/>
    </w:rPr>
  </w:style>
  <w:style w:type="character" w:customStyle="1" w:styleId="204">
    <w:name w:val="fontstyle01"/>
    <w:qFormat/>
    <w:uiPriority w:val="0"/>
    <w:rPr>
      <w:rFonts w:hint="eastAsia" w:ascii="黑体" w:hAnsi="黑体" w:eastAsia="黑体"/>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96</Pages>
  <Words>32871</Words>
  <Characters>34629</Characters>
  <Lines>314</Lines>
  <Paragraphs>88</Paragraphs>
  <TotalTime>0</TotalTime>
  <ScaleCrop>false</ScaleCrop>
  <LinksUpToDate>false</LinksUpToDate>
  <CharactersWithSpaces>35566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2023-07-19T02:55:00Z</dcterms:created>
  <dc:creator>HS</dc:creator>
  <cp:lastModifiedBy>YD-ho</cp:lastModifiedBy>
  <dcterms:modified xsi:type="dcterms:W3CDTF">2025-09-28T04:35:22Z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6726C78E70174CB78976573079AAE7E1_13</vt:lpwstr>
  </property>
  <property fmtid="{D5CDD505-2E9C-101B-9397-08002B2CF9AE}" pid="4" name="KSOTemplateDocerSaveRecord">
    <vt:lpwstr>eyJoZGlkIjoiZGIwNDZhMTMxM2EyYzUxY2RmNGE4YzgzZTdiOWQwYWQiLCJ1c2VySWQiOiI0MTQ1MDg4MDkifQ==</vt:lpwstr>
  </property>
</Properties>
</file>