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CD5BDB">
      <w:pPr>
        <w:autoSpaceDE w:val="0"/>
        <w:autoSpaceDN w:val="0"/>
        <w:adjustRightInd w:val="0"/>
        <w:spacing w:line="276" w:lineRule="auto"/>
        <w:ind w:left="357" w:leftChars="170" w:right="-23" w:rightChars="-11"/>
        <w:jc w:val="center"/>
        <w:rPr>
          <w:rFonts w:hint="eastAsia" w:ascii="宋体" w:hAnsi="宋体" w:eastAsia="宋体" w:cs="宋体"/>
          <w:b/>
          <w:bCs/>
          <w:color w:val="auto"/>
          <w:kern w:val="0"/>
          <w:sz w:val="52"/>
          <w:szCs w:val="52"/>
          <w:highlight w:val="none"/>
          <w:lang w:val="zh-CN"/>
        </w:rPr>
      </w:pPr>
    </w:p>
    <w:p w14:paraId="3123E5FE">
      <w:pPr>
        <w:autoSpaceDE w:val="0"/>
        <w:autoSpaceDN w:val="0"/>
        <w:adjustRightInd w:val="0"/>
        <w:spacing w:line="276" w:lineRule="auto"/>
        <w:ind w:left="357" w:leftChars="170" w:right="-23" w:rightChars="-11"/>
        <w:jc w:val="center"/>
        <w:rPr>
          <w:rFonts w:ascii="宋体" w:hAnsi="宋体" w:eastAsia="宋体" w:cs="宋体"/>
          <w:b/>
          <w:bCs/>
          <w:color w:val="auto"/>
          <w:kern w:val="0"/>
          <w:sz w:val="60"/>
          <w:szCs w:val="60"/>
          <w:highlight w:val="none"/>
          <w:lang w:val="zh-CN"/>
        </w:rPr>
      </w:pPr>
      <w:r>
        <w:rPr>
          <w:rFonts w:hint="eastAsia" w:ascii="宋体" w:hAnsi="宋体" w:eastAsia="宋体" w:cs="宋体"/>
          <w:b/>
          <w:bCs/>
          <w:color w:val="auto"/>
          <w:kern w:val="0"/>
          <w:sz w:val="60"/>
          <w:szCs w:val="60"/>
          <w:highlight w:val="none"/>
          <w:lang w:val="zh-CN"/>
        </w:rPr>
        <w:t>东莞市众源环境投资有限公司半干化泥粉外运资源化处置服务供应商库2025年第二次扩增供应商项目</w:t>
      </w:r>
    </w:p>
    <w:p w14:paraId="7105EEFF">
      <w:pPr>
        <w:autoSpaceDE w:val="0"/>
        <w:autoSpaceDN w:val="0"/>
        <w:adjustRightInd w:val="0"/>
        <w:spacing w:line="276" w:lineRule="auto"/>
        <w:ind w:left="357" w:leftChars="170" w:right="-23" w:rightChars="-11"/>
        <w:jc w:val="center"/>
        <w:rPr>
          <w:rFonts w:ascii="宋体" w:hAnsi="宋体" w:eastAsia="宋体" w:cs="宋体"/>
          <w:b/>
          <w:bCs/>
          <w:color w:val="auto"/>
          <w:kern w:val="0"/>
          <w:sz w:val="44"/>
          <w:szCs w:val="44"/>
          <w:highlight w:val="none"/>
          <w:lang w:val="zh-CN"/>
        </w:rPr>
      </w:pPr>
    </w:p>
    <w:p w14:paraId="712F2EAA">
      <w:pPr>
        <w:autoSpaceDE w:val="0"/>
        <w:autoSpaceDN w:val="0"/>
        <w:adjustRightInd w:val="0"/>
        <w:ind w:right="-23" w:rightChars="-11"/>
        <w:jc w:val="left"/>
        <w:rPr>
          <w:rFonts w:ascii="宋体" w:hAnsi="宋体" w:eastAsia="宋体" w:cs="宋体"/>
          <w:b/>
          <w:bCs/>
          <w:color w:val="auto"/>
          <w:sz w:val="44"/>
          <w:szCs w:val="44"/>
          <w:highlight w:val="none"/>
          <w:lang w:val="zh-CN"/>
        </w:rPr>
      </w:pPr>
    </w:p>
    <w:p w14:paraId="1E4D52F3">
      <w:pPr>
        <w:autoSpaceDE w:val="0"/>
        <w:autoSpaceDN w:val="0"/>
        <w:adjustRightInd w:val="0"/>
        <w:ind w:right="-23" w:rightChars="-11"/>
        <w:jc w:val="center"/>
        <w:rPr>
          <w:rFonts w:ascii="宋体" w:hAnsi="宋体" w:eastAsia="宋体" w:cs="Times New Roman"/>
          <w:b/>
          <w:bCs/>
          <w:color w:val="auto"/>
          <w:sz w:val="72"/>
          <w:szCs w:val="72"/>
          <w:highlight w:val="none"/>
          <w:lang w:val="zh-CN"/>
        </w:rPr>
      </w:pPr>
    </w:p>
    <w:p w14:paraId="7F400663">
      <w:pPr>
        <w:autoSpaceDE w:val="0"/>
        <w:autoSpaceDN w:val="0"/>
        <w:adjustRightInd w:val="0"/>
        <w:ind w:right="-23" w:rightChars="-11"/>
        <w:jc w:val="center"/>
        <w:rPr>
          <w:rFonts w:hint="eastAsia" w:ascii="宋体" w:hAnsi="宋体" w:eastAsia="宋体" w:cs="宋体"/>
          <w:b/>
          <w:bCs/>
          <w:color w:val="auto"/>
          <w:sz w:val="72"/>
          <w:szCs w:val="72"/>
          <w:highlight w:val="none"/>
          <w:lang w:val="zh-CN"/>
        </w:rPr>
      </w:pPr>
      <w:r>
        <w:rPr>
          <w:rFonts w:hint="eastAsia" w:ascii="宋体" w:hAnsi="宋体" w:eastAsia="宋体" w:cs="宋体"/>
          <w:b/>
          <w:bCs/>
          <w:color w:val="auto"/>
          <w:sz w:val="72"/>
          <w:szCs w:val="72"/>
          <w:highlight w:val="none"/>
          <w:lang w:val="zh-CN"/>
        </w:rPr>
        <w:t>招</w:t>
      </w:r>
      <w:r>
        <w:rPr>
          <w:rFonts w:hint="eastAsia" w:ascii="宋体" w:hAnsi="宋体" w:eastAsia="宋体" w:cs="宋体"/>
          <w:b/>
          <w:bCs/>
          <w:color w:val="auto"/>
          <w:sz w:val="72"/>
          <w:szCs w:val="72"/>
          <w:highlight w:val="none"/>
        </w:rPr>
        <w:t xml:space="preserve"> </w:t>
      </w:r>
      <w:r>
        <w:rPr>
          <w:rFonts w:hint="eastAsia" w:ascii="宋体" w:hAnsi="宋体" w:eastAsia="宋体" w:cs="宋体"/>
          <w:b/>
          <w:bCs/>
          <w:color w:val="auto"/>
          <w:sz w:val="72"/>
          <w:szCs w:val="72"/>
          <w:highlight w:val="none"/>
          <w:lang w:val="zh-CN"/>
        </w:rPr>
        <w:t>标</w:t>
      </w:r>
      <w:r>
        <w:rPr>
          <w:rFonts w:hint="eastAsia" w:ascii="宋体" w:hAnsi="宋体" w:eastAsia="宋体" w:cs="宋体"/>
          <w:b/>
          <w:bCs/>
          <w:color w:val="auto"/>
          <w:sz w:val="72"/>
          <w:szCs w:val="72"/>
          <w:highlight w:val="none"/>
        </w:rPr>
        <w:t xml:space="preserve"> </w:t>
      </w:r>
      <w:r>
        <w:rPr>
          <w:rFonts w:hint="eastAsia" w:ascii="宋体" w:hAnsi="宋体" w:eastAsia="宋体" w:cs="宋体"/>
          <w:b/>
          <w:bCs/>
          <w:color w:val="auto"/>
          <w:sz w:val="72"/>
          <w:szCs w:val="72"/>
          <w:highlight w:val="none"/>
          <w:lang w:val="zh-CN"/>
        </w:rPr>
        <w:t>文</w:t>
      </w:r>
      <w:r>
        <w:rPr>
          <w:rFonts w:hint="eastAsia" w:ascii="宋体" w:hAnsi="宋体" w:eastAsia="宋体" w:cs="宋体"/>
          <w:b/>
          <w:bCs/>
          <w:color w:val="auto"/>
          <w:sz w:val="72"/>
          <w:szCs w:val="72"/>
          <w:highlight w:val="none"/>
        </w:rPr>
        <w:t xml:space="preserve"> </w:t>
      </w:r>
      <w:r>
        <w:rPr>
          <w:rFonts w:hint="eastAsia" w:ascii="宋体" w:hAnsi="宋体" w:eastAsia="宋体" w:cs="宋体"/>
          <w:b/>
          <w:bCs/>
          <w:color w:val="auto"/>
          <w:sz w:val="72"/>
          <w:szCs w:val="72"/>
          <w:highlight w:val="none"/>
          <w:lang w:val="zh-CN"/>
        </w:rPr>
        <w:t>件</w:t>
      </w:r>
    </w:p>
    <w:p w14:paraId="0405F8AF">
      <w:pPr>
        <w:autoSpaceDE w:val="0"/>
        <w:autoSpaceDN w:val="0"/>
        <w:adjustRightInd w:val="0"/>
        <w:ind w:right="-23" w:rightChars="-11"/>
        <w:jc w:val="center"/>
        <w:rPr>
          <w:rFonts w:ascii="宋体" w:hAnsi="宋体" w:eastAsia="宋体" w:cs="宋体"/>
          <w:b/>
          <w:bCs/>
          <w:color w:val="auto"/>
          <w:sz w:val="32"/>
          <w:szCs w:val="32"/>
          <w:highlight w:val="none"/>
          <w:lang w:val="zh-CN"/>
        </w:rPr>
      </w:pPr>
    </w:p>
    <w:p w14:paraId="3151A0BD">
      <w:pPr>
        <w:autoSpaceDE w:val="0"/>
        <w:autoSpaceDN w:val="0"/>
        <w:adjustRightInd w:val="0"/>
        <w:ind w:right="-23" w:rightChars="-11"/>
        <w:jc w:val="center"/>
        <w:rPr>
          <w:rFonts w:ascii="宋体" w:hAnsi="宋体" w:eastAsia="宋体" w:cs="宋体"/>
          <w:b/>
          <w:bCs/>
          <w:color w:val="auto"/>
          <w:sz w:val="44"/>
          <w:szCs w:val="44"/>
          <w:highlight w:val="none"/>
          <w:lang w:val="zh-CN"/>
        </w:rPr>
      </w:pPr>
    </w:p>
    <w:p w14:paraId="0B774F85">
      <w:pPr>
        <w:autoSpaceDE w:val="0"/>
        <w:autoSpaceDN w:val="0"/>
        <w:adjustRightInd w:val="0"/>
        <w:ind w:right="-23" w:rightChars="-11"/>
        <w:jc w:val="left"/>
        <w:rPr>
          <w:rFonts w:ascii="宋体" w:hAnsi="宋体" w:eastAsia="宋体" w:cs="宋体"/>
          <w:b/>
          <w:bCs/>
          <w:color w:val="auto"/>
          <w:sz w:val="32"/>
          <w:szCs w:val="32"/>
          <w:highlight w:val="none"/>
          <w:u w:val="single"/>
          <w:lang w:val="zh-CN"/>
        </w:rPr>
      </w:pPr>
    </w:p>
    <w:p w14:paraId="5C23BF67">
      <w:pPr>
        <w:tabs>
          <w:tab w:val="left" w:pos="9240"/>
        </w:tabs>
        <w:autoSpaceDE w:val="0"/>
        <w:autoSpaceDN w:val="0"/>
        <w:adjustRightInd w:val="0"/>
        <w:spacing w:line="700" w:lineRule="exact"/>
        <w:ind w:right="-23" w:rightChars="-11"/>
        <w:jc w:val="left"/>
        <w:rPr>
          <w:rFonts w:ascii="宋体" w:hAnsi="宋体" w:eastAsia="宋体" w:cs="宋体"/>
          <w:b/>
          <w:bCs/>
          <w:color w:val="auto"/>
          <w:sz w:val="32"/>
          <w:szCs w:val="32"/>
          <w:highlight w:val="none"/>
          <w:lang w:val="zh-CN"/>
        </w:rPr>
      </w:pPr>
    </w:p>
    <w:p w14:paraId="721D2794">
      <w:pPr>
        <w:autoSpaceDE w:val="0"/>
        <w:autoSpaceDN w:val="0"/>
        <w:adjustRightInd w:val="0"/>
        <w:spacing w:line="480" w:lineRule="auto"/>
        <w:ind w:left="1842" w:leftChars="877" w:firstLine="19" w:firstLineChars="6"/>
        <w:jc w:val="left"/>
        <w:rPr>
          <w:rFonts w:hint="eastAsia" w:ascii="宋体" w:hAnsi="宋体" w:eastAsia="宋体" w:cs="Times New Roman"/>
          <w:b/>
          <w:bCs/>
          <w:color w:val="auto"/>
          <w:sz w:val="32"/>
          <w:szCs w:val="32"/>
          <w:highlight w:val="none"/>
          <w:lang w:val="zh-CN"/>
        </w:rPr>
      </w:pPr>
      <w:r>
        <w:rPr>
          <w:rFonts w:hint="eastAsia" w:ascii="宋体" w:hAnsi="宋体" w:eastAsia="宋体" w:cs="Times New Roman"/>
          <w:b/>
          <w:bCs/>
          <w:color w:val="auto"/>
          <w:sz w:val="32"/>
          <w:szCs w:val="32"/>
          <w:highlight w:val="none"/>
          <w:lang w:val="zh-CN"/>
        </w:rPr>
        <w:t>招 标 编 号：SSSSSZ12502462</w:t>
      </w:r>
    </w:p>
    <w:p w14:paraId="25F88D49">
      <w:pPr>
        <w:autoSpaceDE w:val="0"/>
        <w:autoSpaceDN w:val="0"/>
        <w:adjustRightInd w:val="0"/>
        <w:spacing w:line="480" w:lineRule="auto"/>
        <w:ind w:left="1842" w:leftChars="877" w:firstLine="19" w:firstLineChars="6"/>
        <w:jc w:val="left"/>
        <w:rPr>
          <w:rFonts w:ascii="宋体" w:hAnsi="宋体" w:eastAsia="宋体" w:cs="Times New Roman"/>
          <w:b/>
          <w:bCs/>
          <w:color w:val="auto"/>
          <w:sz w:val="32"/>
          <w:szCs w:val="32"/>
          <w:highlight w:val="none"/>
          <w:lang w:val="zh-CN"/>
        </w:rPr>
      </w:pPr>
      <w:r>
        <w:rPr>
          <w:rFonts w:hint="eastAsia" w:ascii="宋体" w:hAnsi="宋体" w:eastAsia="宋体" w:cs="宋体"/>
          <w:b/>
          <w:bCs/>
          <w:color w:val="auto"/>
          <w:sz w:val="32"/>
          <w:szCs w:val="32"/>
          <w:highlight w:val="none"/>
          <w:lang w:val="zh-CN"/>
        </w:rPr>
        <w:t>招</w:t>
      </w:r>
      <w:r>
        <w:rPr>
          <w:rFonts w:hint="eastAsia" w:ascii="宋体" w:hAnsi="宋体" w:eastAsia="宋体" w:cs="宋体"/>
          <w:b/>
          <w:bCs/>
          <w:color w:val="auto"/>
          <w:sz w:val="32"/>
          <w:szCs w:val="32"/>
          <w:highlight w:val="none"/>
        </w:rPr>
        <w:t xml:space="preserve"> </w:t>
      </w:r>
      <w:r>
        <w:rPr>
          <w:rFonts w:hint="eastAsia" w:ascii="宋体" w:hAnsi="宋体" w:eastAsia="宋体" w:cs="宋体"/>
          <w:b/>
          <w:bCs/>
          <w:color w:val="auto"/>
          <w:sz w:val="32"/>
          <w:szCs w:val="32"/>
          <w:highlight w:val="none"/>
          <w:lang w:val="zh-CN"/>
        </w:rPr>
        <w:t>标</w:t>
      </w:r>
      <w:r>
        <w:rPr>
          <w:rFonts w:hint="eastAsia" w:ascii="宋体" w:hAnsi="宋体" w:eastAsia="宋体" w:cs="宋体"/>
          <w:b/>
          <w:bCs/>
          <w:color w:val="auto"/>
          <w:sz w:val="32"/>
          <w:szCs w:val="32"/>
          <w:highlight w:val="none"/>
        </w:rPr>
        <w:t xml:space="preserve"> </w:t>
      </w:r>
      <w:r>
        <w:rPr>
          <w:rFonts w:hint="eastAsia" w:ascii="宋体" w:hAnsi="宋体" w:eastAsia="宋体" w:cs="宋体"/>
          <w:b/>
          <w:bCs/>
          <w:color w:val="auto"/>
          <w:sz w:val="32"/>
          <w:szCs w:val="32"/>
          <w:highlight w:val="none"/>
          <w:lang w:val="zh-CN"/>
        </w:rPr>
        <w:t>人：</w:t>
      </w:r>
      <w:r>
        <w:rPr>
          <w:rFonts w:hint="eastAsia" w:ascii="宋体" w:hAnsi="宋体" w:eastAsia="宋体" w:cs="Times New Roman"/>
          <w:b/>
          <w:bCs/>
          <w:color w:val="auto"/>
          <w:sz w:val="32"/>
          <w:szCs w:val="32"/>
          <w:highlight w:val="none"/>
          <w:lang w:val="zh-CN"/>
        </w:rPr>
        <w:t>东莞市众源环境投资有限公司</w:t>
      </w:r>
    </w:p>
    <w:p w14:paraId="21E9CA04">
      <w:pPr>
        <w:autoSpaceDE w:val="0"/>
        <w:autoSpaceDN w:val="0"/>
        <w:adjustRightInd w:val="0"/>
        <w:spacing w:line="480" w:lineRule="auto"/>
        <w:ind w:left="1842" w:leftChars="877" w:right="0" w:rightChars="0" w:firstLine="19" w:firstLineChars="6"/>
        <w:jc w:val="left"/>
        <w:rPr>
          <w:rFonts w:hint="eastAsia" w:ascii="宋体" w:hAnsi="宋体" w:eastAsia="宋体" w:cs="宋体"/>
          <w:b/>
          <w:bCs/>
          <w:color w:val="auto"/>
          <w:kern w:val="2"/>
          <w:sz w:val="32"/>
          <w:szCs w:val="32"/>
          <w:highlight w:val="none"/>
          <w:lang w:val="zh-CN"/>
        </w:rPr>
      </w:pPr>
      <w:r>
        <w:rPr>
          <w:rFonts w:hint="eastAsia" w:ascii="宋体" w:hAnsi="宋体" w:eastAsia="宋体" w:cs="宋体"/>
          <w:b/>
          <w:bCs/>
          <w:color w:val="auto"/>
          <w:sz w:val="32"/>
          <w:szCs w:val="32"/>
          <w:highlight w:val="none"/>
          <w:lang w:val="zh-CN"/>
        </w:rPr>
        <w:t>招标代理机构：广州宏达工程顾问集团有限公司</w:t>
      </w:r>
    </w:p>
    <w:p w14:paraId="2F4CAB2B">
      <w:pPr>
        <w:autoSpaceDE w:val="0"/>
        <w:autoSpaceDN w:val="0"/>
        <w:adjustRightInd w:val="0"/>
        <w:ind w:right="-23" w:rightChars="-11"/>
        <w:jc w:val="center"/>
        <w:rPr>
          <w:rFonts w:ascii="宋体" w:hAnsi="宋体" w:eastAsia="宋体" w:cs="Times New Roman"/>
          <w:b/>
          <w:bCs/>
          <w:color w:val="auto"/>
          <w:kern w:val="0"/>
          <w:sz w:val="84"/>
          <w:szCs w:val="84"/>
          <w:highlight w:val="none"/>
          <w:lang w:val="zh-CN"/>
        </w:rPr>
      </w:pPr>
    </w:p>
    <w:p w14:paraId="3624F4BC">
      <w:pPr>
        <w:autoSpaceDE w:val="0"/>
        <w:autoSpaceDN w:val="0"/>
        <w:adjustRightInd w:val="0"/>
        <w:spacing w:line="360" w:lineRule="auto"/>
        <w:ind w:left="357" w:leftChars="170" w:right="-23" w:rightChars="-11" w:firstLine="321" w:firstLineChars="100"/>
        <w:jc w:val="center"/>
        <w:rPr>
          <w:rFonts w:hint="eastAsia" w:ascii="宋体" w:hAnsi="宋体" w:eastAsia="宋体" w:cs="宋体"/>
          <w:b/>
          <w:bCs/>
          <w:color w:val="auto"/>
          <w:sz w:val="32"/>
          <w:szCs w:val="32"/>
          <w:highlight w:val="none"/>
          <w:lang w:val="zh-CN"/>
        </w:rPr>
      </w:pPr>
      <w:r>
        <w:rPr>
          <w:rFonts w:hint="eastAsia" w:ascii="宋体" w:hAnsi="宋体" w:eastAsia="宋体" w:cs="宋体"/>
          <w:b/>
          <w:bCs/>
          <w:color w:val="auto"/>
          <w:sz w:val="32"/>
          <w:szCs w:val="32"/>
          <w:highlight w:val="none"/>
          <w:lang w:val="en-US" w:eastAsia="zh-CN"/>
        </w:rPr>
        <w:t>2025</w:t>
      </w:r>
      <w:r>
        <w:rPr>
          <w:rFonts w:hint="eastAsia" w:ascii="宋体" w:hAnsi="宋体" w:eastAsia="宋体" w:cs="宋体"/>
          <w:b/>
          <w:bCs/>
          <w:color w:val="auto"/>
          <w:sz w:val="32"/>
          <w:szCs w:val="32"/>
          <w:highlight w:val="none"/>
          <w:lang w:val="zh-CN"/>
        </w:rPr>
        <w:t>年</w:t>
      </w:r>
      <w:r>
        <w:rPr>
          <w:rFonts w:hint="eastAsia" w:ascii="宋体" w:hAnsi="宋体" w:eastAsia="宋体" w:cs="宋体"/>
          <w:b/>
          <w:bCs/>
          <w:color w:val="auto"/>
          <w:sz w:val="32"/>
          <w:szCs w:val="32"/>
          <w:highlight w:val="none"/>
          <w:lang w:val="en-US" w:eastAsia="zh-CN"/>
        </w:rPr>
        <w:t xml:space="preserve"> 12 </w:t>
      </w:r>
      <w:r>
        <w:rPr>
          <w:rFonts w:hint="eastAsia" w:ascii="宋体" w:hAnsi="宋体" w:eastAsia="宋体" w:cs="宋体"/>
          <w:b/>
          <w:bCs/>
          <w:color w:val="auto"/>
          <w:sz w:val="32"/>
          <w:szCs w:val="32"/>
          <w:highlight w:val="none"/>
          <w:lang w:val="zh-CN"/>
        </w:rPr>
        <w:t>月</w:t>
      </w:r>
      <w:r>
        <w:rPr>
          <w:rFonts w:hint="eastAsia" w:ascii="宋体" w:hAnsi="宋体" w:eastAsia="宋体" w:cs="宋体"/>
          <w:b/>
          <w:bCs/>
          <w:color w:val="auto"/>
          <w:sz w:val="32"/>
          <w:szCs w:val="32"/>
          <w:highlight w:val="none"/>
          <w:lang w:val="en-US" w:eastAsia="zh-CN"/>
        </w:rPr>
        <w:t xml:space="preserve"> 03 </w:t>
      </w:r>
      <w:r>
        <w:rPr>
          <w:rFonts w:hint="eastAsia" w:ascii="宋体" w:hAnsi="宋体" w:eastAsia="宋体" w:cs="宋体"/>
          <w:b/>
          <w:bCs/>
          <w:color w:val="auto"/>
          <w:sz w:val="32"/>
          <w:szCs w:val="32"/>
          <w:highlight w:val="none"/>
          <w:lang w:val="zh-CN"/>
        </w:rPr>
        <w:t>日</w:t>
      </w:r>
    </w:p>
    <w:p w14:paraId="75B0B8A6">
      <w:pPr>
        <w:autoSpaceDE/>
        <w:autoSpaceDN/>
        <w:adjustRightInd/>
        <w:spacing w:line="240" w:lineRule="auto"/>
        <w:ind w:left="0" w:leftChars="0" w:right="0" w:rightChars="0" w:firstLine="0" w:firstLineChars="0"/>
        <w:jc w:val="left"/>
        <w:rPr>
          <w:rFonts w:hint="eastAsia" w:ascii="宋体" w:hAnsi="宋体" w:eastAsia="宋体" w:cs="宋体"/>
          <w:b/>
          <w:bCs/>
          <w:color w:val="auto"/>
          <w:sz w:val="32"/>
          <w:szCs w:val="32"/>
          <w:highlight w:val="none"/>
          <w:lang w:val="zh-CN"/>
        </w:rPr>
      </w:pPr>
      <w:r>
        <w:rPr>
          <w:rFonts w:hint="eastAsia" w:ascii="宋体" w:hAnsi="宋体" w:eastAsia="宋体" w:cs="宋体"/>
          <w:b/>
          <w:bCs/>
          <w:color w:val="auto"/>
          <w:sz w:val="32"/>
          <w:szCs w:val="32"/>
          <w:highlight w:val="none"/>
          <w:lang w:val="zh-CN"/>
        </w:rPr>
        <w:br w:type="page"/>
      </w:r>
    </w:p>
    <w:p w14:paraId="54EDB56F">
      <w:pPr>
        <w:pageBreakBefore/>
        <w:tabs>
          <w:tab w:val="left" w:pos="1080"/>
        </w:tabs>
        <w:autoSpaceDE w:val="0"/>
        <w:autoSpaceDN w:val="0"/>
        <w:adjustRightInd w:val="0"/>
        <w:spacing w:line="360" w:lineRule="auto"/>
        <w:ind w:left="-167" w:leftChars="-100" w:hanging="43"/>
        <w:jc w:val="center"/>
        <w:outlineLvl w:val="0"/>
        <w:rPr>
          <w:rFonts w:hint="eastAsia" w:ascii="宋体" w:hAnsi="宋体" w:eastAsia="宋体" w:cs="宋体"/>
          <w:b/>
          <w:bCs/>
          <w:color w:val="auto"/>
          <w:kern w:val="44"/>
          <w:sz w:val="32"/>
          <w:szCs w:val="32"/>
          <w:highlight w:val="none"/>
          <w:lang w:val="zh-CN"/>
        </w:rPr>
      </w:pPr>
      <w:bookmarkStart w:id="0" w:name="_Toc25538"/>
      <w:bookmarkStart w:id="1" w:name="_Toc5585"/>
      <w:bookmarkStart w:id="2" w:name="_Toc16311"/>
      <w:r>
        <w:rPr>
          <w:rFonts w:hint="eastAsia" w:ascii="宋体" w:hAnsi="宋体" w:eastAsia="宋体" w:cs="宋体"/>
          <w:b/>
          <w:bCs/>
          <w:color w:val="auto"/>
          <w:kern w:val="44"/>
          <w:sz w:val="32"/>
          <w:szCs w:val="32"/>
          <w:highlight w:val="none"/>
          <w:lang w:val="zh-CN"/>
        </w:rPr>
        <w:t>重要提示</w:t>
      </w:r>
      <w:bookmarkEnd w:id="0"/>
      <w:bookmarkEnd w:id="1"/>
      <w:bookmarkEnd w:id="2"/>
    </w:p>
    <w:p w14:paraId="49417DFE">
      <w:pPr>
        <w:pStyle w:val="47"/>
        <w:widowControl w:val="0"/>
        <w:spacing w:before="0" w:beforeAutospacing="0" w:after="0" w:afterAutospacing="0" w:line="360" w:lineRule="auto"/>
        <w:ind w:firstLine="420" w:firstLineChars="200"/>
        <w:jc w:val="both"/>
        <w:outlineLvl w:val="9"/>
        <w:rPr>
          <w:rFonts w:hint="eastAsia" w:ascii="宋体" w:hAnsi="宋体" w:eastAsia="宋体" w:cs="宋体"/>
          <w:color w:val="auto"/>
          <w:sz w:val="21"/>
          <w:szCs w:val="21"/>
          <w:highlight w:val="none"/>
          <w:lang w:bidi="ar"/>
        </w:rPr>
      </w:pPr>
      <w:bookmarkStart w:id="3" w:name="_Toc12698"/>
      <w:bookmarkStart w:id="4" w:name="_Toc22951"/>
      <w:r>
        <w:rPr>
          <w:rFonts w:hint="eastAsia" w:ascii="宋体" w:hAnsi="宋体" w:eastAsia="宋体" w:cs="宋体"/>
          <w:color w:val="auto"/>
          <w:sz w:val="21"/>
          <w:szCs w:val="21"/>
          <w:highlight w:val="none"/>
          <w:lang w:bidi="ar"/>
        </w:rPr>
        <w:t>1.本次招标项目采用电子标书。</w:t>
      </w:r>
      <w:bookmarkEnd w:id="3"/>
      <w:bookmarkEnd w:id="4"/>
    </w:p>
    <w:p w14:paraId="68346C39">
      <w:pPr>
        <w:pStyle w:val="47"/>
        <w:widowControl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2.投标人将被要求递交具备法律效力的电子投标文件。为此，投标人应当具备使用依法设立的电子认证服务提供者签发的电子签名认证证书对电子投标文件进行电子签名的能力。投标人可向依法设立的电子认证服务提供者申请办理电子签名认证证书（简称：数字证书，包括企业数字证书和个人数字证书）。</w:t>
      </w:r>
    </w:p>
    <w:p w14:paraId="50E31FA8">
      <w:pPr>
        <w:pStyle w:val="47"/>
        <w:widowControl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3.除特别说明外，招标文件相关条款中提及的以及第六篇“投标文件格式”中包括但不限于“企业数字证书电子签名”及“电子签名”等要求签名的均指由数字证书电子签章或电子签名。</w:t>
      </w:r>
    </w:p>
    <w:p w14:paraId="0A362BD0">
      <w:pPr>
        <w:pStyle w:val="47"/>
        <w:widowControl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4.投标人必须使用计算机互联网络（以下简称网络）将投标文件以jjb格式上传提交至东莞市公共资源交易E网通管理平台建设工程交易系统（以下简称交易系统），并在网上签到时，关联到对应的投标项目中。</w:t>
      </w:r>
    </w:p>
    <w:p w14:paraId="5A87278F">
      <w:pPr>
        <w:pStyle w:val="47"/>
        <w:widowControl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5.投标人在交易系统中对投标文件进行解密的电子签名认证证书必须为机构证书或制作本项目投标文件的业务证书。</w:t>
      </w:r>
    </w:p>
    <w:p w14:paraId="0A00BA47">
      <w:pPr>
        <w:pStyle w:val="47"/>
        <w:widowControl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6.投标人应及时提交投标文件，如在投标文件截止时间前因网络等任何原因未能成功上传投标文件，相关后果由投标人自行承担。</w:t>
      </w:r>
    </w:p>
    <w:p w14:paraId="3E1FBD22">
      <w:pPr>
        <w:pStyle w:val="47"/>
        <w:widowControl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7.投标人上传投标文件时，需设置投标文件查询密码（用于查询投标文件递交情况、撤销投标文件及签到时匹配对应的招标文件）。成功上传投标文件后，交易系统将自动随机生成投标文件识别码。识别码是交易系统确认投标人提交投标文件的唯一凭证，投标人须妥善保管。识别码丢失后，投标人将无法找回投标文件，需重新上传提交。</w:t>
      </w:r>
    </w:p>
    <w:p w14:paraId="43DC8351">
      <w:pPr>
        <w:pStyle w:val="47"/>
        <w:widowControl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8.如未在投标文件递交截止时间前匹配对应的投标文件，视为投标人未提交。本招标文件中签到、投标文件匹配、投标保证金关联等时间均以东莞市公共资源交易E网通管理平台时间为准。</w:t>
      </w:r>
    </w:p>
    <w:p w14:paraId="27FFED77">
      <w:pPr>
        <w:pStyle w:val="47"/>
        <w:widowControl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bidi="ar"/>
        </w:rPr>
        <w:t>9.本招标项目在全国公共资源交易平台（广东省·东莞市）（https://ygp.gdzwfw.gov.cn/#/441900/index）等媒体发布招标公告，本项目招标公告及招标文件的修改、补充在全国公共资源交易平台（广东省·东莞市）发布。发布内容在其他媒体发布的文本如有不同之处，以在全国公共资源交易平台（广东省·东莞市）发布的文本为准。</w:t>
      </w:r>
    </w:p>
    <w:p w14:paraId="222CF4C0">
      <w:pPr>
        <w:autoSpaceDE/>
        <w:autoSpaceDN/>
        <w:adjustRightInd/>
        <w:spacing w:line="240" w:lineRule="auto"/>
        <w:ind w:left="0" w:leftChars="0" w:right="0" w:rightChars="0" w:firstLine="0" w:firstLineChars="0"/>
        <w:jc w:val="left"/>
        <w:rPr>
          <w:rFonts w:hint="eastAsia" w:ascii="宋体" w:hAnsi="宋体" w:eastAsia="宋体" w:cs="宋体"/>
          <w:b/>
          <w:bCs/>
          <w:color w:val="auto"/>
          <w:sz w:val="32"/>
          <w:szCs w:val="32"/>
          <w:highlight w:val="none"/>
          <w:lang w:val="zh-CN"/>
        </w:rPr>
      </w:pPr>
      <w:r>
        <w:rPr>
          <w:rFonts w:hint="eastAsia" w:ascii="宋体" w:hAnsi="宋体" w:eastAsia="宋体" w:cs="宋体"/>
          <w:b/>
          <w:bCs/>
          <w:color w:val="auto"/>
          <w:sz w:val="32"/>
          <w:szCs w:val="32"/>
          <w:highlight w:val="none"/>
          <w:lang w:val="zh-CN"/>
        </w:rPr>
        <w:br w:type="page"/>
      </w:r>
    </w:p>
    <w:sdt>
      <w:sdtPr>
        <w:rPr>
          <w:rFonts w:ascii="宋体" w:hAnsi="宋体" w:eastAsia="宋体" w:cstheme="minorBidi"/>
          <w:kern w:val="2"/>
          <w:sz w:val="21"/>
          <w:szCs w:val="22"/>
          <w:highlight w:val="none"/>
          <w:lang w:val="en-US" w:eastAsia="zh-CN" w:bidi="ar-SA"/>
        </w:rPr>
        <w:id w:val="147481765"/>
        <w15:color w:val="DBDBDB"/>
        <w:docPartObj>
          <w:docPartGallery w:val="Table of Contents"/>
          <w:docPartUnique/>
        </w:docPartObj>
      </w:sdtPr>
      <w:sdtEndPr>
        <w:rPr>
          <w:rFonts w:hint="eastAsia" w:ascii="宋体" w:hAnsi="宋体" w:eastAsia="宋体" w:cs="宋体"/>
          <w:kern w:val="2"/>
          <w:sz w:val="21"/>
          <w:szCs w:val="21"/>
          <w:highlight w:val="none"/>
          <w:lang w:val="en-US" w:eastAsia="zh-CN" w:bidi="ar-SA"/>
        </w:rPr>
      </w:sdtEndPr>
      <w:sdtContent>
        <w:p w14:paraId="4E5B09E5">
          <w:pPr>
            <w:keepNext w:val="0"/>
            <w:keepLines w:val="0"/>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center"/>
            <w:textAlignment w:val="auto"/>
            <w:rPr>
              <w:rFonts w:hint="eastAsia" w:ascii="宋体" w:hAnsi="宋体" w:eastAsia="宋体" w:cs="宋体"/>
              <w:b/>
              <w:bCs/>
              <w:sz w:val="28"/>
              <w:szCs w:val="32"/>
              <w:highlight w:val="none"/>
            </w:rPr>
          </w:pPr>
          <w:r>
            <w:rPr>
              <w:rFonts w:hint="eastAsia" w:ascii="宋体" w:hAnsi="宋体" w:eastAsia="宋体" w:cs="宋体"/>
              <w:b/>
              <w:bCs/>
              <w:sz w:val="28"/>
              <w:szCs w:val="32"/>
              <w:highlight w:val="none"/>
            </w:rPr>
            <w:t>目</w:t>
          </w:r>
          <w:r>
            <w:rPr>
              <w:rFonts w:hint="eastAsia" w:ascii="宋体" w:hAnsi="宋体" w:eastAsia="宋体" w:cs="宋体"/>
              <w:b/>
              <w:bCs/>
              <w:sz w:val="28"/>
              <w:szCs w:val="32"/>
              <w:highlight w:val="none"/>
              <w:lang w:val="en-US" w:eastAsia="zh-CN"/>
            </w:rPr>
            <w:t xml:space="preserve">   </w:t>
          </w:r>
          <w:r>
            <w:rPr>
              <w:rFonts w:hint="eastAsia" w:ascii="宋体" w:hAnsi="宋体" w:eastAsia="宋体" w:cs="宋体"/>
              <w:b/>
              <w:bCs/>
              <w:sz w:val="28"/>
              <w:szCs w:val="32"/>
              <w:highlight w:val="none"/>
            </w:rPr>
            <w:t>录</w:t>
          </w:r>
        </w:p>
        <w:p w14:paraId="25CA577E">
          <w:pPr>
            <w:pStyle w:val="39"/>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TOC \o "1-3" \h \u </w:instrText>
          </w:r>
          <w:r>
            <w:rPr>
              <w:rFonts w:hint="eastAsia" w:ascii="宋体" w:hAnsi="宋体" w:eastAsia="宋体" w:cs="宋体"/>
              <w:szCs w:val="21"/>
              <w:highlight w:val="none"/>
            </w:rPr>
            <w:fldChar w:fldCharType="separate"/>
          </w:r>
          <w:r>
            <w:rPr>
              <w:rFonts w:hint="eastAsia" w:ascii="宋体" w:hAnsi="宋体" w:eastAsia="宋体" w:cs="宋体"/>
              <w:b/>
              <w:bCs/>
              <w:szCs w:val="21"/>
              <w:highlight w:val="none"/>
            </w:rPr>
            <w:fldChar w:fldCharType="begin"/>
          </w:r>
          <w:r>
            <w:rPr>
              <w:rFonts w:hint="eastAsia" w:ascii="宋体" w:hAnsi="宋体" w:eastAsia="宋体" w:cs="宋体"/>
              <w:b/>
              <w:bCs/>
              <w:szCs w:val="21"/>
              <w:highlight w:val="none"/>
            </w:rPr>
            <w:instrText xml:space="preserve"> HYPERLINK \l _Toc25538 </w:instrText>
          </w:r>
          <w:r>
            <w:rPr>
              <w:rFonts w:hint="eastAsia" w:ascii="宋体" w:hAnsi="宋体" w:eastAsia="宋体" w:cs="宋体"/>
              <w:b/>
              <w:bCs/>
              <w:szCs w:val="21"/>
              <w:highlight w:val="none"/>
            </w:rPr>
            <w:fldChar w:fldCharType="separate"/>
          </w:r>
          <w:r>
            <w:rPr>
              <w:rFonts w:hint="eastAsia" w:ascii="宋体" w:hAnsi="宋体" w:eastAsia="宋体" w:cs="宋体"/>
              <w:b/>
              <w:bCs/>
              <w:kern w:val="44"/>
              <w:szCs w:val="32"/>
              <w:highlight w:val="none"/>
              <w:lang w:val="zh-CN"/>
            </w:rPr>
            <w:t>重要提示</w:t>
          </w:r>
          <w:r>
            <w:rPr>
              <w:rFonts w:hint="eastAsia" w:ascii="宋体" w:hAnsi="宋体" w:eastAsia="宋体" w:cs="宋体"/>
              <w:b/>
              <w:bCs/>
              <w:highlight w:val="none"/>
            </w:rPr>
            <w:tab/>
          </w:r>
          <w:r>
            <w:rPr>
              <w:rFonts w:hint="eastAsia" w:ascii="宋体" w:hAnsi="宋体" w:eastAsia="宋体" w:cs="宋体"/>
              <w:b/>
              <w:bCs/>
              <w:highlight w:val="none"/>
            </w:rPr>
            <w:fldChar w:fldCharType="begin"/>
          </w:r>
          <w:r>
            <w:rPr>
              <w:rFonts w:hint="eastAsia" w:ascii="宋体" w:hAnsi="宋体" w:eastAsia="宋体" w:cs="宋体"/>
              <w:b/>
              <w:bCs/>
              <w:highlight w:val="none"/>
            </w:rPr>
            <w:instrText xml:space="preserve"> PAGEREF _Toc25538 \h </w:instrText>
          </w:r>
          <w:r>
            <w:rPr>
              <w:rFonts w:hint="eastAsia" w:ascii="宋体" w:hAnsi="宋体" w:eastAsia="宋体" w:cs="宋体"/>
              <w:b/>
              <w:bCs/>
              <w:highlight w:val="none"/>
            </w:rPr>
            <w:fldChar w:fldCharType="separate"/>
          </w:r>
          <w:r>
            <w:rPr>
              <w:rFonts w:hint="eastAsia" w:ascii="宋体" w:hAnsi="宋体" w:eastAsia="宋体" w:cs="宋体"/>
              <w:b/>
              <w:bCs/>
              <w:highlight w:val="none"/>
            </w:rPr>
            <w:t>2</w:t>
          </w:r>
          <w:r>
            <w:rPr>
              <w:rFonts w:hint="eastAsia" w:ascii="宋体" w:hAnsi="宋体" w:eastAsia="宋体" w:cs="宋体"/>
              <w:b/>
              <w:bCs/>
              <w:highlight w:val="none"/>
            </w:rPr>
            <w:fldChar w:fldCharType="end"/>
          </w:r>
          <w:r>
            <w:rPr>
              <w:rFonts w:hint="eastAsia" w:ascii="宋体" w:hAnsi="宋体" w:eastAsia="宋体" w:cs="宋体"/>
              <w:b/>
              <w:bCs/>
              <w:szCs w:val="21"/>
              <w:highlight w:val="none"/>
            </w:rPr>
            <w:fldChar w:fldCharType="end"/>
          </w:r>
        </w:p>
        <w:p w14:paraId="0EA2CA3F">
          <w:pPr>
            <w:pStyle w:val="39"/>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rPr>
            <w:fldChar w:fldCharType="begin"/>
          </w:r>
          <w:r>
            <w:rPr>
              <w:rFonts w:hint="eastAsia" w:ascii="宋体" w:hAnsi="宋体" w:eastAsia="宋体" w:cs="宋体"/>
              <w:b/>
              <w:bCs/>
              <w:szCs w:val="21"/>
              <w:highlight w:val="none"/>
            </w:rPr>
            <w:instrText xml:space="preserve"> HYPERLINK \l _Toc4070 </w:instrText>
          </w:r>
          <w:r>
            <w:rPr>
              <w:rFonts w:hint="eastAsia" w:ascii="宋体" w:hAnsi="宋体" w:eastAsia="宋体" w:cs="宋体"/>
              <w:b/>
              <w:bCs/>
              <w:szCs w:val="21"/>
              <w:highlight w:val="none"/>
            </w:rPr>
            <w:fldChar w:fldCharType="separate"/>
          </w:r>
          <w:r>
            <w:rPr>
              <w:rFonts w:hint="eastAsia" w:ascii="宋体" w:hAnsi="宋体" w:eastAsia="宋体" w:cs="宋体"/>
              <w:b/>
              <w:bCs/>
              <w:kern w:val="44"/>
              <w:szCs w:val="32"/>
              <w:highlight w:val="none"/>
            </w:rPr>
            <w:t xml:space="preserve">第一篇 </w:t>
          </w:r>
          <w:r>
            <w:rPr>
              <w:rFonts w:hint="eastAsia" w:ascii="宋体" w:hAnsi="宋体" w:eastAsia="宋体" w:cs="宋体"/>
              <w:b/>
              <w:bCs/>
              <w:kern w:val="44"/>
              <w:szCs w:val="32"/>
              <w:highlight w:val="none"/>
              <w:lang w:val="zh-CN"/>
            </w:rPr>
            <w:t>招标</w:t>
          </w:r>
          <w:r>
            <w:rPr>
              <w:rFonts w:hint="eastAsia" w:ascii="宋体" w:hAnsi="宋体" w:eastAsia="宋体" w:cs="宋体"/>
              <w:b/>
              <w:bCs/>
              <w:kern w:val="44"/>
              <w:szCs w:val="32"/>
              <w:highlight w:val="none"/>
            </w:rPr>
            <w:t>公告</w:t>
          </w:r>
          <w:r>
            <w:rPr>
              <w:rFonts w:hint="eastAsia" w:ascii="宋体" w:hAnsi="宋体" w:eastAsia="宋体" w:cs="宋体"/>
              <w:b/>
              <w:bCs/>
              <w:highlight w:val="none"/>
            </w:rPr>
            <w:tab/>
          </w:r>
          <w:r>
            <w:rPr>
              <w:rFonts w:hint="eastAsia" w:ascii="宋体" w:hAnsi="宋体" w:eastAsia="宋体" w:cs="宋体"/>
              <w:b/>
              <w:bCs/>
              <w:highlight w:val="none"/>
            </w:rPr>
            <w:fldChar w:fldCharType="begin"/>
          </w:r>
          <w:r>
            <w:rPr>
              <w:rFonts w:hint="eastAsia" w:ascii="宋体" w:hAnsi="宋体" w:eastAsia="宋体" w:cs="宋体"/>
              <w:b/>
              <w:bCs/>
              <w:highlight w:val="none"/>
            </w:rPr>
            <w:instrText xml:space="preserve"> PAGEREF _Toc4070 \h </w:instrText>
          </w:r>
          <w:r>
            <w:rPr>
              <w:rFonts w:hint="eastAsia" w:ascii="宋体" w:hAnsi="宋体" w:eastAsia="宋体" w:cs="宋体"/>
              <w:b/>
              <w:bCs/>
              <w:highlight w:val="none"/>
            </w:rPr>
            <w:fldChar w:fldCharType="separate"/>
          </w:r>
          <w:r>
            <w:rPr>
              <w:rFonts w:hint="eastAsia" w:ascii="宋体" w:hAnsi="宋体" w:eastAsia="宋体" w:cs="宋体"/>
              <w:b/>
              <w:bCs/>
              <w:highlight w:val="none"/>
            </w:rPr>
            <w:t>5</w:t>
          </w:r>
          <w:r>
            <w:rPr>
              <w:rFonts w:hint="eastAsia" w:ascii="宋体" w:hAnsi="宋体" w:eastAsia="宋体" w:cs="宋体"/>
              <w:b/>
              <w:bCs/>
              <w:highlight w:val="none"/>
            </w:rPr>
            <w:fldChar w:fldCharType="end"/>
          </w:r>
          <w:r>
            <w:rPr>
              <w:rFonts w:hint="eastAsia" w:ascii="宋体" w:hAnsi="宋体" w:eastAsia="宋体" w:cs="宋体"/>
              <w:b/>
              <w:bCs/>
              <w:szCs w:val="21"/>
              <w:highlight w:val="none"/>
            </w:rPr>
            <w:fldChar w:fldCharType="end"/>
          </w:r>
        </w:p>
        <w:p w14:paraId="38B3275D">
          <w:pPr>
            <w:pStyle w:val="39"/>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rPr>
            <w:fldChar w:fldCharType="begin"/>
          </w:r>
          <w:r>
            <w:rPr>
              <w:rFonts w:hint="eastAsia" w:ascii="宋体" w:hAnsi="宋体" w:eastAsia="宋体" w:cs="宋体"/>
              <w:b/>
              <w:bCs/>
              <w:szCs w:val="21"/>
              <w:highlight w:val="none"/>
            </w:rPr>
            <w:instrText xml:space="preserve"> HYPERLINK \l _Toc13998 </w:instrText>
          </w:r>
          <w:r>
            <w:rPr>
              <w:rFonts w:hint="eastAsia" w:ascii="宋体" w:hAnsi="宋体" w:eastAsia="宋体" w:cs="宋体"/>
              <w:b/>
              <w:bCs/>
              <w:szCs w:val="21"/>
              <w:highlight w:val="none"/>
            </w:rPr>
            <w:fldChar w:fldCharType="separate"/>
          </w:r>
          <w:r>
            <w:rPr>
              <w:rFonts w:hint="eastAsia" w:ascii="宋体" w:hAnsi="宋体" w:eastAsia="宋体" w:cs="宋体"/>
              <w:b/>
              <w:bCs/>
              <w:kern w:val="44"/>
              <w:szCs w:val="32"/>
              <w:highlight w:val="none"/>
              <w:lang w:val="zh-CN"/>
            </w:rPr>
            <w:t>第二篇</w:t>
          </w:r>
          <w:r>
            <w:rPr>
              <w:rFonts w:hint="eastAsia" w:ascii="宋体" w:hAnsi="宋体" w:eastAsia="宋体" w:cs="宋体"/>
              <w:b/>
              <w:bCs/>
              <w:kern w:val="44"/>
              <w:szCs w:val="32"/>
              <w:highlight w:val="none"/>
            </w:rPr>
            <w:t xml:space="preserve"> </w:t>
          </w:r>
          <w:r>
            <w:rPr>
              <w:rFonts w:hint="eastAsia" w:ascii="宋体" w:hAnsi="宋体" w:eastAsia="宋体" w:cs="宋体"/>
              <w:b/>
              <w:bCs/>
              <w:kern w:val="44"/>
              <w:szCs w:val="32"/>
              <w:highlight w:val="none"/>
              <w:lang w:val="en-US" w:eastAsia="zh-CN"/>
            </w:rPr>
            <w:t>投标人</w:t>
          </w:r>
          <w:r>
            <w:rPr>
              <w:rFonts w:hint="eastAsia" w:ascii="宋体" w:hAnsi="宋体" w:eastAsia="宋体" w:cs="宋体"/>
              <w:b/>
              <w:bCs/>
              <w:kern w:val="44"/>
              <w:szCs w:val="32"/>
              <w:highlight w:val="none"/>
              <w:lang w:val="zh-CN"/>
            </w:rPr>
            <w:t>须知</w:t>
          </w:r>
          <w:r>
            <w:rPr>
              <w:rFonts w:hint="eastAsia" w:ascii="宋体" w:hAnsi="宋体" w:eastAsia="宋体" w:cs="宋体"/>
              <w:b/>
              <w:bCs/>
              <w:highlight w:val="none"/>
            </w:rPr>
            <w:tab/>
          </w:r>
          <w:r>
            <w:rPr>
              <w:rFonts w:hint="eastAsia" w:ascii="宋体" w:hAnsi="宋体" w:eastAsia="宋体" w:cs="宋体"/>
              <w:b/>
              <w:bCs/>
              <w:highlight w:val="none"/>
            </w:rPr>
            <w:fldChar w:fldCharType="begin"/>
          </w:r>
          <w:r>
            <w:rPr>
              <w:rFonts w:hint="eastAsia" w:ascii="宋体" w:hAnsi="宋体" w:eastAsia="宋体" w:cs="宋体"/>
              <w:b/>
              <w:bCs/>
              <w:highlight w:val="none"/>
            </w:rPr>
            <w:instrText xml:space="preserve"> PAGEREF _Toc13998 \h </w:instrText>
          </w:r>
          <w:r>
            <w:rPr>
              <w:rFonts w:hint="eastAsia" w:ascii="宋体" w:hAnsi="宋体" w:eastAsia="宋体" w:cs="宋体"/>
              <w:b/>
              <w:bCs/>
              <w:highlight w:val="none"/>
            </w:rPr>
            <w:fldChar w:fldCharType="separate"/>
          </w:r>
          <w:r>
            <w:rPr>
              <w:rFonts w:hint="eastAsia" w:ascii="宋体" w:hAnsi="宋体" w:eastAsia="宋体" w:cs="宋体"/>
              <w:b/>
              <w:bCs/>
              <w:highlight w:val="none"/>
            </w:rPr>
            <w:t>8</w:t>
          </w:r>
          <w:r>
            <w:rPr>
              <w:rFonts w:hint="eastAsia" w:ascii="宋体" w:hAnsi="宋体" w:eastAsia="宋体" w:cs="宋体"/>
              <w:b/>
              <w:bCs/>
              <w:highlight w:val="none"/>
            </w:rPr>
            <w:fldChar w:fldCharType="end"/>
          </w:r>
          <w:r>
            <w:rPr>
              <w:rFonts w:hint="eastAsia" w:ascii="宋体" w:hAnsi="宋体" w:eastAsia="宋体" w:cs="宋体"/>
              <w:b/>
              <w:bCs/>
              <w:szCs w:val="21"/>
              <w:highlight w:val="none"/>
            </w:rPr>
            <w:fldChar w:fldCharType="end"/>
          </w:r>
        </w:p>
        <w:p w14:paraId="39C8D136">
          <w:pPr>
            <w:pStyle w:val="39"/>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highlight w:val="none"/>
            </w:rPr>
          </w:pPr>
          <w:r>
            <w:rPr>
              <w:rFonts w:hint="eastAsia" w:ascii="宋体" w:hAnsi="宋体" w:eastAsia="宋体" w:cs="宋体"/>
              <w:b/>
              <w:bCs/>
              <w:szCs w:val="21"/>
              <w:highlight w:val="none"/>
            </w:rPr>
            <w:fldChar w:fldCharType="begin"/>
          </w:r>
          <w:r>
            <w:rPr>
              <w:rFonts w:hint="eastAsia" w:ascii="宋体" w:hAnsi="宋体" w:eastAsia="宋体" w:cs="宋体"/>
              <w:b/>
              <w:bCs/>
              <w:szCs w:val="21"/>
              <w:highlight w:val="none"/>
            </w:rPr>
            <w:instrText xml:space="preserve"> HYPERLINK \l _Toc18289 </w:instrText>
          </w:r>
          <w:r>
            <w:rPr>
              <w:rFonts w:hint="eastAsia" w:ascii="宋体" w:hAnsi="宋体" w:eastAsia="宋体" w:cs="宋体"/>
              <w:b/>
              <w:bCs/>
              <w:szCs w:val="21"/>
              <w:highlight w:val="none"/>
            </w:rPr>
            <w:fldChar w:fldCharType="separate"/>
          </w:r>
          <w:r>
            <w:rPr>
              <w:rFonts w:hint="eastAsia" w:ascii="宋体" w:hAnsi="宋体" w:eastAsia="宋体" w:cs="宋体"/>
              <w:b/>
              <w:bCs/>
              <w:kern w:val="44"/>
              <w:szCs w:val="21"/>
              <w:highlight w:val="none"/>
              <w:lang w:val="zh-CN"/>
            </w:rPr>
            <w:t>一、总则</w:t>
          </w:r>
          <w:r>
            <w:rPr>
              <w:rFonts w:hint="eastAsia" w:ascii="宋体" w:hAnsi="宋体" w:eastAsia="宋体" w:cs="宋体"/>
              <w:b/>
              <w:bCs/>
              <w:highlight w:val="none"/>
            </w:rPr>
            <w:tab/>
          </w:r>
          <w:r>
            <w:rPr>
              <w:rFonts w:hint="eastAsia" w:ascii="宋体" w:hAnsi="宋体" w:eastAsia="宋体" w:cs="宋体"/>
              <w:b/>
              <w:bCs/>
              <w:highlight w:val="none"/>
            </w:rPr>
            <w:fldChar w:fldCharType="begin"/>
          </w:r>
          <w:r>
            <w:rPr>
              <w:rFonts w:hint="eastAsia" w:ascii="宋体" w:hAnsi="宋体" w:eastAsia="宋体" w:cs="宋体"/>
              <w:b/>
              <w:bCs/>
              <w:highlight w:val="none"/>
            </w:rPr>
            <w:instrText xml:space="preserve"> PAGEREF _Toc18289 \h </w:instrText>
          </w:r>
          <w:r>
            <w:rPr>
              <w:rFonts w:hint="eastAsia" w:ascii="宋体" w:hAnsi="宋体" w:eastAsia="宋体" w:cs="宋体"/>
              <w:b/>
              <w:bCs/>
              <w:highlight w:val="none"/>
            </w:rPr>
            <w:fldChar w:fldCharType="separate"/>
          </w:r>
          <w:r>
            <w:rPr>
              <w:rFonts w:hint="eastAsia" w:ascii="宋体" w:hAnsi="宋体" w:eastAsia="宋体" w:cs="宋体"/>
              <w:b/>
              <w:bCs/>
              <w:highlight w:val="none"/>
            </w:rPr>
            <w:t>8</w:t>
          </w:r>
          <w:r>
            <w:rPr>
              <w:rFonts w:hint="eastAsia" w:ascii="宋体" w:hAnsi="宋体" w:eastAsia="宋体" w:cs="宋体"/>
              <w:b/>
              <w:bCs/>
              <w:highlight w:val="none"/>
            </w:rPr>
            <w:fldChar w:fldCharType="end"/>
          </w:r>
          <w:r>
            <w:rPr>
              <w:rFonts w:hint="eastAsia" w:ascii="宋体" w:hAnsi="宋体" w:eastAsia="宋体" w:cs="宋体"/>
              <w:b/>
              <w:bCs/>
              <w:szCs w:val="21"/>
              <w:highlight w:val="none"/>
            </w:rPr>
            <w:fldChar w:fldCharType="end"/>
          </w:r>
        </w:p>
        <w:p w14:paraId="7FA95F8F">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_Toc12744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1 资金来源</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_Toc12744 \h </w:instrText>
          </w:r>
          <w:r>
            <w:rPr>
              <w:rFonts w:hint="eastAsia" w:ascii="宋体" w:hAnsi="宋体" w:eastAsia="宋体" w:cs="宋体"/>
              <w:highlight w:val="none"/>
            </w:rPr>
            <w:fldChar w:fldCharType="separate"/>
          </w:r>
          <w:r>
            <w:rPr>
              <w:rFonts w:hint="eastAsia" w:ascii="宋体" w:hAnsi="宋体" w:eastAsia="宋体" w:cs="宋体"/>
              <w:highlight w:val="none"/>
            </w:rPr>
            <w:t>8</w:t>
          </w:r>
          <w:r>
            <w:rPr>
              <w:rFonts w:hint="eastAsia" w:ascii="宋体" w:hAnsi="宋体" w:eastAsia="宋体" w:cs="宋体"/>
              <w:highlight w:val="none"/>
            </w:rPr>
            <w:fldChar w:fldCharType="end"/>
          </w:r>
          <w:r>
            <w:rPr>
              <w:rFonts w:hint="eastAsia" w:ascii="宋体" w:hAnsi="宋体" w:eastAsia="宋体" w:cs="宋体"/>
              <w:szCs w:val="21"/>
              <w:highlight w:val="none"/>
            </w:rPr>
            <w:fldChar w:fldCharType="end"/>
          </w:r>
        </w:p>
        <w:p w14:paraId="7A9928C2">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_Toc22798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2 合格的</w:t>
          </w:r>
          <w:r>
            <w:rPr>
              <w:rFonts w:hint="eastAsia" w:ascii="宋体" w:hAnsi="宋体" w:eastAsia="宋体" w:cs="宋体"/>
              <w:szCs w:val="21"/>
              <w:highlight w:val="none"/>
              <w:lang w:val="en-US" w:eastAsia="zh-CN"/>
            </w:rPr>
            <w:t>投标人</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_Toc22798 \h </w:instrText>
          </w:r>
          <w:r>
            <w:rPr>
              <w:rFonts w:hint="eastAsia" w:ascii="宋体" w:hAnsi="宋体" w:eastAsia="宋体" w:cs="宋体"/>
              <w:highlight w:val="none"/>
            </w:rPr>
            <w:fldChar w:fldCharType="separate"/>
          </w:r>
          <w:r>
            <w:rPr>
              <w:rFonts w:hint="eastAsia" w:ascii="宋体" w:hAnsi="宋体" w:eastAsia="宋体" w:cs="宋体"/>
              <w:highlight w:val="none"/>
            </w:rPr>
            <w:t>8</w:t>
          </w:r>
          <w:r>
            <w:rPr>
              <w:rFonts w:hint="eastAsia" w:ascii="宋体" w:hAnsi="宋体" w:eastAsia="宋体" w:cs="宋体"/>
              <w:highlight w:val="none"/>
            </w:rPr>
            <w:fldChar w:fldCharType="end"/>
          </w:r>
          <w:r>
            <w:rPr>
              <w:rFonts w:hint="eastAsia" w:ascii="宋体" w:hAnsi="宋体" w:eastAsia="宋体" w:cs="宋体"/>
              <w:szCs w:val="21"/>
              <w:highlight w:val="none"/>
            </w:rPr>
            <w:fldChar w:fldCharType="end"/>
          </w:r>
        </w:p>
        <w:p w14:paraId="1C77B16B">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_Toc15305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3 合格的服务</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_Toc15305 \h </w:instrText>
          </w:r>
          <w:r>
            <w:rPr>
              <w:rFonts w:hint="eastAsia" w:ascii="宋体" w:hAnsi="宋体" w:eastAsia="宋体" w:cs="宋体"/>
              <w:highlight w:val="none"/>
            </w:rPr>
            <w:fldChar w:fldCharType="separate"/>
          </w:r>
          <w:r>
            <w:rPr>
              <w:rFonts w:hint="eastAsia" w:ascii="宋体" w:hAnsi="宋体" w:eastAsia="宋体" w:cs="宋体"/>
              <w:highlight w:val="none"/>
            </w:rPr>
            <w:t>8</w:t>
          </w:r>
          <w:r>
            <w:rPr>
              <w:rFonts w:hint="eastAsia" w:ascii="宋体" w:hAnsi="宋体" w:eastAsia="宋体" w:cs="宋体"/>
              <w:highlight w:val="none"/>
            </w:rPr>
            <w:fldChar w:fldCharType="end"/>
          </w:r>
          <w:r>
            <w:rPr>
              <w:rFonts w:hint="eastAsia" w:ascii="宋体" w:hAnsi="宋体" w:eastAsia="宋体" w:cs="宋体"/>
              <w:szCs w:val="21"/>
              <w:highlight w:val="none"/>
            </w:rPr>
            <w:fldChar w:fldCharType="end"/>
          </w:r>
        </w:p>
        <w:p w14:paraId="53008E51">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_Toc10148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4 其它说明</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_Toc10148 \h </w:instrText>
          </w:r>
          <w:r>
            <w:rPr>
              <w:rFonts w:hint="eastAsia" w:ascii="宋体" w:hAnsi="宋体" w:eastAsia="宋体" w:cs="宋体"/>
              <w:highlight w:val="none"/>
            </w:rPr>
            <w:fldChar w:fldCharType="separate"/>
          </w:r>
          <w:r>
            <w:rPr>
              <w:rFonts w:hint="eastAsia" w:ascii="宋体" w:hAnsi="宋体" w:eastAsia="宋体" w:cs="宋体"/>
              <w:highlight w:val="none"/>
            </w:rPr>
            <w:t>9</w:t>
          </w:r>
          <w:r>
            <w:rPr>
              <w:rFonts w:hint="eastAsia" w:ascii="宋体" w:hAnsi="宋体" w:eastAsia="宋体" w:cs="宋体"/>
              <w:highlight w:val="none"/>
            </w:rPr>
            <w:fldChar w:fldCharType="end"/>
          </w:r>
          <w:r>
            <w:rPr>
              <w:rFonts w:hint="eastAsia" w:ascii="宋体" w:hAnsi="宋体" w:eastAsia="宋体" w:cs="宋体"/>
              <w:szCs w:val="21"/>
              <w:highlight w:val="none"/>
            </w:rPr>
            <w:fldChar w:fldCharType="end"/>
          </w:r>
        </w:p>
        <w:p w14:paraId="1B670293">
          <w:pPr>
            <w:pStyle w:val="39"/>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rPr>
            <w:fldChar w:fldCharType="begin"/>
          </w:r>
          <w:r>
            <w:rPr>
              <w:rFonts w:hint="eastAsia" w:ascii="宋体" w:hAnsi="宋体" w:eastAsia="宋体" w:cs="宋体"/>
              <w:b/>
              <w:bCs/>
              <w:szCs w:val="21"/>
              <w:highlight w:val="none"/>
            </w:rPr>
            <w:instrText xml:space="preserve"> HYPERLINK \l _Toc3804 </w:instrText>
          </w:r>
          <w:r>
            <w:rPr>
              <w:rFonts w:hint="eastAsia" w:ascii="宋体" w:hAnsi="宋体" w:eastAsia="宋体" w:cs="宋体"/>
              <w:b/>
              <w:bCs/>
              <w:szCs w:val="21"/>
              <w:highlight w:val="none"/>
            </w:rPr>
            <w:fldChar w:fldCharType="separate"/>
          </w:r>
          <w:r>
            <w:rPr>
              <w:rFonts w:hint="eastAsia" w:ascii="宋体" w:hAnsi="宋体" w:eastAsia="宋体" w:cs="宋体"/>
              <w:b/>
              <w:bCs/>
              <w:kern w:val="44"/>
              <w:szCs w:val="21"/>
              <w:highlight w:val="none"/>
              <w:lang w:val="zh-CN"/>
            </w:rPr>
            <w:t>二、招标文件</w:t>
          </w:r>
          <w:r>
            <w:rPr>
              <w:rFonts w:hint="eastAsia" w:ascii="宋体" w:hAnsi="宋体" w:eastAsia="宋体" w:cs="宋体"/>
              <w:b/>
              <w:bCs/>
              <w:highlight w:val="none"/>
            </w:rPr>
            <w:tab/>
          </w:r>
          <w:r>
            <w:rPr>
              <w:rFonts w:hint="eastAsia" w:ascii="宋体" w:hAnsi="宋体" w:eastAsia="宋体" w:cs="宋体"/>
              <w:b/>
              <w:bCs/>
              <w:highlight w:val="none"/>
            </w:rPr>
            <w:fldChar w:fldCharType="begin"/>
          </w:r>
          <w:r>
            <w:rPr>
              <w:rFonts w:hint="eastAsia" w:ascii="宋体" w:hAnsi="宋体" w:eastAsia="宋体" w:cs="宋体"/>
              <w:b/>
              <w:bCs/>
              <w:highlight w:val="none"/>
            </w:rPr>
            <w:instrText xml:space="preserve"> PAGEREF _Toc3804 \h </w:instrText>
          </w:r>
          <w:r>
            <w:rPr>
              <w:rFonts w:hint="eastAsia" w:ascii="宋体" w:hAnsi="宋体" w:eastAsia="宋体" w:cs="宋体"/>
              <w:b/>
              <w:bCs/>
              <w:highlight w:val="none"/>
            </w:rPr>
            <w:fldChar w:fldCharType="separate"/>
          </w:r>
          <w:r>
            <w:rPr>
              <w:rFonts w:hint="eastAsia" w:ascii="宋体" w:hAnsi="宋体" w:eastAsia="宋体" w:cs="宋体"/>
              <w:b/>
              <w:bCs/>
              <w:highlight w:val="none"/>
            </w:rPr>
            <w:t>9</w:t>
          </w:r>
          <w:r>
            <w:rPr>
              <w:rFonts w:hint="eastAsia" w:ascii="宋体" w:hAnsi="宋体" w:eastAsia="宋体" w:cs="宋体"/>
              <w:b/>
              <w:bCs/>
              <w:highlight w:val="none"/>
            </w:rPr>
            <w:fldChar w:fldCharType="end"/>
          </w:r>
          <w:r>
            <w:rPr>
              <w:rFonts w:hint="eastAsia" w:ascii="宋体" w:hAnsi="宋体" w:eastAsia="宋体" w:cs="宋体"/>
              <w:b/>
              <w:bCs/>
              <w:szCs w:val="21"/>
              <w:highlight w:val="none"/>
            </w:rPr>
            <w:fldChar w:fldCharType="end"/>
          </w:r>
        </w:p>
        <w:p w14:paraId="7EF12E05">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_Toc25610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5 招标文件的构成</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_Toc25610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9</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5BBB177B">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_Toc25201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6 招标文件的异议</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_Toc25201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10</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730CEDEB">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_Toc21015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7 招标文件的澄清及修改</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_Toc21015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10</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235B9CE3">
          <w:pPr>
            <w:pStyle w:val="39"/>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rPr>
            <w:fldChar w:fldCharType="begin"/>
          </w:r>
          <w:r>
            <w:rPr>
              <w:rFonts w:hint="eastAsia" w:ascii="宋体" w:hAnsi="宋体" w:eastAsia="宋体" w:cs="宋体"/>
              <w:b/>
              <w:bCs/>
              <w:szCs w:val="21"/>
              <w:highlight w:val="none"/>
            </w:rPr>
            <w:instrText xml:space="preserve"> HYPERLINK \l _Toc21633 </w:instrText>
          </w:r>
          <w:r>
            <w:rPr>
              <w:rFonts w:hint="eastAsia" w:ascii="宋体" w:hAnsi="宋体" w:eastAsia="宋体" w:cs="宋体"/>
              <w:b/>
              <w:bCs/>
              <w:szCs w:val="21"/>
              <w:highlight w:val="none"/>
            </w:rPr>
            <w:fldChar w:fldCharType="separate"/>
          </w:r>
          <w:r>
            <w:rPr>
              <w:rFonts w:hint="eastAsia" w:ascii="宋体" w:hAnsi="宋体" w:eastAsia="宋体" w:cs="宋体"/>
              <w:b/>
              <w:bCs/>
              <w:kern w:val="44"/>
              <w:szCs w:val="21"/>
              <w:highlight w:val="none"/>
              <w:lang w:val="zh-CN"/>
            </w:rPr>
            <w:t>三、投标文件的编制</w:t>
          </w:r>
          <w:r>
            <w:rPr>
              <w:rFonts w:hint="eastAsia" w:ascii="宋体" w:hAnsi="宋体" w:eastAsia="宋体" w:cs="宋体"/>
              <w:b/>
              <w:bCs/>
              <w:highlight w:val="none"/>
            </w:rPr>
            <w:tab/>
          </w:r>
          <w:r>
            <w:rPr>
              <w:rFonts w:hint="eastAsia" w:ascii="宋体" w:hAnsi="宋体" w:eastAsia="宋体" w:cs="宋体"/>
              <w:b/>
              <w:bCs/>
              <w:highlight w:val="none"/>
            </w:rPr>
            <w:fldChar w:fldCharType="begin"/>
          </w:r>
          <w:r>
            <w:rPr>
              <w:rFonts w:hint="eastAsia" w:ascii="宋体" w:hAnsi="宋体" w:eastAsia="宋体" w:cs="宋体"/>
              <w:b/>
              <w:bCs/>
              <w:highlight w:val="none"/>
            </w:rPr>
            <w:instrText xml:space="preserve"> PAGEREF _Toc21633 \h </w:instrText>
          </w:r>
          <w:r>
            <w:rPr>
              <w:rFonts w:hint="eastAsia" w:ascii="宋体" w:hAnsi="宋体" w:eastAsia="宋体" w:cs="宋体"/>
              <w:b/>
              <w:bCs/>
              <w:highlight w:val="none"/>
            </w:rPr>
            <w:fldChar w:fldCharType="separate"/>
          </w:r>
          <w:r>
            <w:rPr>
              <w:rFonts w:hint="eastAsia" w:ascii="宋体" w:hAnsi="宋体" w:eastAsia="宋体" w:cs="宋体"/>
              <w:b/>
              <w:bCs/>
              <w:highlight w:val="none"/>
            </w:rPr>
            <w:t>11</w:t>
          </w:r>
          <w:r>
            <w:rPr>
              <w:rFonts w:hint="eastAsia" w:ascii="宋体" w:hAnsi="宋体" w:eastAsia="宋体" w:cs="宋体"/>
              <w:b/>
              <w:bCs/>
              <w:highlight w:val="none"/>
            </w:rPr>
            <w:fldChar w:fldCharType="end"/>
          </w:r>
          <w:r>
            <w:rPr>
              <w:rFonts w:hint="eastAsia" w:ascii="宋体" w:hAnsi="宋体" w:eastAsia="宋体" w:cs="宋体"/>
              <w:b/>
              <w:bCs/>
              <w:szCs w:val="21"/>
              <w:highlight w:val="none"/>
            </w:rPr>
            <w:fldChar w:fldCharType="end"/>
          </w:r>
        </w:p>
        <w:p w14:paraId="2025A17D">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_Toc5614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8 投标使用的文字及度量衡单位</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_Toc5614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11</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10C208BD">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_Toc15488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9 投标文件的组成</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_Toc15488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11</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0606E791">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_Toc15079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10 投标</w:t>
          </w:r>
          <w:r>
            <w:rPr>
              <w:rFonts w:hint="eastAsia" w:ascii="宋体" w:hAnsi="宋体" w:eastAsia="宋体" w:cs="宋体"/>
              <w:szCs w:val="21"/>
              <w:highlight w:val="none"/>
              <w:lang w:val="en-US" w:eastAsia="zh-CN"/>
            </w:rPr>
            <w:t>函</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_Toc15079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13</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52251623">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_Toc8845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11 投标报价</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_Toc8845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13</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563CD035">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_Toc22396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12 报价货币</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_Toc22396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13</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24E2BE04">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_Toc30651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13 证明投标人的合格性和资格的声明文件</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_Toc30651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13</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165C2F9B">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_Toc4551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14 证明</w:t>
          </w:r>
          <w:r>
            <w:rPr>
              <w:rFonts w:hint="eastAsia" w:ascii="宋体" w:hAnsi="宋体" w:eastAsia="宋体" w:cs="宋体"/>
              <w:szCs w:val="21"/>
              <w:highlight w:val="none"/>
              <w:lang w:val="en-US" w:eastAsia="zh-CN"/>
            </w:rPr>
            <w:t>服务</w:t>
          </w:r>
          <w:r>
            <w:rPr>
              <w:rFonts w:hint="eastAsia" w:ascii="宋体" w:hAnsi="宋体" w:eastAsia="宋体" w:cs="宋体"/>
              <w:szCs w:val="21"/>
              <w:highlight w:val="none"/>
              <w:lang w:val="zh-CN"/>
            </w:rPr>
            <w:t>的合格性并符合招标文件规定的声明文件</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_Toc4551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13</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034CC223">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_Toc27513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15 投标保证金</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_Toc27513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14</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43019660">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_Toc24142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16 投标有效期</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_Toc24142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15</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78802999">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_Toc24510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17 投标文件的编制和签署</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_Toc24510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16</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468345D8">
          <w:pPr>
            <w:pStyle w:val="39"/>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rPr>
            <w:fldChar w:fldCharType="begin"/>
          </w:r>
          <w:r>
            <w:rPr>
              <w:rFonts w:hint="eastAsia" w:ascii="宋体" w:hAnsi="宋体" w:eastAsia="宋体" w:cs="宋体"/>
              <w:b/>
              <w:bCs/>
              <w:szCs w:val="21"/>
              <w:highlight w:val="none"/>
            </w:rPr>
            <w:instrText xml:space="preserve"> HYPERLINK \l _Toc143 </w:instrText>
          </w:r>
          <w:r>
            <w:rPr>
              <w:rFonts w:hint="eastAsia" w:ascii="宋体" w:hAnsi="宋体" w:eastAsia="宋体" w:cs="宋体"/>
              <w:b/>
              <w:bCs/>
              <w:szCs w:val="21"/>
              <w:highlight w:val="none"/>
            </w:rPr>
            <w:fldChar w:fldCharType="separate"/>
          </w:r>
          <w:r>
            <w:rPr>
              <w:rFonts w:hint="eastAsia" w:ascii="宋体" w:hAnsi="宋体" w:eastAsia="宋体" w:cs="宋体"/>
              <w:b/>
              <w:bCs/>
              <w:kern w:val="44"/>
              <w:szCs w:val="21"/>
              <w:highlight w:val="none"/>
              <w:lang w:val="zh-CN"/>
            </w:rPr>
            <w:t>四、投标</w:t>
          </w:r>
          <w:r>
            <w:rPr>
              <w:rFonts w:hint="eastAsia" w:ascii="宋体" w:hAnsi="宋体" w:eastAsia="宋体" w:cs="宋体"/>
              <w:b/>
              <w:bCs/>
              <w:highlight w:val="none"/>
            </w:rPr>
            <w:tab/>
          </w:r>
          <w:r>
            <w:rPr>
              <w:rFonts w:hint="eastAsia" w:ascii="宋体" w:hAnsi="宋体" w:eastAsia="宋体" w:cs="宋体"/>
              <w:b/>
              <w:bCs/>
              <w:highlight w:val="none"/>
            </w:rPr>
            <w:fldChar w:fldCharType="begin"/>
          </w:r>
          <w:r>
            <w:rPr>
              <w:rFonts w:hint="eastAsia" w:ascii="宋体" w:hAnsi="宋体" w:eastAsia="宋体" w:cs="宋体"/>
              <w:b/>
              <w:bCs/>
              <w:highlight w:val="none"/>
            </w:rPr>
            <w:instrText xml:space="preserve"> PAGEREF _Toc143 \h </w:instrText>
          </w:r>
          <w:r>
            <w:rPr>
              <w:rFonts w:hint="eastAsia" w:ascii="宋体" w:hAnsi="宋体" w:eastAsia="宋体" w:cs="宋体"/>
              <w:b/>
              <w:bCs/>
              <w:highlight w:val="none"/>
            </w:rPr>
            <w:fldChar w:fldCharType="separate"/>
          </w:r>
          <w:r>
            <w:rPr>
              <w:rFonts w:hint="eastAsia" w:ascii="宋体" w:hAnsi="宋体" w:eastAsia="宋体" w:cs="宋体"/>
              <w:b/>
              <w:bCs/>
              <w:highlight w:val="none"/>
            </w:rPr>
            <w:t>16</w:t>
          </w:r>
          <w:r>
            <w:rPr>
              <w:rFonts w:hint="eastAsia" w:ascii="宋体" w:hAnsi="宋体" w:eastAsia="宋体" w:cs="宋体"/>
              <w:b/>
              <w:bCs/>
              <w:highlight w:val="none"/>
            </w:rPr>
            <w:fldChar w:fldCharType="end"/>
          </w:r>
          <w:r>
            <w:rPr>
              <w:rFonts w:hint="eastAsia" w:ascii="宋体" w:hAnsi="宋体" w:eastAsia="宋体" w:cs="宋体"/>
              <w:b/>
              <w:bCs/>
              <w:szCs w:val="21"/>
              <w:highlight w:val="none"/>
            </w:rPr>
            <w:fldChar w:fldCharType="end"/>
          </w:r>
        </w:p>
        <w:p w14:paraId="151B6E6B">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_Toc21997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18 投标文件的加密</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_Toc21997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16</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7CACBD65">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_Toc30931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 xml:space="preserve">19 </w:t>
          </w:r>
          <w:r>
            <w:rPr>
              <w:rFonts w:hint="eastAsia" w:ascii="宋体" w:hAnsi="宋体" w:eastAsia="宋体" w:cs="宋体"/>
              <w:szCs w:val="21"/>
              <w:highlight w:val="none"/>
              <w:lang w:val="zh-CN"/>
            </w:rPr>
            <w:t>投标文件的提交</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_Toc30931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17</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50EC70B1">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_Toc1999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 xml:space="preserve">20 </w:t>
          </w:r>
          <w:r>
            <w:rPr>
              <w:rFonts w:hint="eastAsia" w:ascii="宋体" w:hAnsi="宋体" w:eastAsia="宋体" w:cs="宋体"/>
              <w:szCs w:val="21"/>
              <w:highlight w:val="none"/>
              <w:lang w:val="zh-CN"/>
            </w:rPr>
            <w:t>投标会时间、地点及投标文件提交的截止时间</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_Toc1999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17</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5831902F">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_Toc4543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2</w:t>
          </w:r>
          <w:r>
            <w:rPr>
              <w:rFonts w:hint="eastAsia" w:ascii="宋体" w:hAnsi="宋体" w:eastAsia="宋体" w:cs="宋体"/>
              <w:szCs w:val="21"/>
              <w:highlight w:val="none"/>
            </w:rPr>
            <w:t xml:space="preserve">1 </w:t>
          </w:r>
          <w:r>
            <w:rPr>
              <w:rFonts w:hint="eastAsia" w:ascii="宋体" w:hAnsi="宋体" w:eastAsia="宋体" w:cs="宋体"/>
              <w:szCs w:val="21"/>
              <w:highlight w:val="none"/>
              <w:lang w:val="zh-CN"/>
            </w:rPr>
            <w:t>投标文件的拒绝</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_Toc4543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17</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7C8A88DA">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_Toc13684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2</w:t>
          </w:r>
          <w:r>
            <w:rPr>
              <w:rFonts w:hint="eastAsia" w:ascii="宋体" w:hAnsi="宋体" w:eastAsia="宋体" w:cs="宋体"/>
              <w:szCs w:val="21"/>
              <w:highlight w:val="none"/>
            </w:rPr>
            <w:t xml:space="preserve">2 </w:t>
          </w:r>
          <w:r>
            <w:rPr>
              <w:rFonts w:hint="eastAsia" w:ascii="宋体" w:hAnsi="宋体" w:eastAsia="宋体" w:cs="宋体"/>
              <w:szCs w:val="21"/>
              <w:highlight w:val="none"/>
              <w:lang w:val="zh-CN"/>
            </w:rPr>
            <w:t>投标文件的补充、修改与撤回</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_Toc13684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17</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50D27718">
          <w:pPr>
            <w:pStyle w:val="39"/>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rPr>
            <w:fldChar w:fldCharType="begin"/>
          </w:r>
          <w:r>
            <w:rPr>
              <w:rFonts w:hint="eastAsia" w:ascii="宋体" w:hAnsi="宋体" w:eastAsia="宋体" w:cs="宋体"/>
              <w:b/>
              <w:bCs/>
              <w:szCs w:val="21"/>
              <w:highlight w:val="none"/>
            </w:rPr>
            <w:instrText xml:space="preserve"> HYPERLINK \l _Toc4920 </w:instrText>
          </w:r>
          <w:r>
            <w:rPr>
              <w:rFonts w:hint="eastAsia" w:ascii="宋体" w:hAnsi="宋体" w:eastAsia="宋体" w:cs="宋体"/>
              <w:b/>
              <w:bCs/>
              <w:szCs w:val="21"/>
              <w:highlight w:val="none"/>
            </w:rPr>
            <w:fldChar w:fldCharType="separate"/>
          </w:r>
          <w:r>
            <w:rPr>
              <w:rFonts w:hint="eastAsia" w:ascii="宋体" w:hAnsi="宋体" w:eastAsia="宋体" w:cs="宋体"/>
              <w:b/>
              <w:bCs/>
              <w:kern w:val="44"/>
              <w:szCs w:val="21"/>
              <w:highlight w:val="none"/>
              <w:lang w:val="zh-CN"/>
            </w:rPr>
            <w:t>五、开标与评标</w:t>
          </w:r>
          <w:r>
            <w:rPr>
              <w:rFonts w:hint="eastAsia" w:ascii="宋体" w:hAnsi="宋体" w:eastAsia="宋体" w:cs="宋体"/>
              <w:b/>
              <w:bCs/>
              <w:highlight w:val="none"/>
            </w:rPr>
            <w:tab/>
          </w:r>
          <w:r>
            <w:rPr>
              <w:rFonts w:hint="eastAsia" w:ascii="宋体" w:hAnsi="宋体" w:eastAsia="宋体" w:cs="宋体"/>
              <w:b/>
              <w:bCs/>
              <w:highlight w:val="none"/>
            </w:rPr>
            <w:fldChar w:fldCharType="begin"/>
          </w:r>
          <w:r>
            <w:rPr>
              <w:rFonts w:hint="eastAsia" w:ascii="宋体" w:hAnsi="宋体" w:eastAsia="宋体" w:cs="宋体"/>
              <w:b/>
              <w:bCs/>
              <w:highlight w:val="none"/>
            </w:rPr>
            <w:instrText xml:space="preserve"> PAGEREF _Toc4920 \h </w:instrText>
          </w:r>
          <w:r>
            <w:rPr>
              <w:rFonts w:hint="eastAsia" w:ascii="宋体" w:hAnsi="宋体" w:eastAsia="宋体" w:cs="宋体"/>
              <w:b/>
              <w:bCs/>
              <w:highlight w:val="none"/>
            </w:rPr>
            <w:fldChar w:fldCharType="separate"/>
          </w:r>
          <w:r>
            <w:rPr>
              <w:rFonts w:hint="eastAsia" w:ascii="宋体" w:hAnsi="宋体" w:eastAsia="宋体" w:cs="宋体"/>
              <w:b/>
              <w:bCs/>
              <w:highlight w:val="none"/>
            </w:rPr>
            <w:t>18</w:t>
          </w:r>
          <w:r>
            <w:rPr>
              <w:rFonts w:hint="eastAsia" w:ascii="宋体" w:hAnsi="宋体" w:eastAsia="宋体" w:cs="宋体"/>
              <w:b/>
              <w:bCs/>
              <w:highlight w:val="none"/>
            </w:rPr>
            <w:fldChar w:fldCharType="end"/>
          </w:r>
          <w:r>
            <w:rPr>
              <w:rFonts w:hint="eastAsia" w:ascii="宋体" w:hAnsi="宋体" w:eastAsia="宋体" w:cs="宋体"/>
              <w:b/>
              <w:bCs/>
              <w:szCs w:val="21"/>
              <w:highlight w:val="none"/>
            </w:rPr>
            <w:fldChar w:fldCharType="end"/>
          </w:r>
        </w:p>
        <w:p w14:paraId="6238089F">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_Toc14069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2</w:t>
          </w:r>
          <w:r>
            <w:rPr>
              <w:rFonts w:hint="eastAsia" w:ascii="宋体" w:hAnsi="宋体" w:eastAsia="宋体" w:cs="宋体"/>
              <w:szCs w:val="21"/>
              <w:highlight w:val="none"/>
            </w:rPr>
            <w:t xml:space="preserve">3 </w:t>
          </w:r>
          <w:r>
            <w:rPr>
              <w:rFonts w:hint="eastAsia" w:ascii="宋体" w:hAnsi="宋体" w:eastAsia="宋体" w:cs="宋体"/>
              <w:szCs w:val="21"/>
              <w:highlight w:val="none"/>
              <w:lang w:val="zh-CN"/>
            </w:rPr>
            <w:t>开标</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_Toc14069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18</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6677FBEE">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_Toc3475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24</w:t>
          </w:r>
          <w:r>
            <w:rPr>
              <w:rFonts w:hint="eastAsia" w:ascii="宋体" w:hAnsi="宋体" w:eastAsia="宋体" w:cs="宋体"/>
              <w:szCs w:val="21"/>
              <w:highlight w:val="none"/>
              <w:lang w:val="zh-CN"/>
            </w:rPr>
            <w:t xml:space="preserve"> </w:t>
          </w:r>
          <w:r>
            <w:rPr>
              <w:rFonts w:hint="eastAsia" w:ascii="宋体" w:hAnsi="宋体" w:eastAsia="宋体" w:cs="宋体"/>
              <w:szCs w:val="21"/>
              <w:highlight w:val="none"/>
              <w:lang w:val="en-US" w:eastAsia="zh-CN"/>
            </w:rPr>
            <w:t>评审</w:t>
          </w:r>
          <w:r>
            <w:rPr>
              <w:rFonts w:hint="eastAsia" w:ascii="宋体" w:hAnsi="宋体" w:eastAsia="宋体" w:cs="宋体"/>
              <w:szCs w:val="21"/>
              <w:highlight w:val="none"/>
            </w:rPr>
            <w:t>过程的保密性</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_Toc3475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18</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1E25AECD">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_Toc6509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25</w:t>
          </w:r>
          <w:r>
            <w:rPr>
              <w:rFonts w:hint="eastAsia" w:ascii="宋体" w:hAnsi="宋体" w:eastAsia="宋体" w:cs="宋体"/>
              <w:szCs w:val="21"/>
              <w:highlight w:val="none"/>
              <w:lang w:val="zh-CN"/>
            </w:rPr>
            <w:t xml:space="preserve"> 评标委员会</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_Toc6509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18</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4CEAF215">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_Toc1838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26</w:t>
          </w:r>
          <w:r>
            <w:rPr>
              <w:rFonts w:hint="eastAsia" w:ascii="宋体" w:hAnsi="宋体" w:eastAsia="宋体" w:cs="宋体"/>
              <w:szCs w:val="21"/>
              <w:highlight w:val="none"/>
            </w:rPr>
            <w:t xml:space="preserve"> </w:t>
          </w:r>
          <w:r>
            <w:rPr>
              <w:rFonts w:hint="eastAsia" w:ascii="宋体" w:hAnsi="宋体" w:eastAsia="宋体" w:cs="宋体"/>
              <w:szCs w:val="21"/>
              <w:highlight w:val="none"/>
              <w:lang w:val="zh-CN"/>
            </w:rPr>
            <w:t>投标文件的有效性</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_Toc1838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18</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39EF76B4">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_Toc2220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2</w:t>
          </w:r>
          <w:r>
            <w:rPr>
              <w:rFonts w:hint="eastAsia" w:ascii="宋体" w:hAnsi="宋体" w:eastAsia="宋体" w:cs="宋体"/>
              <w:szCs w:val="21"/>
              <w:highlight w:val="none"/>
            </w:rPr>
            <w:t>7</w:t>
          </w:r>
          <w:r>
            <w:rPr>
              <w:rFonts w:hint="eastAsia" w:ascii="宋体" w:hAnsi="宋体" w:eastAsia="宋体" w:cs="宋体"/>
              <w:szCs w:val="21"/>
              <w:highlight w:val="none"/>
              <w:lang w:val="zh-CN"/>
            </w:rPr>
            <w:t xml:space="preserve"> 投标文件的初审</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_Toc2220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19</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3F46EADB">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_Toc4961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2</w:t>
          </w:r>
          <w:r>
            <w:rPr>
              <w:rFonts w:hint="eastAsia" w:ascii="宋体" w:hAnsi="宋体" w:eastAsia="宋体" w:cs="宋体"/>
              <w:szCs w:val="21"/>
              <w:highlight w:val="none"/>
            </w:rPr>
            <w:t>8</w:t>
          </w:r>
          <w:r>
            <w:rPr>
              <w:rFonts w:hint="eastAsia" w:ascii="宋体" w:hAnsi="宋体" w:eastAsia="宋体" w:cs="宋体"/>
              <w:szCs w:val="21"/>
              <w:highlight w:val="none"/>
              <w:lang w:val="zh-CN"/>
            </w:rPr>
            <w:t xml:space="preserve"> 投标文件的澄清</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_Toc4961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19</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5E3CE3C2">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_Toc6381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zh-CN"/>
            </w:rPr>
            <w:t>2</w:t>
          </w:r>
          <w:r>
            <w:rPr>
              <w:rFonts w:hint="eastAsia" w:ascii="宋体" w:hAnsi="宋体" w:eastAsia="宋体" w:cs="宋体"/>
              <w:szCs w:val="21"/>
              <w:highlight w:val="none"/>
            </w:rPr>
            <w:t>9</w:t>
          </w:r>
          <w:r>
            <w:rPr>
              <w:rFonts w:hint="eastAsia" w:ascii="宋体" w:hAnsi="宋体" w:eastAsia="宋体" w:cs="宋体"/>
              <w:szCs w:val="21"/>
              <w:highlight w:val="none"/>
              <w:lang w:val="zh-CN"/>
            </w:rPr>
            <w:t xml:space="preserve"> 对投标文件的比较和评价</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_Toc6381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19</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0C94C3E5">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_Toc1500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30</w:t>
          </w:r>
          <w:r>
            <w:rPr>
              <w:rFonts w:hint="eastAsia" w:ascii="宋体" w:hAnsi="宋体" w:eastAsia="宋体" w:cs="宋体"/>
              <w:szCs w:val="21"/>
              <w:highlight w:val="none"/>
              <w:lang w:val="zh-CN"/>
            </w:rPr>
            <w:t xml:space="preserve"> 评审原则及方法</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_Toc1500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20</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6EEC5F8B">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_Toc17734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 xml:space="preserve">31 </w:t>
          </w:r>
          <w:r>
            <w:rPr>
              <w:rFonts w:hint="eastAsia" w:ascii="宋体" w:hAnsi="宋体" w:eastAsia="宋体" w:cs="宋体"/>
              <w:szCs w:val="21"/>
              <w:highlight w:val="none"/>
              <w:lang w:val="zh-CN"/>
            </w:rPr>
            <w:t>评审结果公示及异议、投诉</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_Toc17734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20</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4C82939A">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_Toc14228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32</w:t>
          </w:r>
          <w:r>
            <w:rPr>
              <w:rFonts w:hint="eastAsia" w:ascii="宋体" w:hAnsi="宋体" w:eastAsia="宋体" w:cs="宋体"/>
              <w:szCs w:val="21"/>
              <w:highlight w:val="none"/>
              <w:lang w:val="zh-CN"/>
            </w:rPr>
            <w:t xml:space="preserve"> 真实性审查</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_Toc14228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21</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245A48A7">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_Toc17785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3</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lang w:val="zh-CN"/>
            </w:rPr>
            <w:t xml:space="preserve"> 评标委员会和招标人接受或拒绝任何投标或所有投标的权利</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_Toc17785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21</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2F755D21">
          <w:pPr>
            <w:pStyle w:val="39"/>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rPr>
            <w:fldChar w:fldCharType="begin"/>
          </w:r>
          <w:r>
            <w:rPr>
              <w:rFonts w:hint="eastAsia" w:ascii="宋体" w:hAnsi="宋体" w:eastAsia="宋体" w:cs="宋体"/>
              <w:b/>
              <w:bCs/>
              <w:szCs w:val="21"/>
              <w:highlight w:val="none"/>
            </w:rPr>
            <w:instrText xml:space="preserve"> HYPERLINK \l _Toc18956 </w:instrText>
          </w:r>
          <w:r>
            <w:rPr>
              <w:rFonts w:hint="eastAsia" w:ascii="宋体" w:hAnsi="宋体" w:eastAsia="宋体" w:cs="宋体"/>
              <w:b/>
              <w:bCs/>
              <w:szCs w:val="21"/>
              <w:highlight w:val="none"/>
            </w:rPr>
            <w:fldChar w:fldCharType="separate"/>
          </w:r>
          <w:r>
            <w:rPr>
              <w:rFonts w:hint="eastAsia" w:ascii="宋体" w:hAnsi="宋体" w:eastAsia="宋体" w:cs="宋体"/>
              <w:b/>
              <w:bCs/>
              <w:kern w:val="44"/>
              <w:szCs w:val="21"/>
              <w:highlight w:val="none"/>
              <w:lang w:val="zh-CN"/>
            </w:rPr>
            <w:t>六、授予合同</w:t>
          </w:r>
          <w:r>
            <w:rPr>
              <w:rFonts w:hint="eastAsia" w:ascii="宋体" w:hAnsi="宋体" w:eastAsia="宋体" w:cs="宋体"/>
              <w:b/>
              <w:bCs/>
              <w:highlight w:val="none"/>
            </w:rPr>
            <w:tab/>
          </w:r>
          <w:r>
            <w:rPr>
              <w:rFonts w:hint="eastAsia" w:ascii="宋体" w:hAnsi="宋体" w:eastAsia="宋体" w:cs="宋体"/>
              <w:b/>
              <w:bCs/>
              <w:highlight w:val="none"/>
            </w:rPr>
            <w:fldChar w:fldCharType="begin"/>
          </w:r>
          <w:r>
            <w:rPr>
              <w:rFonts w:hint="eastAsia" w:ascii="宋体" w:hAnsi="宋体" w:eastAsia="宋体" w:cs="宋体"/>
              <w:b/>
              <w:bCs/>
              <w:highlight w:val="none"/>
            </w:rPr>
            <w:instrText xml:space="preserve"> PAGEREF _Toc18956 \h </w:instrText>
          </w:r>
          <w:r>
            <w:rPr>
              <w:rFonts w:hint="eastAsia" w:ascii="宋体" w:hAnsi="宋体" w:eastAsia="宋体" w:cs="宋体"/>
              <w:b/>
              <w:bCs/>
              <w:highlight w:val="none"/>
            </w:rPr>
            <w:fldChar w:fldCharType="separate"/>
          </w:r>
          <w:r>
            <w:rPr>
              <w:rFonts w:hint="eastAsia" w:ascii="宋体" w:hAnsi="宋体" w:eastAsia="宋体" w:cs="宋体"/>
              <w:b/>
              <w:bCs/>
              <w:highlight w:val="none"/>
            </w:rPr>
            <w:t>21</w:t>
          </w:r>
          <w:r>
            <w:rPr>
              <w:rFonts w:hint="eastAsia" w:ascii="宋体" w:hAnsi="宋体" w:eastAsia="宋体" w:cs="宋体"/>
              <w:b/>
              <w:bCs/>
              <w:highlight w:val="none"/>
            </w:rPr>
            <w:fldChar w:fldCharType="end"/>
          </w:r>
          <w:r>
            <w:rPr>
              <w:rFonts w:hint="eastAsia" w:ascii="宋体" w:hAnsi="宋体" w:eastAsia="宋体" w:cs="宋体"/>
              <w:b/>
              <w:bCs/>
              <w:szCs w:val="21"/>
              <w:highlight w:val="none"/>
            </w:rPr>
            <w:fldChar w:fldCharType="end"/>
          </w:r>
        </w:p>
        <w:p w14:paraId="7810DCF1">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_Toc23421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3</w:t>
          </w:r>
          <w:r>
            <w:rPr>
              <w:rFonts w:hint="eastAsia" w:ascii="宋体" w:hAnsi="宋体" w:eastAsia="宋体" w:cs="宋体"/>
              <w:szCs w:val="21"/>
              <w:highlight w:val="none"/>
              <w:lang w:val="en-US" w:eastAsia="zh-CN"/>
            </w:rPr>
            <w:t>4</w:t>
          </w:r>
          <w:r>
            <w:rPr>
              <w:rFonts w:hint="eastAsia" w:ascii="宋体" w:hAnsi="宋体" w:eastAsia="宋体" w:cs="宋体"/>
              <w:szCs w:val="21"/>
              <w:highlight w:val="none"/>
              <w:lang w:val="zh-CN"/>
            </w:rPr>
            <w:t xml:space="preserve"> 授予合同的准则</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_Toc23421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21</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3211BC31">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_Toc3034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3</w:t>
          </w:r>
          <w:r>
            <w:rPr>
              <w:rFonts w:hint="eastAsia" w:ascii="宋体" w:hAnsi="宋体" w:eastAsia="宋体" w:cs="宋体"/>
              <w:szCs w:val="21"/>
              <w:highlight w:val="none"/>
              <w:lang w:val="en-US" w:eastAsia="zh-CN"/>
            </w:rPr>
            <w:t>5</w:t>
          </w:r>
          <w:r>
            <w:rPr>
              <w:rFonts w:hint="eastAsia" w:ascii="宋体" w:hAnsi="宋体" w:eastAsia="宋体" w:cs="宋体"/>
              <w:szCs w:val="21"/>
              <w:highlight w:val="none"/>
              <w:lang w:val="zh-CN"/>
            </w:rPr>
            <w:t xml:space="preserve"> 中标通知</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_Toc3034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22</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65B4FD9B">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_Toc17956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3</w:t>
          </w:r>
          <w:r>
            <w:rPr>
              <w:rFonts w:hint="eastAsia" w:ascii="宋体" w:hAnsi="宋体" w:eastAsia="宋体" w:cs="宋体"/>
              <w:szCs w:val="21"/>
              <w:highlight w:val="none"/>
              <w:lang w:val="en-US" w:eastAsia="zh-CN"/>
            </w:rPr>
            <w:t>6</w:t>
          </w:r>
          <w:r>
            <w:rPr>
              <w:rFonts w:hint="eastAsia" w:ascii="宋体" w:hAnsi="宋体" w:eastAsia="宋体" w:cs="宋体"/>
              <w:szCs w:val="21"/>
              <w:highlight w:val="none"/>
              <w:lang w:val="zh-CN"/>
            </w:rPr>
            <w:t xml:space="preserve"> 签署合同</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_Toc17956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22</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6C9FEA97">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_Toc2259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3</w:t>
          </w:r>
          <w:r>
            <w:rPr>
              <w:rFonts w:hint="eastAsia" w:ascii="宋体" w:hAnsi="宋体" w:eastAsia="宋体" w:cs="宋体"/>
              <w:szCs w:val="21"/>
              <w:highlight w:val="none"/>
              <w:lang w:val="en-US" w:eastAsia="zh-CN"/>
            </w:rPr>
            <w:t>7</w:t>
          </w:r>
          <w:r>
            <w:rPr>
              <w:rFonts w:hint="eastAsia" w:ascii="宋体" w:hAnsi="宋体" w:eastAsia="宋体" w:cs="宋体"/>
              <w:szCs w:val="21"/>
              <w:highlight w:val="none"/>
            </w:rPr>
            <w:t xml:space="preserve"> </w:t>
          </w:r>
          <w:r>
            <w:rPr>
              <w:rFonts w:hint="eastAsia" w:ascii="宋体" w:hAnsi="宋体" w:eastAsia="宋体" w:cs="宋体"/>
              <w:szCs w:val="21"/>
              <w:highlight w:val="none"/>
              <w:lang w:eastAsia="zh-CN"/>
            </w:rPr>
            <w:t>入库</w:t>
          </w:r>
          <w:r>
            <w:rPr>
              <w:rFonts w:hint="eastAsia" w:ascii="宋体" w:hAnsi="宋体" w:eastAsia="宋体" w:cs="宋体"/>
              <w:szCs w:val="21"/>
              <w:highlight w:val="none"/>
              <w:lang w:val="zh-CN"/>
            </w:rPr>
            <w:t>履约担保</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_Toc2259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22</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647DFEAB">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_Toc12559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3</w:t>
          </w:r>
          <w:r>
            <w:rPr>
              <w:rFonts w:hint="eastAsia" w:ascii="宋体" w:hAnsi="宋体" w:eastAsia="宋体" w:cs="宋体"/>
              <w:szCs w:val="21"/>
              <w:highlight w:val="none"/>
              <w:lang w:val="en-US" w:eastAsia="zh-CN"/>
            </w:rPr>
            <w:t>8</w:t>
          </w:r>
          <w:r>
            <w:rPr>
              <w:rFonts w:hint="eastAsia" w:ascii="宋体" w:hAnsi="宋体" w:eastAsia="宋体" w:cs="宋体"/>
              <w:szCs w:val="21"/>
              <w:highlight w:val="none"/>
              <w:lang w:val="zh-CN"/>
            </w:rPr>
            <w:t xml:space="preserve"> 在合同履行中变更采购范围的权利</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_Toc12559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24</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420F0AAE">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_Toc22700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en-US" w:eastAsia="zh-CN"/>
            </w:rPr>
            <w:t>39</w:t>
          </w:r>
          <w:r>
            <w:rPr>
              <w:rFonts w:hint="eastAsia" w:ascii="宋体" w:hAnsi="宋体" w:eastAsia="宋体" w:cs="宋体"/>
              <w:szCs w:val="21"/>
              <w:highlight w:val="none"/>
              <w:lang w:val="zh-CN"/>
            </w:rPr>
            <w:t xml:space="preserve"> 中标服务费</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_Toc22700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24</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652EDE0E">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_Toc27988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lang w:val="en-US" w:eastAsia="zh-CN"/>
            </w:rPr>
            <w:t>40</w:t>
          </w:r>
          <w:r>
            <w:rPr>
              <w:rFonts w:hint="eastAsia" w:ascii="宋体" w:hAnsi="宋体" w:eastAsia="宋体" w:cs="宋体"/>
              <w:szCs w:val="21"/>
              <w:highlight w:val="none"/>
              <w:lang w:val="zh-CN"/>
            </w:rPr>
            <w:t xml:space="preserve"> 发票</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_Toc27988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24</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2931B0AE">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szCs w:val="21"/>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_Toc1936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4</w:t>
          </w:r>
          <w:r>
            <w:rPr>
              <w:rFonts w:hint="eastAsia" w:ascii="宋体" w:hAnsi="宋体" w:eastAsia="宋体" w:cs="宋体"/>
              <w:szCs w:val="21"/>
              <w:highlight w:val="none"/>
              <w:lang w:val="en-US" w:eastAsia="zh-CN"/>
            </w:rPr>
            <w:t>1</w:t>
          </w:r>
          <w:r>
            <w:rPr>
              <w:rFonts w:hint="eastAsia" w:ascii="宋体" w:hAnsi="宋体" w:eastAsia="宋体" w:cs="宋体"/>
              <w:szCs w:val="21"/>
              <w:highlight w:val="none"/>
            </w:rPr>
            <w:t xml:space="preserve"> </w:t>
          </w:r>
          <w:r>
            <w:rPr>
              <w:rFonts w:hint="eastAsia" w:ascii="宋体" w:hAnsi="宋体" w:eastAsia="宋体" w:cs="宋体"/>
              <w:szCs w:val="21"/>
              <w:highlight w:val="none"/>
              <w:lang w:eastAsia="zh-CN"/>
            </w:rPr>
            <w:t>招标</w:t>
          </w:r>
          <w:r>
            <w:rPr>
              <w:rFonts w:hint="eastAsia" w:ascii="宋体" w:hAnsi="宋体" w:eastAsia="宋体" w:cs="宋体"/>
              <w:szCs w:val="21"/>
              <w:highlight w:val="none"/>
            </w:rPr>
            <w:t>相关补充约定</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_Toc1936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25</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3C8FADA7">
          <w:pPr>
            <w:pStyle w:val="3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ind w:left="840" w:leftChars="200" w:hanging="420" w:hangingChars="200"/>
            <w:textAlignment w:val="auto"/>
            <w:rPr>
              <w:rFonts w:hint="eastAsia" w:ascii="宋体" w:hAnsi="宋体" w:eastAsia="宋体" w:cs="宋体"/>
              <w:highlight w:val="none"/>
            </w:rPr>
          </w:pP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\l _Toc49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4</w:t>
          </w: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 xml:space="preserve"> 本次</w:t>
          </w:r>
          <w:r>
            <w:rPr>
              <w:rFonts w:hint="eastAsia" w:ascii="宋体" w:hAnsi="宋体" w:eastAsia="宋体" w:cs="宋体"/>
              <w:szCs w:val="21"/>
              <w:highlight w:val="none"/>
              <w:lang w:eastAsia="zh-CN"/>
            </w:rPr>
            <w:t>招标</w:t>
          </w:r>
          <w:r>
            <w:rPr>
              <w:rFonts w:hint="eastAsia" w:ascii="宋体" w:hAnsi="宋体" w:eastAsia="宋体" w:cs="宋体"/>
              <w:szCs w:val="21"/>
              <w:highlight w:val="none"/>
            </w:rPr>
            <w:t>活动的最终解释权归</w:t>
          </w:r>
          <w:r>
            <w:rPr>
              <w:rFonts w:hint="eastAsia" w:ascii="宋体" w:hAnsi="宋体" w:eastAsia="宋体" w:cs="宋体"/>
              <w:szCs w:val="21"/>
              <w:highlight w:val="none"/>
              <w:lang w:eastAsia="zh-CN"/>
            </w:rPr>
            <w:t>招标代理机构</w:t>
          </w:r>
          <w:r>
            <w:rPr>
              <w:rFonts w:hint="eastAsia" w:ascii="宋体" w:hAnsi="宋体" w:eastAsia="宋体" w:cs="宋体"/>
              <w:szCs w:val="21"/>
              <w:highlight w:val="none"/>
            </w:rPr>
            <w:t>及</w:t>
          </w:r>
          <w:r>
            <w:rPr>
              <w:rFonts w:hint="eastAsia" w:ascii="宋体" w:hAnsi="宋体" w:eastAsia="宋体" w:cs="宋体"/>
              <w:szCs w:val="21"/>
              <w:highlight w:val="none"/>
              <w:lang w:eastAsia="zh-CN"/>
            </w:rPr>
            <w:t>招标人</w:t>
          </w:r>
          <w:r>
            <w:rPr>
              <w:rFonts w:hint="eastAsia" w:ascii="宋体" w:hAnsi="宋体" w:eastAsia="宋体" w:cs="宋体"/>
              <w:szCs w:val="21"/>
              <w:highlight w:val="none"/>
            </w:rPr>
            <w:t>所有。</w:t>
          </w:r>
          <w:r>
            <w:rPr>
              <w:rFonts w:hint="eastAsia" w:ascii="宋体" w:hAnsi="宋体" w:eastAsia="宋体" w:cs="宋体"/>
              <w:szCs w:val="21"/>
              <w:highlight w:val="none"/>
            </w:rPr>
            <w:tab/>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PAGEREF _Toc49 \h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25</w:t>
          </w:r>
          <w:r>
            <w:rPr>
              <w:rFonts w:hint="eastAsia" w:ascii="宋体" w:hAnsi="宋体" w:eastAsia="宋体" w:cs="宋体"/>
              <w:szCs w:val="21"/>
              <w:highlight w:val="none"/>
            </w:rPr>
            <w:fldChar w:fldCharType="end"/>
          </w:r>
          <w:r>
            <w:rPr>
              <w:rFonts w:hint="eastAsia" w:ascii="宋体" w:hAnsi="宋体" w:eastAsia="宋体" w:cs="宋体"/>
              <w:szCs w:val="21"/>
              <w:highlight w:val="none"/>
            </w:rPr>
            <w:fldChar w:fldCharType="end"/>
          </w:r>
        </w:p>
        <w:p w14:paraId="0806A171">
          <w:pPr>
            <w:pStyle w:val="39"/>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rPr>
            <w:fldChar w:fldCharType="begin"/>
          </w:r>
          <w:r>
            <w:rPr>
              <w:rFonts w:hint="eastAsia" w:ascii="宋体" w:hAnsi="宋体" w:eastAsia="宋体" w:cs="宋体"/>
              <w:b/>
              <w:bCs/>
              <w:szCs w:val="21"/>
              <w:highlight w:val="none"/>
            </w:rPr>
            <w:instrText xml:space="preserve"> HYPERLINK \l _Toc4219 </w:instrText>
          </w:r>
          <w:r>
            <w:rPr>
              <w:rFonts w:hint="eastAsia" w:ascii="宋体" w:hAnsi="宋体" w:eastAsia="宋体" w:cs="宋体"/>
              <w:b/>
              <w:bCs/>
              <w:szCs w:val="21"/>
              <w:highlight w:val="none"/>
            </w:rPr>
            <w:fldChar w:fldCharType="separate"/>
          </w:r>
          <w:r>
            <w:rPr>
              <w:rFonts w:hint="eastAsia" w:ascii="宋体" w:hAnsi="宋体" w:eastAsia="宋体" w:cs="宋体"/>
              <w:b/>
              <w:bCs/>
              <w:kern w:val="44"/>
              <w:szCs w:val="32"/>
              <w:highlight w:val="none"/>
              <w:lang w:val="zh-CN"/>
            </w:rPr>
            <w:t>第三篇 用户需求书</w:t>
          </w:r>
          <w:r>
            <w:rPr>
              <w:rFonts w:hint="eastAsia" w:ascii="宋体" w:hAnsi="宋体" w:eastAsia="宋体" w:cs="宋体"/>
              <w:b/>
              <w:bCs/>
              <w:highlight w:val="none"/>
            </w:rPr>
            <w:tab/>
          </w:r>
          <w:r>
            <w:rPr>
              <w:rFonts w:hint="eastAsia" w:ascii="宋体" w:hAnsi="宋体" w:eastAsia="宋体" w:cs="宋体"/>
              <w:b/>
              <w:bCs/>
              <w:highlight w:val="none"/>
            </w:rPr>
            <w:fldChar w:fldCharType="begin"/>
          </w:r>
          <w:r>
            <w:rPr>
              <w:rFonts w:hint="eastAsia" w:ascii="宋体" w:hAnsi="宋体" w:eastAsia="宋体" w:cs="宋体"/>
              <w:b/>
              <w:bCs/>
              <w:highlight w:val="none"/>
            </w:rPr>
            <w:instrText xml:space="preserve"> PAGEREF _Toc4219 \h </w:instrText>
          </w:r>
          <w:r>
            <w:rPr>
              <w:rFonts w:hint="eastAsia" w:ascii="宋体" w:hAnsi="宋体" w:eastAsia="宋体" w:cs="宋体"/>
              <w:b/>
              <w:bCs/>
              <w:highlight w:val="none"/>
            </w:rPr>
            <w:fldChar w:fldCharType="separate"/>
          </w:r>
          <w:r>
            <w:rPr>
              <w:rFonts w:hint="eastAsia" w:ascii="宋体" w:hAnsi="宋体" w:eastAsia="宋体" w:cs="宋体"/>
              <w:b/>
              <w:bCs/>
              <w:highlight w:val="none"/>
            </w:rPr>
            <w:t>26</w:t>
          </w:r>
          <w:r>
            <w:rPr>
              <w:rFonts w:hint="eastAsia" w:ascii="宋体" w:hAnsi="宋体" w:eastAsia="宋体" w:cs="宋体"/>
              <w:b/>
              <w:bCs/>
              <w:highlight w:val="none"/>
            </w:rPr>
            <w:fldChar w:fldCharType="end"/>
          </w:r>
          <w:r>
            <w:rPr>
              <w:rFonts w:hint="eastAsia" w:ascii="宋体" w:hAnsi="宋体" w:eastAsia="宋体" w:cs="宋体"/>
              <w:b/>
              <w:bCs/>
              <w:szCs w:val="21"/>
              <w:highlight w:val="none"/>
            </w:rPr>
            <w:fldChar w:fldCharType="end"/>
          </w:r>
        </w:p>
        <w:p w14:paraId="46DA3481">
          <w:pPr>
            <w:pStyle w:val="39"/>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rPr>
            <w:fldChar w:fldCharType="begin"/>
          </w:r>
          <w:r>
            <w:rPr>
              <w:rFonts w:hint="eastAsia" w:ascii="宋体" w:hAnsi="宋体" w:eastAsia="宋体" w:cs="宋体"/>
              <w:b/>
              <w:bCs/>
              <w:szCs w:val="21"/>
              <w:highlight w:val="none"/>
            </w:rPr>
            <w:instrText xml:space="preserve"> HYPERLINK \l _Toc16518 </w:instrText>
          </w:r>
          <w:r>
            <w:rPr>
              <w:rFonts w:hint="eastAsia" w:ascii="宋体" w:hAnsi="宋体" w:eastAsia="宋体" w:cs="宋体"/>
              <w:b/>
              <w:bCs/>
              <w:szCs w:val="21"/>
              <w:highlight w:val="none"/>
            </w:rPr>
            <w:fldChar w:fldCharType="separate"/>
          </w:r>
          <w:r>
            <w:rPr>
              <w:rFonts w:hint="eastAsia" w:ascii="宋体" w:hAnsi="宋体" w:eastAsia="宋体" w:cs="宋体"/>
              <w:b/>
              <w:bCs/>
              <w:kern w:val="44"/>
              <w:szCs w:val="32"/>
              <w:highlight w:val="none"/>
              <w:lang w:val="zh-CN"/>
            </w:rPr>
            <w:t>第四篇 合同条款格式</w:t>
          </w:r>
          <w:r>
            <w:rPr>
              <w:rFonts w:hint="eastAsia" w:ascii="宋体" w:hAnsi="宋体" w:eastAsia="宋体" w:cs="宋体"/>
              <w:b/>
              <w:bCs/>
              <w:highlight w:val="none"/>
            </w:rPr>
            <w:tab/>
          </w:r>
          <w:r>
            <w:rPr>
              <w:rFonts w:hint="eastAsia" w:ascii="宋体" w:hAnsi="宋体" w:eastAsia="宋体" w:cs="宋体"/>
              <w:b/>
              <w:bCs/>
              <w:highlight w:val="none"/>
            </w:rPr>
            <w:fldChar w:fldCharType="begin"/>
          </w:r>
          <w:r>
            <w:rPr>
              <w:rFonts w:hint="eastAsia" w:ascii="宋体" w:hAnsi="宋体" w:eastAsia="宋体" w:cs="宋体"/>
              <w:b/>
              <w:bCs/>
              <w:highlight w:val="none"/>
            </w:rPr>
            <w:instrText xml:space="preserve"> PAGEREF _Toc16518 \h </w:instrText>
          </w:r>
          <w:r>
            <w:rPr>
              <w:rFonts w:hint="eastAsia" w:ascii="宋体" w:hAnsi="宋体" w:eastAsia="宋体" w:cs="宋体"/>
              <w:b/>
              <w:bCs/>
              <w:highlight w:val="none"/>
            </w:rPr>
            <w:fldChar w:fldCharType="separate"/>
          </w:r>
          <w:r>
            <w:rPr>
              <w:rFonts w:hint="eastAsia" w:ascii="宋体" w:hAnsi="宋体" w:eastAsia="宋体" w:cs="宋体"/>
              <w:b/>
              <w:bCs/>
              <w:highlight w:val="none"/>
            </w:rPr>
            <w:t>33</w:t>
          </w:r>
          <w:r>
            <w:rPr>
              <w:rFonts w:hint="eastAsia" w:ascii="宋体" w:hAnsi="宋体" w:eastAsia="宋体" w:cs="宋体"/>
              <w:b/>
              <w:bCs/>
              <w:highlight w:val="none"/>
            </w:rPr>
            <w:fldChar w:fldCharType="end"/>
          </w:r>
          <w:r>
            <w:rPr>
              <w:rFonts w:hint="eastAsia" w:ascii="宋体" w:hAnsi="宋体" w:eastAsia="宋体" w:cs="宋体"/>
              <w:b/>
              <w:bCs/>
              <w:szCs w:val="21"/>
              <w:highlight w:val="none"/>
            </w:rPr>
            <w:fldChar w:fldCharType="end"/>
          </w:r>
        </w:p>
        <w:p w14:paraId="1A7E2FDB">
          <w:pPr>
            <w:pStyle w:val="39"/>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rPr>
            <w:fldChar w:fldCharType="begin"/>
          </w:r>
          <w:r>
            <w:rPr>
              <w:rFonts w:hint="eastAsia" w:ascii="宋体" w:hAnsi="宋体" w:eastAsia="宋体" w:cs="宋体"/>
              <w:b/>
              <w:bCs/>
              <w:szCs w:val="21"/>
              <w:highlight w:val="none"/>
            </w:rPr>
            <w:instrText xml:space="preserve"> HYPERLINK \l _Toc16618 </w:instrText>
          </w:r>
          <w:r>
            <w:rPr>
              <w:rFonts w:hint="eastAsia" w:ascii="宋体" w:hAnsi="宋体" w:eastAsia="宋体" w:cs="宋体"/>
              <w:b/>
              <w:bCs/>
              <w:szCs w:val="21"/>
              <w:highlight w:val="none"/>
            </w:rPr>
            <w:fldChar w:fldCharType="separate"/>
          </w:r>
          <w:r>
            <w:rPr>
              <w:rFonts w:hint="eastAsia" w:ascii="宋体" w:hAnsi="宋体" w:eastAsia="宋体" w:cs="宋体"/>
              <w:b/>
              <w:bCs/>
              <w:szCs w:val="32"/>
              <w:highlight w:val="none"/>
              <w:lang w:val="zh-CN"/>
            </w:rPr>
            <w:t>第五篇 相关保函格式</w:t>
          </w:r>
          <w:r>
            <w:rPr>
              <w:rFonts w:hint="eastAsia" w:ascii="宋体" w:hAnsi="宋体" w:eastAsia="宋体" w:cs="宋体"/>
              <w:b/>
              <w:bCs/>
              <w:highlight w:val="none"/>
            </w:rPr>
            <w:tab/>
          </w:r>
          <w:r>
            <w:rPr>
              <w:rFonts w:hint="eastAsia" w:ascii="宋体" w:hAnsi="宋体" w:eastAsia="宋体" w:cs="宋体"/>
              <w:b/>
              <w:bCs/>
              <w:highlight w:val="none"/>
            </w:rPr>
            <w:fldChar w:fldCharType="begin"/>
          </w:r>
          <w:r>
            <w:rPr>
              <w:rFonts w:hint="eastAsia" w:ascii="宋体" w:hAnsi="宋体" w:eastAsia="宋体" w:cs="宋体"/>
              <w:b/>
              <w:bCs/>
              <w:highlight w:val="none"/>
            </w:rPr>
            <w:instrText xml:space="preserve"> PAGEREF _Toc16618 \h </w:instrText>
          </w:r>
          <w:r>
            <w:rPr>
              <w:rFonts w:hint="eastAsia" w:ascii="宋体" w:hAnsi="宋体" w:eastAsia="宋体" w:cs="宋体"/>
              <w:b/>
              <w:bCs/>
              <w:highlight w:val="none"/>
            </w:rPr>
            <w:fldChar w:fldCharType="separate"/>
          </w:r>
          <w:r>
            <w:rPr>
              <w:rFonts w:hint="eastAsia" w:ascii="宋体" w:hAnsi="宋体" w:eastAsia="宋体" w:cs="宋体"/>
              <w:b/>
              <w:bCs/>
              <w:highlight w:val="none"/>
            </w:rPr>
            <w:t>50</w:t>
          </w:r>
          <w:r>
            <w:rPr>
              <w:rFonts w:hint="eastAsia" w:ascii="宋体" w:hAnsi="宋体" w:eastAsia="宋体" w:cs="宋体"/>
              <w:b/>
              <w:bCs/>
              <w:highlight w:val="none"/>
            </w:rPr>
            <w:fldChar w:fldCharType="end"/>
          </w:r>
          <w:r>
            <w:rPr>
              <w:rFonts w:hint="eastAsia" w:ascii="宋体" w:hAnsi="宋体" w:eastAsia="宋体" w:cs="宋体"/>
              <w:b/>
              <w:bCs/>
              <w:szCs w:val="21"/>
              <w:highlight w:val="none"/>
            </w:rPr>
            <w:fldChar w:fldCharType="end"/>
          </w:r>
        </w:p>
        <w:p w14:paraId="4DF6BE59">
          <w:pPr>
            <w:pStyle w:val="39"/>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rPr>
            <w:fldChar w:fldCharType="begin"/>
          </w:r>
          <w:r>
            <w:rPr>
              <w:rFonts w:hint="eastAsia" w:ascii="宋体" w:hAnsi="宋体" w:eastAsia="宋体" w:cs="宋体"/>
              <w:b/>
              <w:bCs/>
              <w:szCs w:val="21"/>
              <w:highlight w:val="none"/>
            </w:rPr>
            <w:instrText xml:space="preserve"> HYPERLINK \l _Toc16708 </w:instrText>
          </w:r>
          <w:r>
            <w:rPr>
              <w:rFonts w:hint="eastAsia" w:ascii="宋体" w:hAnsi="宋体" w:eastAsia="宋体" w:cs="宋体"/>
              <w:b/>
              <w:bCs/>
              <w:szCs w:val="21"/>
              <w:highlight w:val="none"/>
            </w:rPr>
            <w:fldChar w:fldCharType="separate"/>
          </w:r>
          <w:r>
            <w:rPr>
              <w:rFonts w:hint="eastAsia" w:ascii="宋体" w:hAnsi="宋体" w:eastAsia="宋体" w:cs="宋体"/>
              <w:b/>
              <w:bCs/>
              <w:kern w:val="44"/>
              <w:szCs w:val="32"/>
              <w:highlight w:val="none"/>
              <w:lang w:val="zh-CN"/>
            </w:rPr>
            <w:t>第</w:t>
          </w:r>
          <w:r>
            <w:rPr>
              <w:rFonts w:hint="eastAsia" w:ascii="宋体" w:hAnsi="宋体" w:eastAsia="宋体" w:cs="宋体"/>
              <w:b/>
              <w:bCs/>
              <w:kern w:val="44"/>
              <w:szCs w:val="32"/>
              <w:highlight w:val="none"/>
              <w:lang w:val="en-US" w:eastAsia="zh-CN"/>
            </w:rPr>
            <w:t>六</w:t>
          </w:r>
          <w:r>
            <w:rPr>
              <w:rFonts w:hint="eastAsia" w:ascii="宋体" w:hAnsi="宋体" w:eastAsia="宋体" w:cs="宋体"/>
              <w:b/>
              <w:bCs/>
              <w:kern w:val="44"/>
              <w:szCs w:val="32"/>
              <w:highlight w:val="none"/>
              <w:lang w:val="zh-CN"/>
            </w:rPr>
            <w:t>篇 投标文件格式</w:t>
          </w:r>
          <w:r>
            <w:rPr>
              <w:rFonts w:hint="eastAsia" w:ascii="宋体" w:hAnsi="宋体" w:eastAsia="宋体" w:cs="宋体"/>
              <w:b/>
              <w:bCs/>
              <w:highlight w:val="none"/>
            </w:rPr>
            <w:tab/>
          </w:r>
          <w:r>
            <w:rPr>
              <w:rFonts w:hint="eastAsia" w:ascii="宋体" w:hAnsi="宋体" w:eastAsia="宋体" w:cs="宋体"/>
              <w:b/>
              <w:bCs/>
              <w:highlight w:val="none"/>
            </w:rPr>
            <w:fldChar w:fldCharType="begin"/>
          </w:r>
          <w:r>
            <w:rPr>
              <w:rFonts w:hint="eastAsia" w:ascii="宋体" w:hAnsi="宋体" w:eastAsia="宋体" w:cs="宋体"/>
              <w:b/>
              <w:bCs/>
              <w:highlight w:val="none"/>
            </w:rPr>
            <w:instrText xml:space="preserve"> PAGEREF _Toc16708 \h </w:instrText>
          </w:r>
          <w:r>
            <w:rPr>
              <w:rFonts w:hint="eastAsia" w:ascii="宋体" w:hAnsi="宋体" w:eastAsia="宋体" w:cs="宋体"/>
              <w:b/>
              <w:bCs/>
              <w:highlight w:val="none"/>
            </w:rPr>
            <w:fldChar w:fldCharType="separate"/>
          </w:r>
          <w:r>
            <w:rPr>
              <w:rFonts w:hint="eastAsia" w:ascii="宋体" w:hAnsi="宋体" w:eastAsia="宋体" w:cs="宋体"/>
              <w:b/>
              <w:bCs/>
              <w:highlight w:val="none"/>
            </w:rPr>
            <w:t>53</w:t>
          </w:r>
          <w:r>
            <w:rPr>
              <w:rFonts w:hint="eastAsia" w:ascii="宋体" w:hAnsi="宋体" w:eastAsia="宋体" w:cs="宋体"/>
              <w:b/>
              <w:bCs/>
              <w:highlight w:val="none"/>
            </w:rPr>
            <w:fldChar w:fldCharType="end"/>
          </w:r>
          <w:r>
            <w:rPr>
              <w:rFonts w:hint="eastAsia" w:ascii="宋体" w:hAnsi="宋体" w:eastAsia="宋体" w:cs="宋体"/>
              <w:b/>
              <w:bCs/>
              <w:szCs w:val="21"/>
              <w:highlight w:val="none"/>
            </w:rPr>
            <w:fldChar w:fldCharType="end"/>
          </w:r>
        </w:p>
        <w:p w14:paraId="29D57842">
          <w:pPr>
            <w:pStyle w:val="39"/>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highlight w:val="none"/>
            </w:rPr>
          </w:pPr>
          <w:r>
            <w:rPr>
              <w:rFonts w:hint="eastAsia" w:ascii="宋体" w:hAnsi="宋体" w:eastAsia="宋体" w:cs="宋体"/>
              <w:b/>
              <w:bCs/>
              <w:szCs w:val="21"/>
              <w:highlight w:val="none"/>
            </w:rPr>
            <w:fldChar w:fldCharType="begin"/>
          </w:r>
          <w:r>
            <w:rPr>
              <w:rFonts w:hint="eastAsia" w:ascii="宋体" w:hAnsi="宋体" w:eastAsia="宋体" w:cs="宋体"/>
              <w:b/>
              <w:bCs/>
              <w:szCs w:val="21"/>
              <w:highlight w:val="none"/>
            </w:rPr>
            <w:instrText xml:space="preserve"> HYPERLINK \l _Toc1690 </w:instrText>
          </w:r>
          <w:r>
            <w:rPr>
              <w:rFonts w:hint="eastAsia" w:ascii="宋体" w:hAnsi="宋体" w:eastAsia="宋体" w:cs="宋体"/>
              <w:b/>
              <w:bCs/>
              <w:szCs w:val="21"/>
              <w:highlight w:val="none"/>
            </w:rPr>
            <w:fldChar w:fldCharType="separate"/>
          </w:r>
          <w:r>
            <w:rPr>
              <w:rFonts w:hint="eastAsia" w:ascii="宋体" w:hAnsi="宋体" w:eastAsia="宋体" w:cs="宋体"/>
              <w:b/>
              <w:bCs/>
              <w:kern w:val="44"/>
              <w:szCs w:val="32"/>
              <w:highlight w:val="none"/>
              <w:lang w:val="zh-CN"/>
            </w:rPr>
            <w:t>附件一：评</w:t>
          </w:r>
          <w:r>
            <w:rPr>
              <w:rFonts w:hint="eastAsia" w:ascii="宋体" w:hAnsi="宋体" w:eastAsia="宋体" w:cs="宋体"/>
              <w:b/>
              <w:bCs/>
              <w:kern w:val="44"/>
              <w:szCs w:val="32"/>
              <w:highlight w:val="none"/>
              <w:lang w:val="en-US" w:eastAsia="zh-CN"/>
            </w:rPr>
            <w:t>标</w:t>
          </w:r>
          <w:r>
            <w:rPr>
              <w:rFonts w:hint="eastAsia" w:ascii="宋体" w:hAnsi="宋体" w:eastAsia="宋体" w:cs="宋体"/>
              <w:b/>
              <w:bCs/>
              <w:kern w:val="44"/>
              <w:szCs w:val="32"/>
              <w:highlight w:val="none"/>
              <w:lang w:val="zh-CN"/>
            </w:rPr>
            <w:t>工作大纲</w:t>
          </w:r>
          <w:r>
            <w:rPr>
              <w:rFonts w:hint="eastAsia" w:ascii="宋体" w:hAnsi="宋体" w:eastAsia="宋体" w:cs="宋体"/>
              <w:b/>
              <w:bCs/>
              <w:highlight w:val="none"/>
            </w:rPr>
            <w:tab/>
          </w:r>
          <w:r>
            <w:rPr>
              <w:rFonts w:hint="eastAsia" w:ascii="宋体" w:hAnsi="宋体" w:eastAsia="宋体" w:cs="宋体"/>
              <w:b/>
              <w:bCs/>
              <w:highlight w:val="none"/>
            </w:rPr>
            <w:fldChar w:fldCharType="begin"/>
          </w:r>
          <w:r>
            <w:rPr>
              <w:rFonts w:hint="eastAsia" w:ascii="宋体" w:hAnsi="宋体" w:eastAsia="宋体" w:cs="宋体"/>
              <w:b/>
              <w:bCs/>
              <w:highlight w:val="none"/>
            </w:rPr>
            <w:instrText xml:space="preserve"> PAGEREF _Toc1690 \h </w:instrText>
          </w:r>
          <w:r>
            <w:rPr>
              <w:rFonts w:hint="eastAsia" w:ascii="宋体" w:hAnsi="宋体" w:eastAsia="宋体" w:cs="宋体"/>
              <w:b/>
              <w:bCs/>
              <w:highlight w:val="none"/>
            </w:rPr>
            <w:fldChar w:fldCharType="separate"/>
          </w:r>
          <w:r>
            <w:rPr>
              <w:rFonts w:hint="eastAsia" w:ascii="宋体" w:hAnsi="宋体" w:eastAsia="宋体" w:cs="宋体"/>
              <w:b/>
              <w:bCs/>
              <w:highlight w:val="none"/>
            </w:rPr>
            <w:t>95</w:t>
          </w:r>
          <w:r>
            <w:rPr>
              <w:rFonts w:hint="eastAsia" w:ascii="宋体" w:hAnsi="宋体" w:eastAsia="宋体" w:cs="宋体"/>
              <w:b/>
              <w:bCs/>
              <w:highlight w:val="none"/>
            </w:rPr>
            <w:fldChar w:fldCharType="end"/>
          </w:r>
          <w:r>
            <w:rPr>
              <w:rFonts w:hint="eastAsia" w:ascii="宋体" w:hAnsi="宋体" w:eastAsia="宋体" w:cs="宋体"/>
              <w:b/>
              <w:bCs/>
              <w:szCs w:val="21"/>
              <w:highlight w:val="none"/>
            </w:rPr>
            <w:fldChar w:fldCharType="end"/>
          </w:r>
        </w:p>
        <w:p w14:paraId="17B4F7D7">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highlight w:val="none"/>
            </w:rPr>
          </w:pPr>
          <w:r>
            <w:rPr>
              <w:rFonts w:hint="eastAsia" w:ascii="宋体" w:hAnsi="宋体" w:eastAsia="宋体" w:cs="宋体"/>
              <w:szCs w:val="21"/>
              <w:highlight w:val="none"/>
            </w:rPr>
            <w:fldChar w:fldCharType="end"/>
          </w:r>
        </w:p>
      </w:sdtContent>
    </w:sdt>
    <w:p w14:paraId="78BB176F">
      <w:pPr>
        <w:pageBreakBefore w:val="0"/>
        <w:autoSpaceDE/>
        <w:autoSpaceDN/>
        <w:adjustRightInd/>
        <w:spacing w:line="240" w:lineRule="auto"/>
        <w:ind w:left="0" w:leftChars="0" w:firstLine="0"/>
        <w:jc w:val="left"/>
        <w:outlineLvl w:val="9"/>
        <w:rPr>
          <w:rFonts w:hint="eastAsia" w:ascii="宋体" w:hAnsi="宋体" w:eastAsia="宋体" w:cs="宋体"/>
          <w:b/>
          <w:bCs/>
          <w:color w:val="auto"/>
          <w:kern w:val="44"/>
          <w:sz w:val="32"/>
          <w:szCs w:val="32"/>
          <w:highlight w:val="none"/>
          <w:lang w:val="zh-CN"/>
        </w:rPr>
      </w:pPr>
      <w:bookmarkStart w:id="5" w:name="_Toc195714215"/>
      <w:bookmarkStart w:id="6" w:name="_Toc142508311"/>
      <w:bookmarkStart w:id="7" w:name="_Toc15111"/>
      <w:bookmarkStart w:id="8" w:name="_Toc21384"/>
      <w:bookmarkStart w:id="9" w:name="_Toc18212"/>
      <w:bookmarkStart w:id="10" w:name="_Toc486167661"/>
      <w:bookmarkStart w:id="11" w:name="_Toc31764_WPSOffice_Level1"/>
      <w:bookmarkStart w:id="12" w:name="_Toc6882"/>
      <w:bookmarkStart w:id="13" w:name="_Toc450662847"/>
      <w:r>
        <w:rPr>
          <w:rFonts w:hint="eastAsia" w:ascii="宋体" w:hAnsi="宋体" w:eastAsia="宋体" w:cs="宋体"/>
          <w:b/>
          <w:bCs/>
          <w:color w:val="auto"/>
          <w:kern w:val="44"/>
          <w:sz w:val="32"/>
          <w:szCs w:val="32"/>
          <w:highlight w:val="none"/>
          <w:lang w:val="zh-CN"/>
        </w:rPr>
        <w:br w:type="page"/>
      </w:r>
    </w:p>
    <w:p w14:paraId="02193278">
      <w:pPr>
        <w:pageBreakBefore/>
        <w:tabs>
          <w:tab w:val="left" w:pos="1080"/>
        </w:tabs>
        <w:autoSpaceDE w:val="0"/>
        <w:autoSpaceDN w:val="0"/>
        <w:adjustRightInd w:val="0"/>
        <w:spacing w:line="360" w:lineRule="auto"/>
        <w:ind w:left="-167" w:leftChars="-100" w:hanging="43"/>
        <w:jc w:val="center"/>
        <w:outlineLvl w:val="0"/>
        <w:rPr>
          <w:rFonts w:hint="eastAsia" w:ascii="宋体" w:hAnsi="宋体" w:eastAsia="宋体" w:cs="宋体"/>
          <w:b/>
          <w:bCs/>
          <w:kern w:val="44"/>
          <w:sz w:val="32"/>
          <w:szCs w:val="32"/>
          <w:highlight w:val="none"/>
        </w:rPr>
      </w:pPr>
      <w:bookmarkStart w:id="14" w:name="_Toc4070"/>
      <w:bookmarkStart w:id="15" w:name="_Toc14937"/>
      <w:bookmarkStart w:id="16" w:name="_Toc13069"/>
      <w:bookmarkStart w:id="17" w:name="_Toc9381"/>
      <w:r>
        <w:rPr>
          <w:rFonts w:hint="eastAsia" w:ascii="宋体" w:hAnsi="宋体" w:eastAsia="宋体" w:cs="宋体"/>
          <w:b/>
          <w:bCs/>
          <w:kern w:val="44"/>
          <w:sz w:val="32"/>
          <w:szCs w:val="32"/>
          <w:highlight w:val="none"/>
        </w:rPr>
        <w:t xml:space="preserve">第一篇 </w:t>
      </w:r>
      <w:r>
        <w:rPr>
          <w:rFonts w:hint="eastAsia" w:ascii="宋体" w:hAnsi="宋体" w:eastAsia="宋体" w:cs="宋体"/>
          <w:b/>
          <w:bCs/>
          <w:color w:val="auto"/>
          <w:kern w:val="44"/>
          <w:sz w:val="32"/>
          <w:szCs w:val="32"/>
          <w:highlight w:val="none"/>
          <w:lang w:val="zh-CN"/>
        </w:rPr>
        <w:t>招标</w:t>
      </w:r>
      <w:r>
        <w:rPr>
          <w:rFonts w:hint="eastAsia" w:ascii="宋体" w:hAnsi="宋体" w:eastAsia="宋体" w:cs="宋体"/>
          <w:b/>
          <w:bCs/>
          <w:kern w:val="44"/>
          <w:sz w:val="32"/>
          <w:szCs w:val="32"/>
          <w:highlight w:val="none"/>
        </w:rPr>
        <w:t>公告</w:t>
      </w:r>
      <w:bookmarkEnd w:id="14"/>
      <w:bookmarkEnd w:id="15"/>
      <w:bookmarkEnd w:id="16"/>
      <w:bookmarkEnd w:id="17"/>
    </w:p>
    <w:p w14:paraId="482C4504">
      <w:pPr>
        <w:autoSpaceDE w:val="0"/>
        <w:autoSpaceDN w:val="0"/>
        <w:adjustRightInd w:val="0"/>
        <w:snapToGrid w:val="0"/>
        <w:spacing w:line="360" w:lineRule="auto"/>
        <w:ind w:right="-34" w:firstLine="420" w:firstLineChars="200"/>
        <w:rPr>
          <w:rFonts w:hint="eastAsia" w:ascii="宋体" w:hAnsi="宋体" w:eastAsia="宋体" w:cs="Times New Roman"/>
          <w:szCs w:val="21"/>
          <w:highlight w:val="none"/>
          <w:lang w:val="zh-CN"/>
        </w:rPr>
      </w:pPr>
      <w:r>
        <w:rPr>
          <w:rFonts w:hint="eastAsia" w:ascii="宋体" w:hAnsi="宋体" w:eastAsia="宋体" w:cs="Times New Roman"/>
          <w:kern w:val="0"/>
          <w:szCs w:val="21"/>
          <w:highlight w:val="none"/>
        </w:rPr>
        <w:t>广州宏达工程顾问集团有限公司</w:t>
      </w:r>
      <w:r>
        <w:rPr>
          <w:rFonts w:ascii="宋体" w:hAnsi="宋体" w:eastAsia="宋体" w:cs="Times New Roman"/>
          <w:szCs w:val="21"/>
          <w:highlight w:val="none"/>
          <w:lang w:val="zh-CN"/>
        </w:rPr>
        <w:t>（以下简称“</w:t>
      </w:r>
      <w:r>
        <w:rPr>
          <w:rFonts w:hint="eastAsia" w:ascii="宋体" w:hAnsi="宋体" w:eastAsia="宋体" w:cs="宋体"/>
          <w:color w:val="auto"/>
          <w:szCs w:val="21"/>
          <w:highlight w:val="none"/>
          <w:lang w:val="zh-CN"/>
        </w:rPr>
        <w:t>招标</w:t>
      </w:r>
      <w:r>
        <w:rPr>
          <w:rFonts w:ascii="宋体" w:hAnsi="宋体" w:eastAsia="宋体" w:cs="Times New Roman"/>
          <w:szCs w:val="21"/>
          <w:highlight w:val="none"/>
          <w:lang w:val="zh-CN"/>
        </w:rPr>
        <w:t>代理机构”）受</w:t>
      </w:r>
      <w:r>
        <w:rPr>
          <w:rFonts w:hint="eastAsia" w:ascii="宋体" w:hAnsi="宋体" w:eastAsia="宋体" w:cs="Times New Roman"/>
          <w:kern w:val="0"/>
          <w:szCs w:val="21"/>
          <w:highlight w:val="none"/>
        </w:rPr>
        <w:t>东莞市众源环境投资有限公司</w:t>
      </w:r>
      <w:r>
        <w:rPr>
          <w:rFonts w:ascii="宋体" w:hAnsi="宋体" w:eastAsia="宋体" w:cs="Times New Roman"/>
          <w:szCs w:val="21"/>
          <w:highlight w:val="none"/>
          <w:lang w:val="zh-CN"/>
        </w:rPr>
        <w:t>（以下简称“</w:t>
      </w:r>
      <w:r>
        <w:rPr>
          <w:rFonts w:hint="eastAsia" w:ascii="宋体" w:hAnsi="宋体" w:eastAsia="宋体" w:cs="Times New Roman"/>
          <w:szCs w:val="21"/>
          <w:highlight w:val="none"/>
          <w:lang w:val="en-US" w:eastAsia="zh-CN"/>
        </w:rPr>
        <w:t>招标</w:t>
      </w:r>
      <w:r>
        <w:rPr>
          <w:rFonts w:ascii="宋体" w:hAnsi="宋体" w:eastAsia="宋体" w:cs="Times New Roman"/>
          <w:szCs w:val="21"/>
          <w:highlight w:val="none"/>
          <w:lang w:val="zh-CN"/>
        </w:rPr>
        <w:t>人”）的委托，对</w:t>
      </w:r>
      <w:r>
        <w:rPr>
          <w:rFonts w:hint="eastAsia" w:ascii="宋体" w:hAnsi="宋体" w:eastAsia="宋体" w:cs="Times New Roman"/>
          <w:szCs w:val="21"/>
          <w:highlight w:val="none"/>
          <w:lang w:val="zh-CN" w:eastAsia="zh-CN"/>
        </w:rPr>
        <w:t>东莞市众源环境投资有限公司半干化泥粉外运资源化处置服务供应商库2025年第二次扩增供应商项目</w:t>
      </w:r>
      <w:r>
        <w:rPr>
          <w:rFonts w:ascii="宋体" w:hAnsi="宋体" w:eastAsia="宋体" w:cs="Times New Roman"/>
          <w:szCs w:val="21"/>
          <w:highlight w:val="none"/>
          <w:lang w:val="zh-CN"/>
        </w:rPr>
        <w:t>(</w:t>
      </w:r>
      <w:r>
        <w:rPr>
          <w:rFonts w:hint="eastAsia" w:ascii="宋体" w:hAnsi="宋体" w:eastAsia="宋体" w:cs="宋体"/>
          <w:color w:val="auto"/>
          <w:szCs w:val="21"/>
          <w:highlight w:val="none"/>
          <w:lang w:val="zh-CN"/>
        </w:rPr>
        <w:t>招标</w:t>
      </w:r>
      <w:r>
        <w:rPr>
          <w:rFonts w:ascii="宋体" w:hAnsi="宋体" w:eastAsia="宋体" w:cs="Times New Roman"/>
          <w:szCs w:val="21"/>
          <w:highlight w:val="none"/>
          <w:lang w:val="zh-CN"/>
        </w:rPr>
        <w:t>编号：</w:t>
      </w:r>
      <w:r>
        <w:rPr>
          <w:rFonts w:hint="eastAsia" w:ascii="宋体" w:hAnsi="宋体" w:eastAsia="宋体" w:cs="Times New Roman"/>
          <w:szCs w:val="21"/>
          <w:highlight w:val="none"/>
          <w:lang w:val="zh-CN"/>
        </w:rPr>
        <w:t>SSSSSZ12502462</w:t>
      </w:r>
      <w:r>
        <w:rPr>
          <w:rFonts w:ascii="宋体" w:hAnsi="宋体" w:eastAsia="宋体" w:cs="Times New Roman"/>
          <w:szCs w:val="21"/>
          <w:highlight w:val="none"/>
          <w:lang w:val="zh-CN"/>
        </w:rPr>
        <w:t>)进行国内</w:t>
      </w:r>
      <w:r>
        <w:rPr>
          <w:rFonts w:hint="eastAsia" w:ascii="宋体" w:hAnsi="宋体" w:eastAsia="宋体" w:cs="Times New Roman"/>
          <w:szCs w:val="21"/>
          <w:highlight w:val="none"/>
          <w:lang w:val="en-US" w:eastAsia="zh-CN"/>
        </w:rPr>
        <w:t>公开</w:t>
      </w:r>
      <w:r>
        <w:rPr>
          <w:rFonts w:hint="eastAsia" w:ascii="宋体" w:hAnsi="宋体" w:eastAsia="宋体" w:cs="Times New Roman"/>
          <w:szCs w:val="21"/>
          <w:highlight w:val="none"/>
          <w:lang w:val="zh-CN"/>
        </w:rPr>
        <w:t>招标</w:t>
      </w:r>
      <w:r>
        <w:rPr>
          <w:rFonts w:ascii="宋体" w:hAnsi="宋体" w:eastAsia="宋体" w:cs="Times New Roman"/>
          <w:szCs w:val="21"/>
          <w:highlight w:val="none"/>
          <w:lang w:val="zh-CN"/>
        </w:rPr>
        <w:t>，</w:t>
      </w:r>
      <w:r>
        <w:rPr>
          <w:rFonts w:hint="eastAsia" w:ascii="宋体" w:hAnsi="宋体" w:eastAsia="宋体" w:cs="Times New Roman"/>
          <w:bCs/>
          <w:kern w:val="0"/>
          <w:szCs w:val="21"/>
          <w:highlight w:val="none"/>
        </w:rPr>
        <w:t>详情请参见本</w:t>
      </w:r>
      <w:r>
        <w:rPr>
          <w:rFonts w:hint="eastAsia" w:ascii="宋体" w:hAnsi="宋体" w:eastAsia="宋体" w:cs="Times New Roman"/>
          <w:bCs/>
          <w:kern w:val="0"/>
          <w:szCs w:val="21"/>
          <w:highlight w:val="none"/>
          <w:lang w:val="en-US" w:eastAsia="zh-CN"/>
        </w:rPr>
        <w:t>招标</w:t>
      </w:r>
      <w:r>
        <w:rPr>
          <w:rFonts w:hint="eastAsia" w:ascii="宋体" w:hAnsi="宋体" w:eastAsia="宋体" w:cs="Times New Roman"/>
          <w:bCs/>
          <w:kern w:val="0"/>
          <w:szCs w:val="21"/>
          <w:highlight w:val="none"/>
        </w:rPr>
        <w:t>文件</w:t>
      </w:r>
      <w:r>
        <w:rPr>
          <w:rFonts w:ascii="宋体" w:hAnsi="宋体" w:eastAsia="宋体" w:cs="Times New Roman"/>
          <w:bCs/>
          <w:kern w:val="0"/>
          <w:szCs w:val="21"/>
          <w:highlight w:val="none"/>
        </w:rPr>
        <w:t>。</w:t>
      </w:r>
      <w:r>
        <w:rPr>
          <w:rFonts w:hint="eastAsia" w:ascii="宋体" w:hAnsi="宋体" w:eastAsia="宋体" w:cs="Times New Roman"/>
          <w:kern w:val="0"/>
          <w:szCs w:val="21"/>
          <w:highlight w:val="none"/>
        </w:rPr>
        <w:t>欢迎符合条件的合格</w:t>
      </w:r>
      <w:r>
        <w:rPr>
          <w:rFonts w:hint="eastAsia" w:ascii="宋体" w:hAnsi="宋体" w:eastAsia="宋体" w:cs="Times New Roman"/>
          <w:kern w:val="0"/>
          <w:szCs w:val="21"/>
          <w:highlight w:val="none"/>
          <w:lang w:val="en-US" w:eastAsia="zh-CN"/>
        </w:rPr>
        <w:t>投标人</w:t>
      </w:r>
      <w:r>
        <w:rPr>
          <w:rFonts w:hint="eastAsia" w:ascii="宋体" w:hAnsi="宋体" w:eastAsia="宋体" w:cs="Times New Roman"/>
          <w:kern w:val="0"/>
          <w:szCs w:val="21"/>
          <w:highlight w:val="none"/>
        </w:rPr>
        <w:t>参加</w:t>
      </w:r>
      <w:r>
        <w:rPr>
          <w:rFonts w:hint="eastAsia" w:ascii="宋体" w:hAnsi="宋体" w:eastAsia="宋体" w:cs="Times New Roman"/>
          <w:kern w:val="0"/>
          <w:szCs w:val="21"/>
          <w:highlight w:val="none"/>
          <w:lang w:val="en-US" w:eastAsia="zh-CN"/>
        </w:rPr>
        <w:t>投标</w:t>
      </w:r>
      <w:r>
        <w:rPr>
          <w:rFonts w:hint="eastAsia" w:ascii="宋体" w:hAnsi="宋体" w:eastAsia="宋体" w:cs="Times New Roman"/>
          <w:kern w:val="0"/>
          <w:szCs w:val="21"/>
          <w:highlight w:val="none"/>
        </w:rPr>
        <w:t>，</w:t>
      </w:r>
      <w:r>
        <w:rPr>
          <w:rFonts w:hint="eastAsia" w:ascii="宋体" w:hAnsi="宋体" w:eastAsia="宋体" w:cs="Times New Roman"/>
          <w:bCs/>
          <w:kern w:val="0"/>
          <w:szCs w:val="21"/>
          <w:highlight w:val="none"/>
        </w:rPr>
        <w:t>有关事项如下：</w:t>
      </w:r>
    </w:p>
    <w:p w14:paraId="5D1E1B61">
      <w:pPr>
        <w:autoSpaceDE w:val="0"/>
        <w:autoSpaceDN w:val="0"/>
        <w:adjustRightInd w:val="0"/>
        <w:spacing w:line="360" w:lineRule="auto"/>
        <w:ind w:right="-29" w:rightChars="-14" w:firstLine="420" w:firstLineChars="200"/>
        <w:rPr>
          <w:rFonts w:hint="eastAsia" w:ascii="宋体" w:hAnsi="宋体" w:eastAsia="宋体" w:cs="Times New Roman"/>
          <w:szCs w:val="21"/>
          <w:highlight w:val="none"/>
          <w:lang w:val="zh-CN"/>
        </w:rPr>
      </w:pPr>
    </w:p>
    <w:p w14:paraId="7D450EEA">
      <w:pPr>
        <w:numPr>
          <w:ilvl w:val="0"/>
          <w:numId w:val="2"/>
        </w:numPr>
        <w:autoSpaceDE w:val="0"/>
        <w:autoSpaceDN w:val="0"/>
        <w:adjustRightInd w:val="0"/>
        <w:snapToGrid w:val="0"/>
        <w:spacing w:line="360" w:lineRule="auto"/>
        <w:ind w:right="-34"/>
        <w:jc w:val="left"/>
        <w:rPr>
          <w:rFonts w:hint="eastAsia" w:ascii="宋体" w:hAnsi="宋体" w:eastAsia="宋体" w:cs="Times New Roman"/>
          <w:szCs w:val="21"/>
          <w:highlight w:val="none"/>
          <w:lang w:val="zh-CN"/>
        </w:rPr>
      </w:pPr>
      <w:r>
        <w:rPr>
          <w:rFonts w:hint="eastAsia" w:ascii="宋体" w:hAnsi="宋体" w:eastAsia="宋体" w:cs="Times New Roman"/>
          <w:szCs w:val="21"/>
          <w:highlight w:val="none"/>
          <w:lang w:val="en-US" w:eastAsia="zh-CN"/>
        </w:rPr>
        <w:t>招标</w:t>
      </w:r>
      <w:r>
        <w:rPr>
          <w:rFonts w:hint="eastAsia" w:ascii="宋体" w:hAnsi="宋体" w:eastAsia="宋体" w:cs="Times New Roman"/>
          <w:szCs w:val="21"/>
          <w:highlight w:val="none"/>
          <w:lang w:val="zh-CN"/>
        </w:rPr>
        <w:t>范围：</w:t>
      </w:r>
      <w:r>
        <w:rPr>
          <w:rFonts w:hint="eastAsia" w:ascii="宋体" w:hAnsi="宋体" w:eastAsia="宋体" w:cs="宋体"/>
          <w:kern w:val="2"/>
          <w:sz w:val="21"/>
          <w:szCs w:val="21"/>
          <w:highlight w:val="none"/>
          <w:lang w:val="en-US" w:eastAsia="zh-CN" w:bidi="ar-SA"/>
        </w:rPr>
        <w:t>东莞市众源环境投资有限公司半干化泥粉外运资源化处置服务供应商库2025年第二次扩增供应商项目服务范围包括：（1）将招标人减量化后的污水处理厂半干化泥粉运输至</w:t>
      </w:r>
      <w:r>
        <w:rPr>
          <w:rFonts w:hint="default" w:ascii="宋体" w:hAnsi="宋体" w:eastAsia="宋体" w:cs="宋体"/>
          <w:kern w:val="2"/>
          <w:sz w:val="21"/>
          <w:szCs w:val="21"/>
          <w:highlight w:val="none"/>
          <w:lang w:val="en-US" w:eastAsia="zh-CN" w:bidi="ar-SA"/>
        </w:rPr>
        <w:t>供应商</w:t>
      </w:r>
      <w:r>
        <w:rPr>
          <w:rFonts w:hint="eastAsia" w:ascii="宋体" w:hAnsi="宋体" w:eastAsia="宋体" w:cs="宋体"/>
          <w:kern w:val="2"/>
          <w:sz w:val="21"/>
          <w:szCs w:val="21"/>
          <w:highlight w:val="none"/>
          <w:lang w:val="en-US" w:eastAsia="zh-CN" w:bidi="ar-SA"/>
        </w:rPr>
        <w:t>处置场所依法进行资源化处置，</w:t>
      </w:r>
      <w:r>
        <w:rPr>
          <w:rFonts w:hint="eastAsia" w:ascii="宋体" w:hAnsi="宋体" w:eastAsia="宋体" w:cs="宋体"/>
          <w:color w:val="auto"/>
          <w:kern w:val="2"/>
          <w:sz w:val="21"/>
          <w:szCs w:val="21"/>
          <w:highlight w:val="none"/>
          <w:lang w:val="en-US" w:eastAsia="zh-CN" w:bidi="ar-SA"/>
        </w:rPr>
        <w:t>以下简称“污水处理厂半干化泥粉项目”；（2）</w:t>
      </w:r>
      <w:r>
        <w:rPr>
          <w:rFonts w:hint="eastAsia" w:ascii="宋体" w:hAnsi="宋体" w:eastAsia="宋体" w:cs="宋体"/>
          <w:kern w:val="2"/>
          <w:sz w:val="21"/>
          <w:szCs w:val="21"/>
          <w:highlight w:val="none"/>
          <w:lang w:val="en-US" w:eastAsia="zh-CN" w:bidi="ar-SA"/>
        </w:rPr>
        <w:t>招标人</w:t>
      </w:r>
      <w:r>
        <w:rPr>
          <w:rFonts w:hint="eastAsia" w:ascii="宋体" w:hAnsi="宋体" w:eastAsia="宋体" w:cs="宋体"/>
          <w:color w:val="auto"/>
          <w:kern w:val="2"/>
          <w:sz w:val="21"/>
          <w:szCs w:val="21"/>
          <w:highlight w:val="none"/>
          <w:lang w:val="en-US" w:eastAsia="zh-CN" w:bidi="ar-SA"/>
        </w:rPr>
        <w:t>根据建设、运营、承接项目、代管项目需要委托供应商库内供应商处理、处置招标人污水处理厂含水率约80%的湿泥、排水管渠污泥脱水减量化后的半干化泥粉、供水厂排泥水污泥脱水减量化后的半干化泥粉，以及其它污泥、淤泥或类似一般固</w:t>
      </w:r>
      <w:r>
        <w:rPr>
          <w:rFonts w:hint="eastAsia" w:ascii="宋体" w:hAnsi="宋体" w:eastAsia="宋体" w:cs="宋体"/>
          <w:kern w:val="2"/>
          <w:sz w:val="21"/>
          <w:szCs w:val="21"/>
          <w:highlight w:val="none"/>
          <w:lang w:val="en-US" w:eastAsia="zh-CN" w:bidi="ar-SA"/>
        </w:rPr>
        <w:t>体废物。</w:t>
      </w:r>
      <w:r>
        <w:rPr>
          <w:rFonts w:hint="eastAsia" w:ascii="宋体" w:hAnsi="宋体" w:eastAsia="宋体" w:cs="宋体"/>
          <w:color w:val="auto"/>
          <w:szCs w:val="21"/>
          <w:highlight w:val="none"/>
          <w:lang w:val="zh-CN"/>
        </w:rPr>
        <w:t>（具体内容详见：第三篇用户需求书）</w:t>
      </w:r>
    </w:p>
    <w:p w14:paraId="454F364D">
      <w:pPr>
        <w:autoSpaceDE w:val="0"/>
        <w:autoSpaceDN w:val="0"/>
        <w:adjustRightInd w:val="0"/>
        <w:spacing w:line="360" w:lineRule="auto"/>
        <w:ind w:right="-29" w:rightChars="-14" w:firstLine="420" w:firstLineChars="200"/>
        <w:rPr>
          <w:rFonts w:hint="eastAsia" w:ascii="宋体" w:hAnsi="宋体" w:eastAsia="宋体" w:cs="Times New Roman"/>
          <w:szCs w:val="21"/>
          <w:highlight w:val="none"/>
          <w:lang w:val="zh-CN"/>
        </w:rPr>
      </w:pPr>
    </w:p>
    <w:p w14:paraId="3A214DA9">
      <w:pPr>
        <w:numPr>
          <w:ilvl w:val="0"/>
          <w:numId w:val="2"/>
        </w:numPr>
        <w:autoSpaceDE w:val="0"/>
        <w:autoSpaceDN w:val="0"/>
        <w:adjustRightInd w:val="0"/>
        <w:snapToGrid w:val="0"/>
        <w:spacing w:line="360" w:lineRule="auto"/>
        <w:ind w:right="-34"/>
        <w:jc w:val="left"/>
        <w:rPr>
          <w:rFonts w:hint="eastAsia" w:ascii="宋体" w:hAnsi="宋体" w:eastAsia="宋体" w:cs="Times New Roman"/>
          <w:b/>
          <w:szCs w:val="21"/>
          <w:highlight w:val="none"/>
          <w:lang w:val="zh-CN"/>
        </w:rPr>
      </w:pPr>
      <w:r>
        <w:rPr>
          <w:rFonts w:ascii="宋体" w:hAnsi="宋体" w:eastAsia="宋体" w:cs="Times New Roman"/>
          <w:b/>
          <w:szCs w:val="21"/>
          <w:highlight w:val="none"/>
          <w:lang w:val="zh-CN"/>
        </w:rPr>
        <w:t>合格</w:t>
      </w:r>
      <w:r>
        <w:rPr>
          <w:rFonts w:hint="eastAsia" w:ascii="宋体" w:hAnsi="宋体" w:eastAsia="宋体" w:cs="Times New Roman"/>
          <w:b/>
          <w:szCs w:val="21"/>
          <w:highlight w:val="none"/>
          <w:lang w:val="en-US" w:eastAsia="zh-CN"/>
        </w:rPr>
        <w:t>投标人</w:t>
      </w:r>
      <w:r>
        <w:rPr>
          <w:rFonts w:hint="eastAsia" w:ascii="宋体" w:hAnsi="宋体" w:eastAsia="宋体" w:cs="Times New Roman"/>
          <w:b/>
          <w:szCs w:val="21"/>
          <w:highlight w:val="none"/>
          <w:lang w:val="zh-CN"/>
        </w:rPr>
        <w:t>资格要求</w:t>
      </w:r>
      <w:r>
        <w:rPr>
          <w:rFonts w:ascii="宋体" w:hAnsi="宋体" w:eastAsia="宋体" w:cs="Times New Roman"/>
          <w:b/>
          <w:szCs w:val="21"/>
          <w:highlight w:val="none"/>
          <w:lang w:val="zh-CN"/>
        </w:rPr>
        <w:t>：</w:t>
      </w:r>
    </w:p>
    <w:p w14:paraId="445CBC1A">
      <w:pPr>
        <w:pStyle w:val="180"/>
        <w:spacing w:line="360" w:lineRule="auto"/>
        <w:ind w:right="-29" w:rightChars="-14" w:firstLine="0" w:firstLineChars="0"/>
        <w:jc w:val="both"/>
        <w:rPr>
          <w:rFonts w:hint="eastAsia" w:hAnsi="宋体" w:eastAsia="宋体"/>
          <w:b/>
          <w:color w:val="auto"/>
          <w:sz w:val="21"/>
          <w:szCs w:val="21"/>
          <w:highlight w:val="none"/>
          <w:lang w:val="zh-CN"/>
        </w:rPr>
      </w:pPr>
      <w:r>
        <w:rPr>
          <w:rFonts w:hint="eastAsia" w:hAnsi="宋体" w:eastAsia="宋体"/>
          <w:b/>
          <w:sz w:val="21"/>
          <w:szCs w:val="21"/>
          <w:highlight w:val="none"/>
          <w:lang w:val="zh-CN"/>
        </w:rPr>
        <w:t>2</w:t>
      </w:r>
      <w:r>
        <w:rPr>
          <w:rFonts w:hAnsi="宋体" w:eastAsia="宋体"/>
          <w:b/>
          <w:sz w:val="21"/>
          <w:szCs w:val="21"/>
          <w:highlight w:val="none"/>
          <w:lang w:val="zh-CN"/>
        </w:rPr>
        <w:t>.1</w:t>
      </w:r>
      <w:r>
        <w:rPr>
          <w:rFonts w:hAnsi="宋体" w:eastAsia="宋体"/>
          <w:b/>
          <w:color w:val="auto"/>
          <w:sz w:val="21"/>
          <w:szCs w:val="21"/>
          <w:highlight w:val="none"/>
          <w:lang w:val="zh-CN"/>
        </w:rPr>
        <w:t xml:space="preserve"> </w:t>
      </w:r>
      <w:r>
        <w:rPr>
          <w:rFonts w:hint="eastAsia" w:hAnsi="宋体" w:eastAsia="宋体"/>
          <w:b/>
          <w:color w:val="auto"/>
          <w:sz w:val="21"/>
          <w:szCs w:val="21"/>
          <w:highlight w:val="none"/>
          <w:lang w:val="zh-CN"/>
        </w:rPr>
        <w:t>在中华人民共和国境内登记注册、合法存续、正常经营且具有独立承担民事责任能力的法人或其他组织</w:t>
      </w:r>
      <w:r>
        <w:rPr>
          <w:rFonts w:hAnsi="宋体" w:eastAsia="宋体"/>
          <w:b/>
          <w:color w:val="auto"/>
          <w:sz w:val="21"/>
          <w:szCs w:val="21"/>
          <w:highlight w:val="none"/>
          <w:lang w:val="zh-CN"/>
        </w:rPr>
        <w:t>；</w:t>
      </w:r>
    </w:p>
    <w:p w14:paraId="063F65B5">
      <w:pPr>
        <w:pStyle w:val="180"/>
        <w:spacing w:line="360" w:lineRule="auto"/>
        <w:ind w:left="422" w:leftChars="0" w:right="-29" w:rightChars="-14" w:hanging="422" w:hangingChars="200"/>
        <w:jc w:val="both"/>
        <w:rPr>
          <w:rFonts w:hint="eastAsia" w:hAnsi="宋体" w:eastAsia="宋体"/>
          <w:b/>
          <w:color w:val="auto"/>
          <w:sz w:val="21"/>
          <w:szCs w:val="21"/>
          <w:highlight w:val="none"/>
        </w:rPr>
      </w:pPr>
      <w:r>
        <w:rPr>
          <w:rFonts w:hint="eastAsia" w:hAnsi="宋体" w:eastAsia="宋体"/>
          <w:b/>
          <w:color w:val="auto"/>
          <w:sz w:val="21"/>
          <w:szCs w:val="21"/>
          <w:highlight w:val="none"/>
        </w:rPr>
        <w:t xml:space="preserve">2.2 </w:t>
      </w:r>
      <w:r>
        <w:rPr>
          <w:rFonts w:hint="eastAsia" w:hAnsi="宋体" w:eastAsia="宋体"/>
          <w:b/>
          <w:color w:val="auto"/>
          <w:sz w:val="21"/>
          <w:szCs w:val="21"/>
          <w:highlight w:val="none"/>
          <w:lang w:val="en-US" w:eastAsia="zh-CN"/>
        </w:rPr>
        <w:t>投标人的</w:t>
      </w:r>
      <w:r>
        <w:rPr>
          <w:rFonts w:hint="eastAsia" w:hAnsi="宋体" w:eastAsia="宋体"/>
          <w:b/>
          <w:color w:val="auto"/>
          <w:sz w:val="21"/>
          <w:szCs w:val="21"/>
          <w:highlight w:val="none"/>
        </w:rPr>
        <w:t>泥粉/污泥处置</w:t>
      </w:r>
      <w:r>
        <w:rPr>
          <w:rFonts w:hint="eastAsia" w:hAnsi="宋体" w:eastAsia="宋体"/>
          <w:b/>
          <w:color w:val="auto"/>
          <w:sz w:val="21"/>
          <w:szCs w:val="21"/>
          <w:highlight w:val="none"/>
          <w:lang w:val="en-US" w:eastAsia="zh-CN"/>
        </w:rPr>
        <w:t>场所</w:t>
      </w:r>
      <w:r>
        <w:rPr>
          <w:rFonts w:hint="eastAsia" w:hAnsi="宋体" w:eastAsia="宋体"/>
          <w:b/>
          <w:color w:val="auto"/>
          <w:sz w:val="21"/>
          <w:szCs w:val="21"/>
          <w:highlight w:val="none"/>
        </w:rPr>
        <w:t>已取得生态环境主管部门环境影响评价文件[</w:t>
      </w:r>
      <w:r>
        <w:rPr>
          <w:rFonts w:hint="eastAsia" w:hAnsi="宋体" w:eastAsia="宋体"/>
          <w:b/>
          <w:color w:val="auto"/>
          <w:sz w:val="21"/>
          <w:szCs w:val="21"/>
          <w:highlight w:val="none"/>
          <w:lang w:val="en-US" w:eastAsia="zh-CN"/>
        </w:rPr>
        <w:t>场所</w:t>
      </w:r>
      <w:r>
        <w:rPr>
          <w:rFonts w:hint="eastAsia" w:hAnsi="宋体" w:eastAsia="宋体"/>
          <w:b/>
          <w:color w:val="auto"/>
          <w:sz w:val="21"/>
          <w:szCs w:val="21"/>
          <w:highlight w:val="none"/>
        </w:rPr>
        <w:t>包含</w:t>
      </w:r>
      <w:r>
        <w:rPr>
          <w:rFonts w:hint="eastAsia" w:hAnsi="宋体" w:eastAsia="宋体"/>
          <w:b/>
          <w:color w:val="auto"/>
          <w:sz w:val="21"/>
          <w:szCs w:val="21"/>
          <w:highlight w:val="none"/>
          <w:lang w:val="en-US" w:eastAsia="zh-CN"/>
        </w:rPr>
        <w:t>市政（生活/城市/城镇污水处理厂、净水厂）</w:t>
      </w:r>
      <w:r>
        <w:rPr>
          <w:rFonts w:hint="eastAsia" w:hAnsi="宋体" w:eastAsia="宋体"/>
          <w:b/>
          <w:color w:val="auto"/>
          <w:sz w:val="21"/>
          <w:szCs w:val="21"/>
          <w:highlight w:val="none"/>
        </w:rPr>
        <w:t>泥粉/污泥处理或处置相关内容]的批复或该</w:t>
      </w:r>
      <w:r>
        <w:rPr>
          <w:rFonts w:hint="eastAsia" w:hAnsi="宋体" w:eastAsia="宋体"/>
          <w:b/>
          <w:color w:val="auto"/>
          <w:sz w:val="21"/>
          <w:szCs w:val="21"/>
          <w:highlight w:val="none"/>
          <w:lang w:val="en-US" w:eastAsia="zh-CN"/>
        </w:rPr>
        <w:t>场所</w:t>
      </w:r>
      <w:r>
        <w:rPr>
          <w:rFonts w:hint="eastAsia" w:hAnsi="宋体" w:eastAsia="宋体"/>
          <w:b/>
          <w:color w:val="auto"/>
          <w:sz w:val="21"/>
          <w:szCs w:val="21"/>
          <w:highlight w:val="none"/>
        </w:rPr>
        <w:t>已取得地级市（或以上）生态环境主管部门同意其处置泥粉/污泥的批复</w:t>
      </w:r>
      <w:r>
        <w:rPr>
          <w:rFonts w:hint="eastAsia"/>
          <w:highlight w:val="none"/>
          <w:lang w:eastAsia="zh-CN"/>
        </w:rPr>
        <w:t>，</w:t>
      </w:r>
      <w:r>
        <w:rPr>
          <w:rFonts w:hint="eastAsia" w:hAnsi="宋体" w:eastAsia="宋体"/>
          <w:b/>
          <w:color w:val="auto"/>
          <w:sz w:val="21"/>
          <w:szCs w:val="21"/>
          <w:highlight w:val="none"/>
        </w:rPr>
        <w:t>且前述泥粉/污泥处置</w:t>
      </w:r>
      <w:r>
        <w:rPr>
          <w:rFonts w:hint="eastAsia" w:hAnsi="宋体" w:eastAsia="宋体"/>
          <w:b/>
          <w:color w:val="auto"/>
          <w:sz w:val="21"/>
          <w:szCs w:val="21"/>
          <w:highlight w:val="none"/>
          <w:lang w:val="en-US" w:eastAsia="zh-CN"/>
        </w:rPr>
        <w:t>场所提供</w:t>
      </w:r>
      <w:r>
        <w:rPr>
          <w:rFonts w:hint="eastAsia" w:hAnsi="宋体" w:eastAsia="宋体"/>
          <w:b/>
          <w:color w:val="auto"/>
          <w:sz w:val="21"/>
          <w:szCs w:val="21"/>
          <w:highlight w:val="none"/>
        </w:rPr>
        <w:t>环境保护</w:t>
      </w:r>
      <w:r>
        <w:rPr>
          <w:rFonts w:hint="eastAsia" w:hAnsi="宋体" w:eastAsia="宋体"/>
          <w:b/>
          <w:color w:val="auto"/>
          <w:sz w:val="21"/>
          <w:szCs w:val="21"/>
          <w:highlight w:val="none"/>
          <w:lang w:eastAsia="zh-CN"/>
        </w:rPr>
        <w:t>（</w:t>
      </w:r>
      <w:r>
        <w:rPr>
          <w:rFonts w:hint="eastAsia" w:hAnsi="宋体" w:eastAsia="宋体"/>
          <w:b/>
          <w:color w:val="auto"/>
          <w:sz w:val="21"/>
          <w:szCs w:val="21"/>
          <w:highlight w:val="none"/>
          <w:lang w:val="en-US" w:eastAsia="zh-CN"/>
        </w:rPr>
        <w:t>设施</w:t>
      </w:r>
      <w:r>
        <w:rPr>
          <w:rFonts w:hint="eastAsia" w:hAnsi="宋体" w:eastAsia="宋体"/>
          <w:b/>
          <w:color w:val="auto"/>
          <w:sz w:val="21"/>
          <w:szCs w:val="21"/>
          <w:highlight w:val="none"/>
          <w:lang w:eastAsia="zh-CN"/>
        </w:rPr>
        <w:t>）</w:t>
      </w:r>
      <w:r>
        <w:rPr>
          <w:rFonts w:hint="eastAsia" w:hAnsi="宋体" w:eastAsia="宋体"/>
          <w:b/>
          <w:color w:val="auto"/>
          <w:sz w:val="21"/>
          <w:szCs w:val="21"/>
          <w:highlight w:val="none"/>
        </w:rPr>
        <w:t>验收</w:t>
      </w:r>
      <w:r>
        <w:rPr>
          <w:rFonts w:hint="default" w:hAnsi="宋体" w:eastAsia="宋体"/>
          <w:b/>
          <w:color w:val="auto"/>
          <w:sz w:val="21"/>
          <w:szCs w:val="21"/>
          <w:highlight w:val="none"/>
          <w:lang w:val="en-US"/>
        </w:rPr>
        <w:t>合格</w:t>
      </w:r>
      <w:r>
        <w:rPr>
          <w:rFonts w:hint="eastAsia" w:hAnsi="宋体" w:eastAsia="宋体"/>
          <w:b/>
          <w:color w:val="auto"/>
          <w:sz w:val="21"/>
          <w:szCs w:val="21"/>
          <w:highlight w:val="none"/>
          <w:lang w:val="en-US" w:eastAsia="zh-CN"/>
        </w:rPr>
        <w:t>证明材料</w:t>
      </w:r>
      <w:r>
        <w:rPr>
          <w:rFonts w:hint="eastAsia" w:hAnsi="宋体" w:eastAsia="宋体"/>
          <w:b/>
          <w:color w:val="auto"/>
          <w:sz w:val="21"/>
          <w:szCs w:val="21"/>
          <w:highlight w:val="none"/>
        </w:rPr>
        <w:t>或已取得生态环境主管部门的环保验收批复；</w:t>
      </w:r>
    </w:p>
    <w:p w14:paraId="4078FEAD">
      <w:pPr>
        <w:pStyle w:val="180"/>
        <w:spacing w:line="360" w:lineRule="auto"/>
        <w:ind w:left="422" w:right="-29" w:rightChars="-14" w:hanging="422" w:hangingChars="200"/>
        <w:jc w:val="both"/>
        <w:rPr>
          <w:rFonts w:hint="eastAsia" w:hAnsi="宋体" w:eastAsia="宋体"/>
          <w:b/>
          <w:color w:val="auto"/>
          <w:sz w:val="21"/>
          <w:szCs w:val="21"/>
          <w:highlight w:val="none"/>
        </w:rPr>
      </w:pPr>
      <w:r>
        <w:rPr>
          <w:rFonts w:hint="eastAsia" w:hAnsi="宋体" w:eastAsia="宋体"/>
          <w:b/>
          <w:color w:val="auto"/>
          <w:sz w:val="21"/>
          <w:szCs w:val="21"/>
          <w:highlight w:val="none"/>
        </w:rPr>
        <w:t xml:space="preserve">2.3 </w:t>
      </w:r>
      <w:r>
        <w:rPr>
          <w:rFonts w:hint="eastAsia" w:hAnsi="宋体" w:eastAsia="宋体"/>
          <w:b/>
          <w:color w:val="auto"/>
          <w:sz w:val="21"/>
          <w:szCs w:val="21"/>
          <w:highlight w:val="none"/>
          <w:lang w:eastAsia="zh-CN"/>
        </w:rPr>
        <w:t>投标人</w:t>
      </w:r>
      <w:r>
        <w:rPr>
          <w:rFonts w:hint="eastAsia" w:hAnsi="宋体" w:eastAsia="宋体"/>
          <w:b/>
          <w:color w:val="auto"/>
          <w:sz w:val="21"/>
          <w:szCs w:val="21"/>
          <w:highlight w:val="none"/>
        </w:rPr>
        <w:t>泥粉/污泥处置</w:t>
      </w:r>
      <w:r>
        <w:rPr>
          <w:rFonts w:hint="eastAsia" w:hAnsi="宋体" w:eastAsia="宋体"/>
          <w:b/>
          <w:color w:val="auto"/>
          <w:sz w:val="21"/>
          <w:szCs w:val="21"/>
          <w:highlight w:val="none"/>
          <w:lang w:val="en-US" w:eastAsia="zh-CN"/>
        </w:rPr>
        <w:t>场所</w:t>
      </w:r>
      <w:r>
        <w:rPr>
          <w:rFonts w:hint="eastAsia" w:hAnsi="宋体" w:eastAsia="宋体"/>
          <w:b/>
          <w:color w:val="auto"/>
          <w:sz w:val="21"/>
          <w:szCs w:val="21"/>
          <w:highlight w:val="none"/>
        </w:rPr>
        <w:t>生产的产品属于主管部门规定需取得生产许可资质要求的，已取得所属行业主管部门的生产许可资质证明</w:t>
      </w:r>
      <w:r>
        <w:rPr>
          <w:rFonts w:hint="eastAsia" w:hAnsi="宋体" w:eastAsia="宋体"/>
          <w:b/>
          <w:color w:val="auto"/>
          <w:sz w:val="21"/>
          <w:szCs w:val="21"/>
          <w:highlight w:val="none"/>
          <w:lang w:eastAsia="zh-CN"/>
        </w:rPr>
        <w:t>，</w:t>
      </w:r>
      <w:r>
        <w:rPr>
          <w:rFonts w:hint="eastAsia" w:ascii="宋体" w:hAnsi="宋体" w:eastAsia="宋体"/>
          <w:b/>
          <w:color w:val="auto"/>
          <w:sz w:val="21"/>
          <w:szCs w:val="21"/>
          <w:highlight w:val="none"/>
          <w:lang w:val="en-US" w:eastAsia="zh-CN"/>
        </w:rPr>
        <w:t>或</w:t>
      </w:r>
      <w:r>
        <w:rPr>
          <w:rFonts w:hint="eastAsia" w:hAnsi="宋体" w:eastAsia="宋体"/>
          <w:b/>
          <w:color w:val="auto"/>
          <w:sz w:val="21"/>
          <w:szCs w:val="21"/>
          <w:highlight w:val="none"/>
          <w:lang w:val="en-US" w:eastAsia="zh-CN"/>
        </w:rPr>
        <w:t>投标人</w:t>
      </w:r>
      <w:r>
        <w:rPr>
          <w:rFonts w:hint="eastAsia" w:ascii="宋体" w:hAnsi="宋体" w:eastAsia="宋体"/>
          <w:b/>
          <w:color w:val="auto"/>
          <w:sz w:val="21"/>
          <w:szCs w:val="21"/>
          <w:highlight w:val="none"/>
          <w:lang w:val="en-US" w:eastAsia="zh-CN"/>
        </w:rPr>
        <w:t>泥粉/污泥处置场所生产的产品不属于主管部门规定需取得生产许可资质要求的，提供“关于泥粉/污泥处置场所</w:t>
      </w:r>
      <w:r>
        <w:rPr>
          <w:rFonts w:hint="eastAsia" w:ascii="宋体" w:hAnsi="宋体" w:eastAsia="宋体" w:cstheme="minorBidi"/>
          <w:b/>
          <w:bCs w:val="0"/>
          <w:color w:val="auto"/>
          <w:sz w:val="21"/>
          <w:szCs w:val="21"/>
          <w:highlight w:val="none"/>
          <w:lang w:eastAsia="zh-CN"/>
        </w:rPr>
        <w:t>生产的产品</w:t>
      </w:r>
      <w:r>
        <w:rPr>
          <w:rFonts w:hint="eastAsia" w:ascii="宋体" w:hAnsi="宋体" w:eastAsia="宋体"/>
          <w:b/>
          <w:color w:val="auto"/>
          <w:sz w:val="21"/>
          <w:szCs w:val="21"/>
          <w:highlight w:val="none"/>
          <w:lang w:val="en-US" w:eastAsia="zh-CN"/>
        </w:rPr>
        <w:t>无需生产许可资质的承诺函”</w:t>
      </w:r>
      <w:r>
        <w:rPr>
          <w:rFonts w:hint="eastAsia" w:hAnsi="宋体" w:eastAsia="宋体"/>
          <w:b/>
          <w:color w:val="auto"/>
          <w:sz w:val="21"/>
          <w:szCs w:val="21"/>
          <w:highlight w:val="none"/>
        </w:rPr>
        <w:t>；</w:t>
      </w:r>
    </w:p>
    <w:p w14:paraId="1CEF7E09">
      <w:pPr>
        <w:pStyle w:val="180"/>
        <w:spacing w:line="360" w:lineRule="auto"/>
        <w:ind w:right="-29" w:rightChars="-14" w:firstLine="0" w:firstLineChars="0"/>
        <w:jc w:val="both"/>
        <w:rPr>
          <w:rFonts w:hint="eastAsia" w:hAnsi="宋体" w:eastAsia="宋体"/>
          <w:b/>
          <w:color w:val="auto"/>
          <w:sz w:val="21"/>
          <w:szCs w:val="21"/>
          <w:highlight w:val="none"/>
          <w:lang w:val="zh-CN"/>
        </w:rPr>
      </w:pPr>
      <w:r>
        <w:rPr>
          <w:rFonts w:hint="eastAsia" w:hAnsi="宋体" w:eastAsia="宋体"/>
          <w:b/>
          <w:color w:val="auto"/>
          <w:sz w:val="21"/>
          <w:szCs w:val="21"/>
          <w:highlight w:val="none"/>
        </w:rPr>
        <w:t>2.</w:t>
      </w:r>
      <w:r>
        <w:rPr>
          <w:rFonts w:hint="eastAsia" w:hAnsi="宋体" w:eastAsia="宋体"/>
          <w:b/>
          <w:color w:val="auto"/>
          <w:sz w:val="21"/>
          <w:szCs w:val="21"/>
          <w:highlight w:val="none"/>
          <w:lang w:val="en-US" w:eastAsia="zh-CN"/>
        </w:rPr>
        <w:t>4</w:t>
      </w:r>
      <w:r>
        <w:rPr>
          <w:rFonts w:hint="eastAsia" w:hAnsi="宋体" w:eastAsia="宋体"/>
          <w:b/>
          <w:color w:val="auto"/>
          <w:sz w:val="21"/>
          <w:szCs w:val="21"/>
          <w:highlight w:val="none"/>
        </w:rPr>
        <w:t xml:space="preserve"> </w:t>
      </w:r>
      <w:r>
        <w:rPr>
          <w:rFonts w:hint="eastAsia" w:hAnsi="宋体" w:eastAsia="宋体"/>
          <w:b/>
          <w:color w:val="auto"/>
          <w:sz w:val="21"/>
          <w:szCs w:val="21"/>
          <w:highlight w:val="none"/>
          <w:lang w:val="zh-CN"/>
        </w:rPr>
        <w:t>本项目不接受联合体</w:t>
      </w:r>
      <w:r>
        <w:rPr>
          <w:rFonts w:hint="eastAsia" w:hAnsi="宋体" w:eastAsia="宋体"/>
          <w:b/>
          <w:color w:val="auto"/>
          <w:sz w:val="21"/>
          <w:szCs w:val="21"/>
          <w:highlight w:val="none"/>
          <w:lang w:val="en-US" w:eastAsia="zh-CN"/>
        </w:rPr>
        <w:t>投标</w:t>
      </w:r>
      <w:r>
        <w:rPr>
          <w:rFonts w:hint="eastAsia" w:hAnsi="宋体" w:eastAsia="宋体"/>
          <w:b/>
          <w:color w:val="auto"/>
          <w:sz w:val="21"/>
          <w:szCs w:val="21"/>
          <w:highlight w:val="none"/>
          <w:lang w:val="zh-CN"/>
        </w:rPr>
        <w:t>。</w:t>
      </w:r>
    </w:p>
    <w:p w14:paraId="7DDA6609">
      <w:pPr>
        <w:pStyle w:val="180"/>
        <w:spacing w:line="360" w:lineRule="auto"/>
        <w:ind w:right="-29" w:rightChars="-14" w:firstLine="0" w:firstLineChars="0"/>
        <w:jc w:val="both"/>
        <w:rPr>
          <w:rFonts w:hAnsi="宋体" w:eastAsia="宋体"/>
          <w:b/>
          <w:sz w:val="21"/>
          <w:szCs w:val="21"/>
          <w:highlight w:val="none"/>
          <w:lang w:val="zh-CN"/>
        </w:rPr>
      </w:pPr>
      <w:r>
        <w:rPr>
          <w:rFonts w:hint="eastAsia" w:hAnsi="宋体" w:eastAsia="宋体"/>
          <w:b/>
          <w:sz w:val="21"/>
          <w:szCs w:val="21"/>
          <w:highlight w:val="none"/>
        </w:rPr>
        <w:t>2</w:t>
      </w:r>
      <w:r>
        <w:rPr>
          <w:rFonts w:hint="eastAsia" w:hAnsi="宋体" w:eastAsia="宋体"/>
          <w:b/>
          <w:sz w:val="21"/>
          <w:szCs w:val="21"/>
          <w:highlight w:val="none"/>
          <w:lang w:val="zh-CN"/>
        </w:rPr>
        <w:t>.</w:t>
      </w:r>
      <w:r>
        <w:rPr>
          <w:rFonts w:hint="eastAsia" w:hAnsi="宋体" w:eastAsia="宋体"/>
          <w:b/>
          <w:sz w:val="21"/>
          <w:szCs w:val="21"/>
          <w:highlight w:val="none"/>
          <w:lang w:val="en-US" w:eastAsia="zh-CN"/>
        </w:rPr>
        <w:t>5</w:t>
      </w:r>
      <w:r>
        <w:rPr>
          <w:rFonts w:hint="eastAsia" w:hAnsi="宋体" w:eastAsia="宋体"/>
          <w:b/>
          <w:sz w:val="21"/>
          <w:szCs w:val="21"/>
          <w:highlight w:val="none"/>
        </w:rPr>
        <w:t xml:space="preserve"> </w:t>
      </w:r>
      <w:r>
        <w:rPr>
          <w:rFonts w:hint="eastAsia" w:hAnsi="宋体" w:eastAsia="宋体"/>
          <w:b/>
          <w:sz w:val="21"/>
          <w:szCs w:val="21"/>
          <w:highlight w:val="none"/>
          <w:lang w:val="zh-CN"/>
        </w:rPr>
        <w:t>其他要求：</w:t>
      </w:r>
    </w:p>
    <w:p w14:paraId="6A9FE9D1">
      <w:pPr>
        <w:pStyle w:val="180"/>
        <w:autoSpaceDE/>
        <w:autoSpaceDN/>
        <w:spacing w:line="360" w:lineRule="auto"/>
        <w:ind w:left="-1" w:right="-29" w:rightChars="-14" w:firstLine="422"/>
        <w:jc w:val="both"/>
        <w:rPr>
          <w:rFonts w:hint="eastAsia" w:hAnsi="宋体" w:eastAsia="宋体"/>
          <w:b/>
          <w:sz w:val="21"/>
          <w:szCs w:val="21"/>
          <w:highlight w:val="none"/>
          <w:u w:val="none"/>
          <w:lang w:val="zh-CN"/>
        </w:rPr>
      </w:pPr>
      <w:r>
        <w:rPr>
          <w:rFonts w:hint="eastAsia" w:hAnsi="宋体" w:eastAsia="宋体"/>
          <w:b/>
          <w:sz w:val="21"/>
          <w:szCs w:val="21"/>
          <w:highlight w:val="none"/>
          <w:u w:val="none"/>
          <w:lang w:val="zh-CN"/>
        </w:rPr>
        <w:t>（1）</w:t>
      </w:r>
      <w:r>
        <w:rPr>
          <w:rFonts w:hint="eastAsia" w:hAnsi="宋体" w:eastAsia="宋体"/>
          <w:b/>
          <w:sz w:val="21"/>
          <w:szCs w:val="21"/>
          <w:highlight w:val="none"/>
          <w:u w:val="none"/>
          <w:lang w:val="en-US" w:eastAsia="zh-CN"/>
        </w:rPr>
        <w:t>投标人</w:t>
      </w:r>
      <w:r>
        <w:rPr>
          <w:rFonts w:hint="eastAsia" w:hAnsi="宋体" w:eastAsia="宋体"/>
          <w:b/>
          <w:sz w:val="21"/>
          <w:szCs w:val="21"/>
          <w:highlight w:val="none"/>
          <w:u w:val="none"/>
          <w:lang w:val="zh-CN"/>
        </w:rPr>
        <w:t>应在东莞市公共资源交易企业库建档；</w:t>
      </w:r>
    </w:p>
    <w:p w14:paraId="26E1AAA3">
      <w:pPr>
        <w:pStyle w:val="180"/>
        <w:autoSpaceDE/>
        <w:autoSpaceDN/>
        <w:spacing w:line="360" w:lineRule="auto"/>
        <w:ind w:left="420" w:leftChars="200" w:firstLine="0" w:firstLineChars="0"/>
        <w:jc w:val="both"/>
        <w:rPr>
          <w:rFonts w:hint="eastAsia" w:hAnsi="宋体" w:eastAsia="宋体"/>
          <w:b/>
          <w:sz w:val="21"/>
          <w:szCs w:val="21"/>
          <w:highlight w:val="none"/>
          <w:u w:val="none"/>
          <w:lang w:val="zh-CN"/>
        </w:rPr>
      </w:pPr>
      <w:r>
        <w:rPr>
          <w:rFonts w:hint="eastAsia" w:hAnsi="宋体" w:eastAsia="宋体"/>
          <w:b/>
          <w:sz w:val="21"/>
          <w:szCs w:val="21"/>
          <w:highlight w:val="none"/>
          <w:u w:val="none"/>
          <w:lang w:val="zh-CN"/>
        </w:rPr>
        <w:t>（2）在</w:t>
      </w:r>
      <w:r>
        <w:rPr>
          <w:rFonts w:hint="eastAsia" w:hAnsi="宋体" w:eastAsia="宋体"/>
          <w:b/>
          <w:sz w:val="21"/>
          <w:szCs w:val="21"/>
          <w:highlight w:val="none"/>
          <w:u w:val="none"/>
          <w:lang w:val="en-US" w:eastAsia="zh-CN"/>
        </w:rPr>
        <w:t>招标</w:t>
      </w:r>
      <w:r>
        <w:rPr>
          <w:rFonts w:hint="eastAsia" w:hAnsi="宋体" w:eastAsia="宋体"/>
          <w:b/>
          <w:sz w:val="21"/>
          <w:szCs w:val="21"/>
          <w:highlight w:val="none"/>
          <w:u w:val="none"/>
          <w:lang w:val="zh-CN"/>
        </w:rPr>
        <w:t>文件规定的东莞市公共资源交易E网通管理平台建设工程交易系统（以下简称交易系统）信息数据采集时间前，</w:t>
      </w:r>
      <w:r>
        <w:rPr>
          <w:rFonts w:hint="eastAsia" w:hAnsi="宋体" w:eastAsia="宋体"/>
          <w:b/>
          <w:sz w:val="21"/>
          <w:szCs w:val="21"/>
          <w:highlight w:val="none"/>
          <w:u w:val="none"/>
          <w:lang w:val="en-US" w:eastAsia="zh-CN"/>
        </w:rPr>
        <w:t>投标人</w:t>
      </w:r>
      <w:r>
        <w:rPr>
          <w:rFonts w:hint="eastAsia" w:hAnsi="宋体" w:eastAsia="宋体"/>
          <w:b/>
          <w:sz w:val="21"/>
          <w:szCs w:val="21"/>
          <w:highlight w:val="none"/>
          <w:u w:val="none"/>
          <w:lang w:val="zh-CN"/>
        </w:rPr>
        <w:t>已在东莞市公共资源交易企业库建档，且法人、法定代表人名称或企业、人员资质证书等与本次</w:t>
      </w:r>
      <w:r>
        <w:rPr>
          <w:rFonts w:hint="eastAsia" w:hAnsi="宋体" w:eastAsia="宋体"/>
          <w:b/>
          <w:sz w:val="21"/>
          <w:szCs w:val="21"/>
          <w:highlight w:val="none"/>
          <w:u w:val="none"/>
          <w:lang w:val="en-US" w:eastAsia="zh-CN"/>
        </w:rPr>
        <w:t>招标</w:t>
      </w:r>
      <w:r>
        <w:rPr>
          <w:rFonts w:hint="eastAsia" w:hAnsi="宋体" w:eastAsia="宋体"/>
          <w:b/>
          <w:sz w:val="21"/>
          <w:szCs w:val="21"/>
          <w:highlight w:val="none"/>
          <w:u w:val="none"/>
          <w:lang w:val="zh-CN"/>
        </w:rPr>
        <w:t>项目密切相关的信息发生变更时已办结该变更的登记手续，</w:t>
      </w:r>
      <w:r>
        <w:rPr>
          <w:rFonts w:hint="eastAsia" w:hAnsi="宋体" w:eastAsia="宋体"/>
          <w:b/>
          <w:sz w:val="21"/>
          <w:szCs w:val="21"/>
          <w:highlight w:val="none"/>
          <w:u w:val="none"/>
          <w:lang w:val="en-US" w:eastAsia="zh-CN"/>
        </w:rPr>
        <w:t>投标人</w:t>
      </w:r>
      <w:r>
        <w:rPr>
          <w:rFonts w:hint="eastAsia" w:hAnsi="宋体" w:eastAsia="宋体"/>
          <w:b/>
          <w:sz w:val="21"/>
          <w:szCs w:val="21"/>
          <w:highlight w:val="none"/>
          <w:u w:val="none"/>
          <w:lang w:val="zh-CN"/>
        </w:rPr>
        <w:t>应登录交易系统核实企业填报数据真实有效。</w:t>
      </w:r>
    </w:p>
    <w:p w14:paraId="5D59C738">
      <w:pPr>
        <w:pStyle w:val="180"/>
        <w:autoSpaceDE/>
        <w:autoSpaceDN/>
        <w:spacing w:line="360" w:lineRule="auto"/>
        <w:ind w:left="420" w:leftChars="200" w:firstLine="0" w:firstLineChars="0"/>
        <w:jc w:val="both"/>
        <w:rPr>
          <w:rFonts w:hint="eastAsia" w:hAnsi="宋体" w:eastAsia="宋体"/>
          <w:b/>
          <w:sz w:val="21"/>
          <w:szCs w:val="21"/>
          <w:highlight w:val="none"/>
          <w:u w:val="none"/>
          <w:lang w:val="zh-CN"/>
        </w:rPr>
      </w:pPr>
    </w:p>
    <w:p w14:paraId="50419B38">
      <w:pPr>
        <w:numPr>
          <w:ilvl w:val="0"/>
          <w:numId w:val="2"/>
        </w:numPr>
        <w:autoSpaceDE w:val="0"/>
        <w:autoSpaceDN w:val="0"/>
        <w:adjustRightInd w:val="0"/>
        <w:snapToGrid w:val="0"/>
        <w:spacing w:line="360" w:lineRule="auto"/>
        <w:ind w:right="-34"/>
        <w:jc w:val="left"/>
        <w:rPr>
          <w:rFonts w:hint="eastAsia" w:ascii="宋体" w:hAnsi="宋体" w:eastAsia="宋体" w:cs="Times New Roman"/>
          <w:szCs w:val="21"/>
          <w:highlight w:val="none"/>
          <w:lang w:val="zh-CN"/>
        </w:rPr>
      </w:pPr>
      <w:r>
        <w:rPr>
          <w:rFonts w:ascii="宋体" w:hAnsi="宋体" w:eastAsia="宋体" w:cs="Times New Roman"/>
          <w:szCs w:val="21"/>
          <w:highlight w:val="none"/>
          <w:lang w:val="zh-CN"/>
        </w:rPr>
        <w:t>获取</w:t>
      </w:r>
      <w:r>
        <w:rPr>
          <w:rFonts w:hint="eastAsia" w:ascii="宋体" w:hAnsi="宋体" w:eastAsia="宋体" w:cs="Times New Roman"/>
          <w:szCs w:val="21"/>
          <w:highlight w:val="none"/>
          <w:lang w:val="en-US" w:eastAsia="zh-CN"/>
        </w:rPr>
        <w:t>招标</w:t>
      </w:r>
      <w:r>
        <w:rPr>
          <w:rFonts w:ascii="宋体" w:hAnsi="宋体" w:eastAsia="宋体" w:cs="Times New Roman"/>
          <w:szCs w:val="21"/>
          <w:highlight w:val="none"/>
          <w:lang w:val="zh-CN"/>
        </w:rPr>
        <w:t>文件的方式：</w:t>
      </w:r>
      <w:r>
        <w:rPr>
          <w:rFonts w:hint="eastAsia" w:ascii="宋体" w:hAnsi="宋体" w:eastAsia="宋体" w:cs="Times New Roman"/>
          <w:szCs w:val="21"/>
          <w:highlight w:val="none"/>
          <w:lang w:val="zh-CN"/>
        </w:rPr>
        <w:t>凡有意参加</w:t>
      </w:r>
      <w:r>
        <w:rPr>
          <w:rFonts w:hint="eastAsia" w:ascii="宋体" w:hAnsi="宋体" w:eastAsia="宋体" w:cs="Times New Roman"/>
          <w:szCs w:val="21"/>
          <w:highlight w:val="none"/>
          <w:lang w:val="en-US" w:eastAsia="zh-CN"/>
        </w:rPr>
        <w:t>投标</w:t>
      </w:r>
      <w:r>
        <w:rPr>
          <w:rFonts w:hint="eastAsia" w:ascii="宋体" w:hAnsi="宋体" w:eastAsia="宋体" w:cs="Times New Roman"/>
          <w:szCs w:val="21"/>
          <w:highlight w:val="none"/>
          <w:lang w:val="zh-CN"/>
        </w:rPr>
        <w:t>者，可于</w:t>
      </w:r>
      <w:r>
        <w:rPr>
          <w:rFonts w:hint="eastAsia" w:ascii="宋体" w:hAnsi="宋体" w:eastAsia="宋体" w:cs="Times New Roman"/>
          <w:szCs w:val="21"/>
          <w:highlight w:val="none"/>
          <w:u w:val="single"/>
          <w:lang w:val="en-US" w:eastAsia="zh-CN"/>
        </w:rPr>
        <w:t>2025</w:t>
      </w:r>
      <w:r>
        <w:rPr>
          <w:rFonts w:hint="eastAsia" w:ascii="宋体" w:hAnsi="宋体" w:eastAsia="宋体" w:cs="Times New Roman"/>
          <w:szCs w:val="21"/>
          <w:highlight w:val="none"/>
          <w:lang w:val="zh-CN"/>
        </w:rPr>
        <w:t>年</w:t>
      </w:r>
      <w:r>
        <w:rPr>
          <w:rFonts w:hint="eastAsia" w:ascii="宋体" w:hAnsi="宋体" w:eastAsia="宋体" w:cs="Times New Roman"/>
          <w:szCs w:val="21"/>
          <w:highlight w:val="none"/>
          <w:u w:val="single"/>
          <w:lang w:val="en-US" w:eastAsia="zh-CN"/>
        </w:rPr>
        <w:t xml:space="preserve"> 12 </w:t>
      </w:r>
      <w:r>
        <w:rPr>
          <w:rFonts w:hint="eastAsia" w:ascii="宋体" w:hAnsi="宋体" w:eastAsia="宋体" w:cs="Times New Roman"/>
          <w:szCs w:val="21"/>
          <w:highlight w:val="none"/>
          <w:lang w:val="zh-CN"/>
        </w:rPr>
        <w:t>月</w:t>
      </w:r>
      <w:r>
        <w:rPr>
          <w:rFonts w:hint="eastAsia" w:ascii="宋体" w:hAnsi="宋体" w:eastAsia="宋体" w:cs="Times New Roman"/>
          <w:szCs w:val="21"/>
          <w:highlight w:val="none"/>
          <w:u w:val="single"/>
          <w:lang w:val="en-US" w:eastAsia="zh-CN"/>
        </w:rPr>
        <w:t xml:space="preserve"> 04 </w:t>
      </w:r>
      <w:r>
        <w:rPr>
          <w:rFonts w:hint="eastAsia" w:ascii="宋体" w:hAnsi="宋体" w:eastAsia="宋体" w:cs="Times New Roman"/>
          <w:szCs w:val="21"/>
          <w:highlight w:val="none"/>
          <w:lang w:val="zh-CN"/>
        </w:rPr>
        <w:t>日至</w:t>
      </w:r>
      <w:r>
        <w:rPr>
          <w:rFonts w:hint="eastAsia" w:ascii="宋体" w:hAnsi="宋体" w:eastAsia="宋体" w:cs="Times New Roman"/>
          <w:szCs w:val="21"/>
          <w:highlight w:val="none"/>
          <w:lang w:val="en-US" w:eastAsia="zh-CN"/>
        </w:rPr>
        <w:t>投标</w:t>
      </w:r>
      <w:r>
        <w:rPr>
          <w:rFonts w:hint="eastAsia" w:ascii="宋体" w:hAnsi="宋体" w:eastAsia="宋体" w:cs="Times New Roman"/>
          <w:szCs w:val="21"/>
          <w:highlight w:val="none"/>
          <w:lang w:val="zh-CN"/>
        </w:rPr>
        <w:t>截止时间前登录交易系统下载本次</w:t>
      </w:r>
      <w:r>
        <w:rPr>
          <w:rFonts w:hint="eastAsia" w:ascii="宋体" w:hAnsi="宋体" w:eastAsia="宋体" w:cs="Times New Roman"/>
          <w:szCs w:val="21"/>
          <w:highlight w:val="none"/>
          <w:lang w:val="en-US" w:eastAsia="zh-CN"/>
        </w:rPr>
        <w:t>招标</w:t>
      </w:r>
      <w:r>
        <w:rPr>
          <w:rFonts w:hint="eastAsia" w:ascii="宋体" w:hAnsi="宋体" w:eastAsia="宋体" w:cs="Times New Roman"/>
          <w:szCs w:val="21"/>
          <w:highlight w:val="none"/>
          <w:lang w:val="zh-CN"/>
        </w:rPr>
        <w:t>项目的</w:t>
      </w:r>
      <w:r>
        <w:rPr>
          <w:rFonts w:hint="eastAsia" w:ascii="宋体" w:hAnsi="宋体" w:eastAsia="宋体" w:cs="Times New Roman"/>
          <w:szCs w:val="21"/>
          <w:highlight w:val="none"/>
          <w:lang w:val="zh-CN" w:eastAsia="zh-CN"/>
        </w:rPr>
        <w:t>招标</w:t>
      </w:r>
      <w:r>
        <w:rPr>
          <w:rFonts w:hint="eastAsia" w:ascii="宋体" w:hAnsi="宋体" w:eastAsia="宋体" w:cs="Times New Roman"/>
          <w:szCs w:val="21"/>
          <w:highlight w:val="none"/>
          <w:lang w:val="zh-CN"/>
        </w:rPr>
        <w:t>文件等资料。</w:t>
      </w:r>
    </w:p>
    <w:p w14:paraId="3E83D126">
      <w:pPr>
        <w:pStyle w:val="24"/>
        <w:rPr>
          <w:rFonts w:hint="eastAsia"/>
          <w:highlight w:val="none"/>
          <w:lang w:val="zh-CN"/>
        </w:rPr>
      </w:pPr>
    </w:p>
    <w:p w14:paraId="2235B12A">
      <w:pPr>
        <w:numPr>
          <w:ilvl w:val="0"/>
          <w:numId w:val="2"/>
        </w:numPr>
        <w:autoSpaceDE w:val="0"/>
        <w:autoSpaceDN w:val="0"/>
        <w:adjustRightInd w:val="0"/>
        <w:snapToGrid w:val="0"/>
        <w:spacing w:line="360" w:lineRule="auto"/>
        <w:ind w:right="-34"/>
        <w:jc w:val="left"/>
        <w:rPr>
          <w:rFonts w:hint="eastAsia" w:ascii="宋体" w:hAnsi="宋体" w:eastAsia="宋体" w:cs="Times New Roman"/>
          <w:szCs w:val="21"/>
          <w:highlight w:val="none"/>
          <w:lang w:val="zh-CN"/>
        </w:rPr>
      </w:pPr>
      <w:r>
        <w:rPr>
          <w:rFonts w:hint="eastAsia" w:ascii="宋体" w:hAnsi="宋体" w:eastAsia="宋体" w:cs="Times New Roman"/>
          <w:szCs w:val="21"/>
          <w:highlight w:val="none"/>
          <w:lang w:val="en-US" w:eastAsia="zh-CN"/>
        </w:rPr>
        <w:t>招标</w:t>
      </w:r>
      <w:r>
        <w:rPr>
          <w:rFonts w:ascii="宋体" w:hAnsi="宋体" w:eastAsia="宋体" w:cs="Times New Roman"/>
          <w:szCs w:val="21"/>
          <w:highlight w:val="none"/>
          <w:lang w:val="zh-CN"/>
        </w:rPr>
        <w:t>代理机构</w:t>
      </w:r>
      <w:r>
        <w:rPr>
          <w:rFonts w:hint="eastAsia" w:ascii="宋体" w:hAnsi="宋体" w:eastAsia="宋体" w:cs="Times New Roman"/>
          <w:szCs w:val="21"/>
          <w:highlight w:val="none"/>
          <w:lang w:val="zh-CN"/>
        </w:rPr>
        <w:t>在递交</w:t>
      </w:r>
      <w:r>
        <w:rPr>
          <w:rFonts w:hint="eastAsia" w:ascii="宋体" w:hAnsi="宋体" w:eastAsia="宋体" w:cs="Times New Roman"/>
          <w:szCs w:val="21"/>
          <w:highlight w:val="none"/>
          <w:lang w:val="en-US" w:eastAsia="zh-CN"/>
        </w:rPr>
        <w:t>投标文件</w:t>
      </w:r>
      <w:r>
        <w:rPr>
          <w:rFonts w:hint="eastAsia" w:ascii="宋体" w:hAnsi="宋体" w:eastAsia="宋体" w:cs="Times New Roman"/>
          <w:szCs w:val="21"/>
          <w:highlight w:val="none"/>
          <w:lang w:val="zh-CN"/>
        </w:rPr>
        <w:t>截止时间当天通过“信用中国”网站（www.creditchina.gov.cn）查询</w:t>
      </w:r>
      <w:r>
        <w:rPr>
          <w:rFonts w:hint="eastAsia" w:ascii="宋体" w:hAnsi="宋体" w:eastAsia="宋体" w:cs="Times New Roman"/>
          <w:szCs w:val="21"/>
          <w:highlight w:val="none"/>
          <w:lang w:val="en-US" w:eastAsia="zh-CN"/>
        </w:rPr>
        <w:t>投标人</w:t>
      </w:r>
      <w:r>
        <w:rPr>
          <w:rFonts w:hint="eastAsia" w:ascii="宋体" w:hAnsi="宋体" w:eastAsia="宋体" w:cs="Times New Roman"/>
          <w:szCs w:val="21"/>
          <w:highlight w:val="none"/>
          <w:lang w:val="zh-CN"/>
        </w:rPr>
        <w:t>（含其不具有独立法人资格的分支机构）信用记录。</w:t>
      </w:r>
      <w:r>
        <w:rPr>
          <w:rFonts w:hint="eastAsia" w:ascii="宋体" w:hAnsi="宋体" w:eastAsia="宋体" w:cs="Times New Roman"/>
          <w:szCs w:val="21"/>
          <w:highlight w:val="none"/>
          <w:lang w:val="en-US" w:eastAsia="zh-CN"/>
        </w:rPr>
        <w:t>招标</w:t>
      </w:r>
      <w:r>
        <w:rPr>
          <w:rFonts w:hint="eastAsia" w:ascii="宋体" w:hAnsi="宋体" w:eastAsia="宋体" w:cs="Times New Roman"/>
          <w:szCs w:val="21"/>
          <w:highlight w:val="none"/>
          <w:lang w:val="zh-CN"/>
        </w:rPr>
        <w:t>代理机构对</w:t>
      </w:r>
      <w:r>
        <w:rPr>
          <w:rFonts w:hint="eastAsia" w:ascii="宋体" w:hAnsi="宋体" w:eastAsia="宋体" w:cs="Times New Roman"/>
          <w:szCs w:val="21"/>
          <w:highlight w:val="none"/>
          <w:lang w:val="en-US" w:eastAsia="zh-CN"/>
        </w:rPr>
        <w:t>投标人</w:t>
      </w:r>
      <w:r>
        <w:rPr>
          <w:rFonts w:hint="eastAsia" w:ascii="宋体" w:hAnsi="宋体" w:eastAsia="宋体" w:cs="Times New Roman"/>
          <w:szCs w:val="21"/>
          <w:highlight w:val="none"/>
          <w:lang w:val="zh-CN"/>
        </w:rPr>
        <w:t>信用记录进行甄别，对列入失信被执行人、重大税收违法失信主体、</w:t>
      </w:r>
      <w:r>
        <w:rPr>
          <w:rFonts w:hint="eastAsia" w:ascii="宋体" w:hAnsi="宋体" w:eastAsia="宋体" w:cs="Times New Roman"/>
          <w:szCs w:val="21"/>
          <w:highlight w:val="none"/>
        </w:rPr>
        <w:t>政府采购</w:t>
      </w:r>
      <w:r>
        <w:rPr>
          <w:rFonts w:hint="eastAsia" w:ascii="宋体" w:hAnsi="宋体" w:eastAsia="宋体" w:cs="Times New Roman"/>
          <w:szCs w:val="21"/>
          <w:highlight w:val="none"/>
          <w:lang w:val="zh-CN"/>
        </w:rPr>
        <w:t>严重违法失信行为记录</w:t>
      </w:r>
      <w:bookmarkStart w:id="910" w:name="_GoBack"/>
      <w:bookmarkEnd w:id="910"/>
      <w:r>
        <w:rPr>
          <w:rFonts w:hint="eastAsia" w:ascii="宋体" w:hAnsi="宋体" w:eastAsia="宋体" w:cs="Times New Roman"/>
          <w:szCs w:val="21"/>
          <w:highlight w:val="none"/>
          <w:lang w:val="zh-CN"/>
        </w:rPr>
        <w:t>名单的</w:t>
      </w:r>
      <w:r>
        <w:rPr>
          <w:rFonts w:hint="eastAsia" w:ascii="宋体" w:hAnsi="宋体" w:eastAsia="宋体" w:cs="Times New Roman"/>
          <w:szCs w:val="21"/>
          <w:highlight w:val="none"/>
          <w:lang w:val="en-US" w:eastAsia="zh-CN"/>
        </w:rPr>
        <w:t>投标人</w:t>
      </w:r>
      <w:r>
        <w:rPr>
          <w:rFonts w:hint="eastAsia" w:ascii="宋体" w:hAnsi="宋体" w:eastAsia="宋体" w:cs="Times New Roman"/>
          <w:szCs w:val="21"/>
          <w:highlight w:val="none"/>
          <w:lang w:val="zh-CN"/>
        </w:rPr>
        <w:t>，做好相关记录（处罚期限届满的除外）</w:t>
      </w:r>
      <w:r>
        <w:rPr>
          <w:rFonts w:ascii="宋体" w:hAnsi="宋体" w:eastAsia="宋体" w:cs="Times New Roman"/>
          <w:szCs w:val="21"/>
          <w:highlight w:val="none"/>
          <w:lang w:val="zh-CN"/>
        </w:rPr>
        <w:t>。</w:t>
      </w:r>
    </w:p>
    <w:p w14:paraId="29064080">
      <w:pPr>
        <w:autoSpaceDE w:val="0"/>
        <w:autoSpaceDN w:val="0"/>
        <w:adjustRightInd w:val="0"/>
        <w:spacing w:line="360" w:lineRule="auto"/>
        <w:ind w:right="-29" w:rightChars="-14" w:firstLine="420"/>
        <w:rPr>
          <w:rFonts w:hint="eastAsia" w:ascii="宋体" w:hAnsi="宋体" w:eastAsia="宋体" w:cs="Times New Roman"/>
          <w:szCs w:val="21"/>
          <w:highlight w:val="none"/>
          <w:lang w:val="zh-CN"/>
        </w:rPr>
      </w:pPr>
    </w:p>
    <w:p w14:paraId="657BBBD3">
      <w:pPr>
        <w:keepNext w:val="0"/>
        <w:keepLines w:val="0"/>
        <w:pageBreakBefore w:val="0"/>
        <w:numPr>
          <w:ilvl w:val="0"/>
          <w:numId w:val="2"/>
        </w:numPr>
        <w:kinsoku/>
        <w:overflowPunct/>
        <w:topLinePunct w:val="0"/>
        <w:autoSpaceDE w:val="0"/>
        <w:autoSpaceDN w:val="0"/>
        <w:bidi w:val="0"/>
        <w:adjustRightInd w:val="0"/>
        <w:snapToGrid w:val="0"/>
        <w:spacing w:line="360" w:lineRule="auto"/>
        <w:ind w:right="-34"/>
        <w:jc w:val="left"/>
        <w:outlineLvl w:val="9"/>
        <w:rPr>
          <w:rFonts w:hint="eastAsia" w:ascii="宋体" w:hAnsi="宋体" w:eastAsia="宋体" w:cs="宋体"/>
          <w:color w:val="auto"/>
          <w:szCs w:val="21"/>
          <w:highlight w:val="none"/>
          <w:lang w:val="zh-CN"/>
        </w:rPr>
      </w:pPr>
      <w:bookmarkStart w:id="18" w:name="_Toc10505"/>
      <w:bookmarkStart w:id="19" w:name="_Toc15579"/>
      <w:r>
        <w:rPr>
          <w:rFonts w:hint="eastAsia" w:ascii="宋体" w:hAnsi="宋体" w:eastAsia="宋体" w:cs="宋体"/>
          <w:color w:val="auto"/>
          <w:szCs w:val="21"/>
          <w:highlight w:val="none"/>
          <w:lang w:val="zh-CN"/>
        </w:rPr>
        <w:t>投标会时间、地点及投标文件提交截止时间：</w:t>
      </w:r>
      <w:bookmarkEnd w:id="18"/>
      <w:bookmarkEnd w:id="19"/>
    </w:p>
    <w:p w14:paraId="30777865">
      <w:pPr>
        <w:pStyle w:val="180"/>
        <w:spacing w:line="360" w:lineRule="auto"/>
        <w:ind w:left="420" w:hanging="420" w:hangingChars="200"/>
        <w:jc w:val="both"/>
        <w:outlineLvl w:val="9"/>
        <w:rPr>
          <w:rFonts w:hAnsi="宋体" w:eastAsia="宋体"/>
          <w:bCs/>
          <w:sz w:val="21"/>
          <w:szCs w:val="21"/>
          <w:highlight w:val="none"/>
          <w:lang w:val="zh-CN"/>
        </w:rPr>
      </w:pPr>
      <w:r>
        <w:rPr>
          <w:rFonts w:hint="eastAsia" w:hAnsi="宋体" w:eastAsia="宋体"/>
          <w:bCs/>
          <w:sz w:val="21"/>
          <w:szCs w:val="21"/>
          <w:highlight w:val="none"/>
          <w:lang w:val="zh-CN"/>
        </w:rPr>
        <w:t>5.</w:t>
      </w:r>
      <w:r>
        <w:rPr>
          <w:rFonts w:hint="eastAsia" w:hAnsi="宋体" w:eastAsia="宋体"/>
          <w:bCs/>
          <w:sz w:val="21"/>
          <w:szCs w:val="21"/>
          <w:highlight w:val="none"/>
          <w:lang w:val="en-US" w:eastAsia="zh-CN"/>
        </w:rPr>
        <w:t>1</w:t>
      </w:r>
      <w:r>
        <w:rPr>
          <w:rFonts w:hint="eastAsia" w:hAnsi="宋体" w:eastAsia="宋体"/>
          <w:bCs/>
          <w:sz w:val="21"/>
          <w:szCs w:val="21"/>
          <w:highlight w:val="none"/>
          <w:lang w:val="zh-CN"/>
        </w:rPr>
        <w:t xml:space="preserve"> </w:t>
      </w:r>
      <w:r>
        <w:rPr>
          <w:rFonts w:hint="eastAsia" w:ascii="宋体" w:hAnsi="宋体" w:eastAsia="宋体" w:cs="宋体"/>
          <w:bCs/>
          <w:color w:val="auto"/>
          <w:sz w:val="21"/>
          <w:szCs w:val="21"/>
          <w:highlight w:val="none"/>
          <w:lang w:val="zh-CN"/>
        </w:rPr>
        <w:t>投标会召开时间：</w:t>
      </w:r>
      <w:r>
        <w:rPr>
          <w:rFonts w:hint="eastAsia" w:hAnsi="宋体" w:eastAsia="宋体" w:cs="宋体"/>
          <w:bCs/>
          <w:color w:val="auto"/>
          <w:sz w:val="21"/>
          <w:szCs w:val="21"/>
          <w:highlight w:val="none"/>
          <w:u w:val="single"/>
          <w:lang w:val="en-US" w:eastAsia="zh-CN"/>
        </w:rPr>
        <w:t>2025</w:t>
      </w:r>
      <w:r>
        <w:rPr>
          <w:rFonts w:hint="default" w:hAnsi="宋体" w:eastAsia="宋体"/>
          <w:bCs/>
          <w:sz w:val="21"/>
          <w:szCs w:val="21"/>
          <w:highlight w:val="none"/>
          <w:u w:val="single"/>
          <w:lang w:val="en-US"/>
        </w:rPr>
        <w:t>年</w:t>
      </w:r>
      <w:r>
        <w:rPr>
          <w:rFonts w:hint="eastAsia" w:hAnsi="宋体" w:eastAsia="宋体"/>
          <w:bCs/>
          <w:sz w:val="21"/>
          <w:szCs w:val="21"/>
          <w:highlight w:val="none"/>
          <w:u w:val="single"/>
          <w:lang w:val="en-US" w:eastAsia="zh-CN"/>
        </w:rPr>
        <w:t xml:space="preserve"> 12 </w:t>
      </w:r>
      <w:r>
        <w:rPr>
          <w:rFonts w:hint="eastAsia" w:hAnsi="宋体" w:eastAsia="宋体"/>
          <w:bCs/>
          <w:sz w:val="21"/>
          <w:szCs w:val="21"/>
          <w:highlight w:val="none"/>
          <w:u w:val="single"/>
          <w:lang w:val="zh-CN"/>
        </w:rPr>
        <w:t>月</w:t>
      </w:r>
      <w:r>
        <w:rPr>
          <w:rFonts w:hint="eastAsia" w:hAnsi="宋体" w:eastAsia="宋体"/>
          <w:bCs/>
          <w:sz w:val="21"/>
          <w:szCs w:val="21"/>
          <w:highlight w:val="none"/>
          <w:u w:val="single"/>
          <w:lang w:val="en-US" w:eastAsia="zh-CN"/>
        </w:rPr>
        <w:t xml:space="preserve"> 25 </w:t>
      </w:r>
      <w:r>
        <w:rPr>
          <w:rFonts w:hint="eastAsia" w:hAnsi="宋体" w:eastAsia="宋体"/>
          <w:bCs/>
          <w:sz w:val="21"/>
          <w:szCs w:val="21"/>
          <w:highlight w:val="none"/>
          <w:u w:val="single"/>
          <w:lang w:val="zh-CN"/>
        </w:rPr>
        <w:t>日</w:t>
      </w:r>
      <w:r>
        <w:rPr>
          <w:rFonts w:hint="eastAsia" w:hAnsi="宋体" w:eastAsia="宋体"/>
          <w:bCs/>
          <w:sz w:val="21"/>
          <w:szCs w:val="21"/>
          <w:highlight w:val="none"/>
          <w:u w:val="single"/>
          <w:lang w:val="en-US" w:eastAsia="zh-CN"/>
        </w:rPr>
        <w:t xml:space="preserve"> 09 </w:t>
      </w:r>
      <w:r>
        <w:rPr>
          <w:rFonts w:hint="eastAsia" w:hAnsi="宋体" w:eastAsia="宋体"/>
          <w:bCs/>
          <w:sz w:val="21"/>
          <w:szCs w:val="21"/>
          <w:highlight w:val="none"/>
          <w:u w:val="single"/>
          <w:lang w:val="zh-CN"/>
        </w:rPr>
        <w:t>时</w:t>
      </w:r>
      <w:r>
        <w:rPr>
          <w:rFonts w:hint="eastAsia" w:hAnsi="宋体" w:eastAsia="宋体"/>
          <w:bCs/>
          <w:sz w:val="21"/>
          <w:szCs w:val="21"/>
          <w:highlight w:val="none"/>
          <w:u w:val="single"/>
          <w:lang w:val="en-US" w:eastAsia="zh-CN"/>
        </w:rPr>
        <w:t xml:space="preserve"> 30 </w:t>
      </w:r>
      <w:r>
        <w:rPr>
          <w:rFonts w:hint="eastAsia" w:hAnsi="宋体" w:eastAsia="宋体"/>
          <w:bCs/>
          <w:sz w:val="21"/>
          <w:szCs w:val="21"/>
          <w:highlight w:val="none"/>
          <w:u w:val="single"/>
          <w:lang w:val="zh-CN"/>
        </w:rPr>
        <w:t>分，</w:t>
      </w:r>
      <w:r>
        <w:rPr>
          <w:rFonts w:hint="eastAsia" w:ascii="宋体" w:hAnsi="宋体" w:eastAsia="宋体" w:cs="宋体"/>
          <w:bCs/>
          <w:color w:val="auto"/>
          <w:sz w:val="21"/>
          <w:szCs w:val="21"/>
          <w:highlight w:val="none"/>
          <w:lang w:val="zh-CN"/>
        </w:rPr>
        <w:t>投标会召开地点：东莞市南城</w:t>
      </w:r>
      <w:r>
        <w:rPr>
          <w:rFonts w:hint="eastAsia" w:ascii="宋体" w:hAnsi="宋体" w:eastAsia="宋体" w:cs="宋体"/>
          <w:bCs/>
          <w:color w:val="auto"/>
          <w:sz w:val="21"/>
          <w:szCs w:val="21"/>
          <w:highlight w:val="none"/>
          <w:lang w:val="en-US" w:eastAsia="zh-CN"/>
        </w:rPr>
        <w:t>街道</w:t>
      </w:r>
      <w:r>
        <w:rPr>
          <w:rFonts w:hint="eastAsia" w:ascii="宋体" w:hAnsi="宋体" w:eastAsia="宋体" w:cs="宋体"/>
          <w:bCs/>
          <w:color w:val="auto"/>
          <w:sz w:val="21"/>
          <w:szCs w:val="21"/>
          <w:highlight w:val="none"/>
          <w:lang w:val="zh-CN"/>
        </w:rPr>
        <w:t>西平社区宏伟三路45号东莞市公共资源交易中心开标室（</w:t>
      </w:r>
      <w:r>
        <w:rPr>
          <w:rFonts w:hint="eastAsia" w:hAnsi="宋体" w:eastAsia="宋体" w:cs="宋体"/>
          <w:bCs/>
          <w:color w:val="auto"/>
          <w:sz w:val="21"/>
          <w:szCs w:val="21"/>
          <w:highlight w:val="none"/>
          <w:lang w:val="en-US" w:eastAsia="zh-CN"/>
        </w:rPr>
        <w:t xml:space="preserve"> 3 </w:t>
      </w:r>
      <w:r>
        <w:rPr>
          <w:rFonts w:hint="eastAsia" w:ascii="宋体" w:hAnsi="宋体" w:eastAsia="宋体" w:cs="宋体"/>
          <w:bCs/>
          <w:color w:val="auto"/>
          <w:sz w:val="21"/>
          <w:szCs w:val="21"/>
          <w:highlight w:val="none"/>
          <w:lang w:val="zh-CN"/>
        </w:rPr>
        <w:t>）；</w:t>
      </w:r>
    </w:p>
    <w:p w14:paraId="6BA34BBB">
      <w:pPr>
        <w:pStyle w:val="180"/>
        <w:keepNext w:val="0"/>
        <w:keepLines w:val="0"/>
        <w:pageBreakBefore w:val="0"/>
        <w:kinsoku/>
        <w:overflowPunct/>
        <w:topLinePunct w:val="0"/>
        <w:bidi w:val="0"/>
        <w:spacing w:line="360" w:lineRule="auto"/>
        <w:ind w:left="420" w:hanging="420" w:hangingChars="200"/>
        <w:jc w:val="both"/>
        <w:outlineLvl w:val="9"/>
        <w:rPr>
          <w:rFonts w:hint="eastAsia" w:ascii="宋体" w:hAnsi="宋体" w:eastAsia="宋体" w:cs="宋体"/>
          <w:bCs/>
          <w:color w:val="auto"/>
          <w:sz w:val="21"/>
          <w:szCs w:val="21"/>
          <w:highlight w:val="none"/>
          <w:lang w:val="zh-CN"/>
        </w:rPr>
      </w:pPr>
      <w:r>
        <w:rPr>
          <w:rFonts w:hint="eastAsia" w:hAnsi="宋体" w:eastAsia="宋体"/>
          <w:bCs/>
          <w:sz w:val="21"/>
          <w:szCs w:val="21"/>
          <w:highlight w:val="none"/>
          <w:lang w:val="zh-CN"/>
        </w:rPr>
        <w:t>5.</w:t>
      </w:r>
      <w:r>
        <w:rPr>
          <w:rFonts w:hint="eastAsia" w:hAnsi="宋体" w:eastAsia="宋体"/>
          <w:bCs/>
          <w:sz w:val="21"/>
          <w:szCs w:val="21"/>
          <w:highlight w:val="none"/>
          <w:lang w:val="en-US" w:eastAsia="zh-CN"/>
        </w:rPr>
        <w:t>2</w:t>
      </w:r>
      <w:r>
        <w:rPr>
          <w:rFonts w:hint="eastAsia" w:hAnsi="宋体" w:eastAsia="宋体"/>
          <w:bCs/>
          <w:sz w:val="21"/>
          <w:szCs w:val="21"/>
          <w:highlight w:val="none"/>
          <w:lang w:val="zh-CN"/>
        </w:rPr>
        <w:t xml:space="preserve"> </w:t>
      </w:r>
      <w:r>
        <w:rPr>
          <w:rFonts w:hint="eastAsia" w:hAnsi="宋体" w:eastAsia="宋体"/>
          <w:bCs/>
          <w:sz w:val="21"/>
          <w:szCs w:val="21"/>
          <w:highlight w:val="none"/>
          <w:lang w:val="en-US" w:eastAsia="zh-CN"/>
        </w:rPr>
        <w:t>投</w:t>
      </w:r>
      <w:r>
        <w:rPr>
          <w:rFonts w:hint="eastAsia" w:ascii="宋体" w:hAnsi="宋体" w:eastAsia="宋体" w:cs="宋体"/>
          <w:bCs/>
          <w:color w:val="auto"/>
          <w:sz w:val="21"/>
          <w:szCs w:val="21"/>
          <w:highlight w:val="none"/>
          <w:lang w:val="zh-CN"/>
        </w:rPr>
        <w:t>投标文件递交的截止时间（投标截止时间，下同）：</w:t>
      </w:r>
      <w:r>
        <w:rPr>
          <w:rFonts w:hint="eastAsia" w:hAnsi="宋体" w:eastAsia="宋体" w:cs="宋体"/>
          <w:bCs/>
          <w:color w:val="auto"/>
          <w:sz w:val="21"/>
          <w:szCs w:val="21"/>
          <w:highlight w:val="none"/>
          <w:u w:val="single"/>
          <w:lang w:val="en-US" w:eastAsia="zh-CN"/>
        </w:rPr>
        <w:t>2025</w:t>
      </w:r>
      <w:r>
        <w:rPr>
          <w:rFonts w:hint="eastAsia" w:ascii="宋体" w:hAnsi="宋体" w:eastAsia="宋体" w:cs="宋体"/>
          <w:bCs/>
          <w:color w:val="auto"/>
          <w:sz w:val="21"/>
          <w:szCs w:val="21"/>
          <w:highlight w:val="none"/>
          <w:u w:val="single"/>
          <w:lang w:val="zh-CN"/>
        </w:rPr>
        <w:t>年</w:t>
      </w:r>
      <w:r>
        <w:rPr>
          <w:rFonts w:hint="eastAsia" w:hAnsi="宋体" w:eastAsia="宋体" w:cs="宋体"/>
          <w:bCs/>
          <w:color w:val="auto"/>
          <w:sz w:val="21"/>
          <w:szCs w:val="21"/>
          <w:highlight w:val="none"/>
          <w:u w:val="single"/>
          <w:lang w:val="en-US" w:eastAsia="zh-CN"/>
        </w:rPr>
        <w:t xml:space="preserve"> 12 </w:t>
      </w:r>
      <w:r>
        <w:rPr>
          <w:rFonts w:hint="eastAsia" w:ascii="宋体" w:hAnsi="宋体" w:eastAsia="宋体" w:cs="宋体"/>
          <w:bCs/>
          <w:color w:val="auto"/>
          <w:sz w:val="21"/>
          <w:szCs w:val="21"/>
          <w:highlight w:val="none"/>
          <w:u w:val="single"/>
          <w:lang w:val="zh-CN"/>
        </w:rPr>
        <w:t>月</w:t>
      </w:r>
      <w:r>
        <w:rPr>
          <w:rFonts w:hint="eastAsia" w:hAnsi="宋体" w:eastAsia="宋体" w:cs="宋体"/>
          <w:bCs/>
          <w:color w:val="auto"/>
          <w:sz w:val="21"/>
          <w:szCs w:val="21"/>
          <w:highlight w:val="none"/>
          <w:u w:val="single"/>
          <w:lang w:val="en-US" w:eastAsia="zh-CN"/>
        </w:rPr>
        <w:t xml:space="preserve"> 25 </w:t>
      </w:r>
      <w:r>
        <w:rPr>
          <w:rFonts w:hint="eastAsia" w:ascii="宋体" w:hAnsi="宋体" w:eastAsia="宋体" w:cs="宋体"/>
          <w:bCs/>
          <w:color w:val="auto"/>
          <w:sz w:val="21"/>
          <w:szCs w:val="21"/>
          <w:highlight w:val="none"/>
          <w:u w:val="single"/>
          <w:lang w:val="zh-CN"/>
        </w:rPr>
        <w:t>日</w:t>
      </w:r>
      <w:r>
        <w:rPr>
          <w:rFonts w:hint="eastAsia" w:hAnsi="宋体" w:eastAsia="宋体" w:cs="宋体"/>
          <w:bCs/>
          <w:color w:val="auto"/>
          <w:sz w:val="21"/>
          <w:szCs w:val="21"/>
          <w:highlight w:val="none"/>
          <w:u w:val="single"/>
          <w:lang w:val="en-US" w:eastAsia="zh-CN"/>
        </w:rPr>
        <w:t xml:space="preserve"> 09 </w:t>
      </w:r>
      <w:r>
        <w:rPr>
          <w:rFonts w:hint="eastAsia" w:ascii="宋体" w:hAnsi="宋体" w:eastAsia="宋体" w:cs="宋体"/>
          <w:bCs/>
          <w:color w:val="auto"/>
          <w:sz w:val="21"/>
          <w:szCs w:val="21"/>
          <w:highlight w:val="none"/>
          <w:u w:val="single"/>
          <w:lang w:val="zh-CN"/>
        </w:rPr>
        <w:t>时</w:t>
      </w:r>
      <w:r>
        <w:rPr>
          <w:rFonts w:hint="eastAsia" w:hAnsi="宋体" w:eastAsia="宋体" w:cs="宋体"/>
          <w:bCs/>
          <w:color w:val="auto"/>
          <w:sz w:val="21"/>
          <w:szCs w:val="21"/>
          <w:highlight w:val="none"/>
          <w:u w:val="single"/>
          <w:lang w:val="en-US" w:eastAsia="zh-CN"/>
        </w:rPr>
        <w:t xml:space="preserve"> 30 </w:t>
      </w:r>
      <w:r>
        <w:rPr>
          <w:rFonts w:hint="eastAsia" w:ascii="宋体" w:hAnsi="宋体" w:eastAsia="宋体" w:cs="宋体"/>
          <w:bCs/>
          <w:color w:val="auto"/>
          <w:sz w:val="21"/>
          <w:szCs w:val="21"/>
          <w:highlight w:val="none"/>
          <w:u w:val="single"/>
          <w:lang w:val="zh-CN"/>
        </w:rPr>
        <w:t>分</w:t>
      </w:r>
      <w:r>
        <w:rPr>
          <w:rFonts w:hint="eastAsia" w:ascii="宋体" w:hAnsi="宋体" w:eastAsia="宋体" w:cs="宋体"/>
          <w:bCs/>
          <w:color w:val="auto"/>
          <w:sz w:val="21"/>
          <w:szCs w:val="21"/>
          <w:highlight w:val="none"/>
          <w:u w:val="none"/>
          <w:lang w:val="zh-CN"/>
        </w:rPr>
        <w:t>，</w:t>
      </w:r>
      <w:r>
        <w:rPr>
          <w:rFonts w:hint="eastAsia" w:ascii="宋体" w:hAnsi="宋体" w:eastAsia="宋体" w:cs="宋体"/>
          <w:bCs/>
          <w:color w:val="auto"/>
          <w:sz w:val="21"/>
          <w:szCs w:val="21"/>
          <w:highlight w:val="none"/>
          <w:lang w:val="zh-CN"/>
        </w:rPr>
        <w:t>地点：通过东莞市公共资源交易E网通管理平台建设工程交易系统网上提交；</w:t>
      </w:r>
    </w:p>
    <w:p w14:paraId="7E17C6AC">
      <w:pPr>
        <w:pStyle w:val="180"/>
        <w:keepNext w:val="0"/>
        <w:keepLines w:val="0"/>
        <w:pageBreakBefore w:val="0"/>
        <w:kinsoku/>
        <w:overflowPunct/>
        <w:topLinePunct w:val="0"/>
        <w:bidi w:val="0"/>
        <w:spacing w:line="360" w:lineRule="auto"/>
        <w:ind w:left="420" w:hanging="420" w:hangingChars="200"/>
        <w:outlineLvl w:val="9"/>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zh-CN"/>
        </w:rPr>
        <w:t>5.</w:t>
      </w:r>
      <w:r>
        <w:rPr>
          <w:rFonts w:hint="eastAsia" w:ascii="宋体" w:hAnsi="宋体" w:eastAsia="宋体" w:cs="宋体"/>
          <w:bCs/>
          <w:color w:val="auto"/>
          <w:sz w:val="21"/>
          <w:szCs w:val="21"/>
          <w:highlight w:val="none"/>
          <w:lang w:val="en-US" w:eastAsia="zh-CN"/>
        </w:rPr>
        <w:t>3</w:t>
      </w:r>
      <w:r>
        <w:rPr>
          <w:rFonts w:hint="eastAsia" w:ascii="宋体" w:hAnsi="宋体" w:eastAsia="宋体" w:cs="宋体"/>
          <w:bCs/>
          <w:color w:val="auto"/>
          <w:sz w:val="21"/>
          <w:szCs w:val="21"/>
          <w:highlight w:val="none"/>
          <w:lang w:val="zh-CN"/>
        </w:rPr>
        <w:t xml:space="preserve"> 投标人必须通过交易系统在线上传投标文件，上述方式外提交的投标文件及逾期通过网络上传的电子投标文件，招标人不予受理。</w:t>
      </w:r>
    </w:p>
    <w:p w14:paraId="18E91730">
      <w:pPr>
        <w:pStyle w:val="180"/>
        <w:spacing w:line="360" w:lineRule="auto"/>
        <w:ind w:left="420" w:hanging="420" w:hangingChars="200"/>
        <w:rPr>
          <w:rFonts w:hAnsi="宋体" w:eastAsia="宋体"/>
          <w:bCs/>
          <w:sz w:val="21"/>
          <w:szCs w:val="21"/>
          <w:highlight w:val="none"/>
          <w:lang w:val="zh-CN"/>
        </w:rPr>
      </w:pPr>
    </w:p>
    <w:p w14:paraId="556306CA">
      <w:pPr>
        <w:numPr>
          <w:ilvl w:val="0"/>
          <w:numId w:val="2"/>
        </w:numPr>
        <w:snapToGrid w:val="0"/>
        <w:spacing w:line="360" w:lineRule="auto"/>
        <w:ind w:right="-34"/>
        <w:rPr>
          <w:rFonts w:hint="eastAsia" w:ascii="宋体" w:hAnsi="宋体" w:eastAsia="宋体" w:cs="宋体"/>
          <w:bCs/>
          <w:szCs w:val="21"/>
          <w:highlight w:val="none"/>
          <w:lang w:val="zh-CN"/>
        </w:rPr>
      </w:pPr>
      <w:r>
        <w:rPr>
          <w:rFonts w:hint="eastAsia" w:ascii="宋体" w:hAnsi="宋体" w:eastAsia="宋体" w:cs="宋体"/>
          <w:bCs/>
          <w:color w:val="auto"/>
          <w:sz w:val="21"/>
          <w:szCs w:val="21"/>
          <w:highlight w:val="none"/>
          <w:lang w:val="zh-CN"/>
        </w:rPr>
        <w:t>开标</w:t>
      </w:r>
      <w:r>
        <w:rPr>
          <w:rFonts w:hint="eastAsia" w:ascii="宋体" w:hAnsi="宋体" w:eastAsia="宋体" w:cs="宋体"/>
          <w:bCs/>
          <w:szCs w:val="21"/>
          <w:highlight w:val="none"/>
          <w:lang w:val="zh-CN"/>
        </w:rPr>
        <w:t>时间和地点：</w:t>
      </w:r>
    </w:p>
    <w:p w14:paraId="469AF662">
      <w:pPr>
        <w:pStyle w:val="180"/>
        <w:spacing w:line="360" w:lineRule="auto"/>
        <w:ind w:left="420" w:hanging="420" w:hangingChars="200"/>
        <w:rPr>
          <w:rFonts w:hint="eastAsia" w:hAnsi="宋体" w:eastAsia="宋体" w:cs="宋体"/>
          <w:bCs/>
          <w:sz w:val="21"/>
          <w:szCs w:val="21"/>
          <w:highlight w:val="none"/>
          <w:lang w:val="zh-CN"/>
        </w:rPr>
      </w:pPr>
      <w:r>
        <w:rPr>
          <w:rFonts w:hint="eastAsia" w:hAnsi="宋体" w:eastAsia="宋体" w:cs="宋体"/>
          <w:bCs/>
          <w:sz w:val="21"/>
          <w:szCs w:val="21"/>
          <w:highlight w:val="none"/>
          <w:lang w:val="zh-CN"/>
        </w:rPr>
        <w:t xml:space="preserve">6.1 </w:t>
      </w:r>
      <w:r>
        <w:rPr>
          <w:rFonts w:hint="eastAsia" w:ascii="宋体" w:hAnsi="宋体" w:eastAsia="宋体" w:cs="宋体"/>
          <w:bCs/>
          <w:color w:val="auto"/>
          <w:sz w:val="21"/>
          <w:szCs w:val="21"/>
          <w:highlight w:val="none"/>
          <w:lang w:val="zh-CN"/>
        </w:rPr>
        <w:t>开标时间：同投标截止时间；</w:t>
      </w:r>
    </w:p>
    <w:p w14:paraId="7CF42462">
      <w:pPr>
        <w:pStyle w:val="180"/>
        <w:keepNext w:val="0"/>
        <w:keepLines w:val="0"/>
        <w:pageBreakBefore w:val="0"/>
        <w:kinsoku/>
        <w:overflowPunct/>
        <w:topLinePunct w:val="0"/>
        <w:bidi w:val="0"/>
        <w:spacing w:line="360" w:lineRule="auto"/>
        <w:ind w:left="420" w:hanging="420" w:hangingChars="200"/>
        <w:outlineLvl w:val="9"/>
        <w:rPr>
          <w:rFonts w:hint="eastAsia" w:ascii="宋体" w:hAnsi="宋体" w:eastAsia="宋体" w:cs="宋体"/>
          <w:bCs/>
          <w:color w:val="auto"/>
          <w:sz w:val="21"/>
          <w:szCs w:val="21"/>
          <w:highlight w:val="none"/>
          <w:lang w:val="zh-CN"/>
        </w:rPr>
      </w:pPr>
      <w:r>
        <w:rPr>
          <w:rFonts w:hint="eastAsia" w:hAnsi="宋体" w:eastAsia="宋体" w:cs="宋体"/>
          <w:bCs/>
          <w:sz w:val="21"/>
          <w:szCs w:val="21"/>
          <w:highlight w:val="none"/>
          <w:lang w:val="zh-CN"/>
        </w:rPr>
        <w:t xml:space="preserve">6.2 </w:t>
      </w:r>
      <w:r>
        <w:rPr>
          <w:rFonts w:hint="eastAsia" w:ascii="宋体" w:hAnsi="宋体" w:eastAsia="宋体" w:cs="宋体"/>
          <w:bCs/>
          <w:color w:val="auto"/>
          <w:sz w:val="21"/>
          <w:szCs w:val="21"/>
          <w:highlight w:val="none"/>
          <w:lang w:val="zh-CN"/>
        </w:rPr>
        <w:t>开标地点：东莞市南城</w:t>
      </w:r>
      <w:r>
        <w:rPr>
          <w:rFonts w:hint="eastAsia" w:ascii="宋体" w:hAnsi="宋体" w:eastAsia="宋体" w:cs="宋体"/>
          <w:bCs/>
          <w:color w:val="auto"/>
          <w:sz w:val="21"/>
          <w:szCs w:val="21"/>
          <w:highlight w:val="none"/>
          <w:lang w:val="en-US" w:eastAsia="zh-CN"/>
        </w:rPr>
        <w:t>街道</w:t>
      </w:r>
      <w:r>
        <w:rPr>
          <w:rFonts w:hint="eastAsia" w:ascii="宋体" w:hAnsi="宋体" w:eastAsia="宋体" w:cs="宋体"/>
          <w:bCs/>
          <w:color w:val="auto"/>
          <w:sz w:val="21"/>
          <w:szCs w:val="21"/>
          <w:highlight w:val="none"/>
          <w:lang w:val="zh-CN"/>
        </w:rPr>
        <w:t>西平社区宏伟三路45号东莞市公共资源交易中心开标室（</w:t>
      </w:r>
      <w:r>
        <w:rPr>
          <w:rFonts w:hint="eastAsia" w:hAnsi="宋体" w:eastAsia="宋体" w:cs="宋体"/>
          <w:bCs/>
          <w:color w:val="auto"/>
          <w:sz w:val="21"/>
          <w:szCs w:val="21"/>
          <w:highlight w:val="none"/>
          <w:lang w:val="en-US" w:eastAsia="zh-CN"/>
        </w:rPr>
        <w:t xml:space="preserve"> 3 </w:t>
      </w:r>
      <w:r>
        <w:rPr>
          <w:rFonts w:hint="eastAsia" w:ascii="宋体" w:hAnsi="宋体" w:eastAsia="宋体" w:cs="宋体"/>
          <w:bCs/>
          <w:color w:val="auto"/>
          <w:sz w:val="21"/>
          <w:szCs w:val="21"/>
          <w:highlight w:val="none"/>
          <w:lang w:val="zh-CN"/>
        </w:rPr>
        <w:t>）。</w:t>
      </w:r>
    </w:p>
    <w:p w14:paraId="085803F0">
      <w:pPr>
        <w:autoSpaceDE w:val="0"/>
        <w:autoSpaceDN w:val="0"/>
        <w:adjustRightInd w:val="0"/>
        <w:spacing w:line="360" w:lineRule="auto"/>
        <w:ind w:left="210" w:leftChars="100" w:right="-29" w:rightChars="-14"/>
        <w:rPr>
          <w:rFonts w:hint="eastAsia" w:ascii="宋体" w:hAnsi="宋体" w:eastAsia="宋体" w:cs="Times New Roman"/>
          <w:szCs w:val="21"/>
          <w:highlight w:val="none"/>
          <w:lang w:val="zh-CN"/>
        </w:rPr>
      </w:pPr>
    </w:p>
    <w:p w14:paraId="64619DFC">
      <w:pPr>
        <w:numPr>
          <w:ilvl w:val="0"/>
          <w:numId w:val="2"/>
        </w:numPr>
        <w:wordWrap w:val="0"/>
        <w:autoSpaceDE w:val="0"/>
        <w:autoSpaceDN w:val="0"/>
        <w:adjustRightInd w:val="0"/>
        <w:snapToGrid w:val="0"/>
        <w:spacing w:line="360" w:lineRule="auto"/>
        <w:ind w:left="363" w:right="-34" w:hanging="363"/>
        <w:jc w:val="left"/>
        <w:rPr>
          <w:rFonts w:hint="eastAsia" w:ascii="宋体" w:hAnsi="宋体" w:eastAsia="宋体" w:cs="Times New Roman"/>
          <w:bCs/>
          <w:szCs w:val="21"/>
          <w:highlight w:val="none"/>
        </w:rPr>
      </w:pPr>
      <w:r>
        <w:rPr>
          <w:rFonts w:hint="eastAsia" w:ascii="宋体" w:hAnsi="宋体" w:eastAsia="宋体" w:cs="Times New Roman"/>
          <w:bCs/>
          <w:szCs w:val="21"/>
          <w:highlight w:val="none"/>
        </w:rPr>
        <w:t>本项目相关公告在以下媒介发布：全国公共资源交易平台（广东省·东莞市）（https://ygp.gdzwfw.gov.cn/#/441900/index）、中国招标投标公共服务平台（www.cebpubservice.com）、</w:t>
      </w:r>
      <w:r>
        <w:rPr>
          <w:rFonts w:hint="eastAsia" w:ascii="宋体" w:hAnsi="宋体" w:eastAsia="宋体" w:cs="宋体"/>
          <w:bCs/>
          <w:color w:val="auto"/>
          <w:szCs w:val="21"/>
          <w:highlight w:val="none"/>
          <w:lang w:eastAsia="zh-CN"/>
        </w:rPr>
        <w:t>东莞市水务环境投资控股集团有限公司</w:t>
      </w:r>
      <w:r>
        <w:rPr>
          <w:rFonts w:hint="eastAsia" w:ascii="宋体" w:hAnsi="宋体" w:eastAsia="宋体" w:cs="Times New Roman"/>
          <w:bCs/>
          <w:szCs w:val="21"/>
          <w:highlight w:val="none"/>
        </w:rPr>
        <w:t>（www.dgswjt.cn）、</w:t>
      </w:r>
      <w:r>
        <w:rPr>
          <w:rFonts w:hint="eastAsia" w:ascii="宋体" w:hAnsi="宋体" w:eastAsia="宋体" w:cs="Times New Roman"/>
          <w:bCs/>
          <w:szCs w:val="21"/>
          <w:highlight w:val="none"/>
          <w:lang w:val="en-US" w:eastAsia="zh-CN"/>
        </w:rPr>
        <w:t>招标</w:t>
      </w:r>
      <w:r>
        <w:rPr>
          <w:rFonts w:hint="eastAsia" w:ascii="宋体" w:hAnsi="宋体" w:eastAsia="宋体" w:cs="Times New Roman"/>
          <w:bCs/>
          <w:szCs w:val="21"/>
          <w:highlight w:val="none"/>
        </w:rPr>
        <w:t>代理机构网站（www.wangtat.com.cn</w:t>
      </w:r>
      <w:r>
        <w:rPr>
          <w:rFonts w:ascii="宋体" w:hAnsi="宋体" w:eastAsia="宋体" w:cs="Times New Roman"/>
          <w:bCs/>
          <w:szCs w:val="21"/>
          <w:highlight w:val="none"/>
        </w:rPr>
        <w:t>）</w:t>
      </w:r>
      <w:r>
        <w:rPr>
          <w:rFonts w:ascii="宋体" w:hAnsi="宋体" w:eastAsia="宋体" w:cs="Times New Roman"/>
          <w:szCs w:val="21"/>
          <w:highlight w:val="none"/>
          <w:lang w:val="zh-CN"/>
        </w:rPr>
        <w:t>。</w:t>
      </w:r>
    </w:p>
    <w:p w14:paraId="093E481E">
      <w:pPr>
        <w:pStyle w:val="24"/>
        <w:rPr>
          <w:rFonts w:hint="eastAsia"/>
          <w:highlight w:val="none"/>
        </w:rPr>
      </w:pPr>
    </w:p>
    <w:p w14:paraId="09F5561E">
      <w:pPr>
        <w:numPr>
          <w:ilvl w:val="0"/>
          <w:numId w:val="2"/>
        </w:numPr>
        <w:autoSpaceDE w:val="0"/>
        <w:autoSpaceDN w:val="0"/>
        <w:adjustRightInd w:val="0"/>
        <w:snapToGrid w:val="0"/>
        <w:spacing w:line="360" w:lineRule="auto"/>
        <w:ind w:right="-34"/>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eastAsia="zh-CN"/>
        </w:rPr>
        <w:t>投标</w:t>
      </w:r>
      <w:r>
        <w:rPr>
          <w:rFonts w:hint="eastAsia" w:ascii="宋体" w:hAnsi="宋体" w:eastAsia="宋体" w:cs="Times New Roman"/>
          <w:color w:val="auto"/>
          <w:szCs w:val="21"/>
          <w:highlight w:val="none"/>
        </w:rPr>
        <w:t>保证金</w:t>
      </w:r>
    </w:p>
    <w:p w14:paraId="07DCC749">
      <w:pPr>
        <w:pStyle w:val="180"/>
        <w:spacing w:line="360" w:lineRule="auto"/>
        <w:ind w:left="420" w:hanging="420" w:hangingChars="200"/>
        <w:rPr>
          <w:rFonts w:hint="eastAsia" w:ascii="宋体" w:hAnsi="宋体" w:eastAsia="宋体"/>
          <w:bCs/>
          <w:color w:val="auto"/>
          <w:sz w:val="21"/>
          <w:szCs w:val="21"/>
          <w:highlight w:val="none"/>
          <w:lang w:val="zh-CN"/>
        </w:rPr>
      </w:pPr>
      <w:r>
        <w:rPr>
          <w:rFonts w:hint="eastAsia" w:ascii="宋体" w:hAnsi="宋体" w:eastAsia="宋体"/>
          <w:bCs/>
          <w:color w:val="auto"/>
          <w:sz w:val="21"/>
          <w:szCs w:val="21"/>
          <w:highlight w:val="none"/>
          <w:lang w:val="en-US" w:eastAsia="zh-CN"/>
        </w:rPr>
        <w:t>8</w:t>
      </w:r>
      <w:r>
        <w:rPr>
          <w:rFonts w:hint="eastAsia" w:ascii="宋体" w:hAnsi="宋体" w:eastAsia="宋体"/>
          <w:bCs/>
          <w:color w:val="auto"/>
          <w:sz w:val="21"/>
          <w:szCs w:val="21"/>
          <w:highlight w:val="none"/>
          <w:lang w:val="zh-CN"/>
        </w:rPr>
        <w:t>.1 本次</w:t>
      </w:r>
      <w:r>
        <w:rPr>
          <w:rFonts w:hint="eastAsia" w:hAnsi="宋体" w:eastAsia="宋体"/>
          <w:bCs/>
          <w:color w:val="auto"/>
          <w:sz w:val="21"/>
          <w:szCs w:val="21"/>
          <w:highlight w:val="none"/>
          <w:lang w:val="en-US" w:eastAsia="zh-CN"/>
        </w:rPr>
        <w:t>招标投标人</w:t>
      </w:r>
      <w:r>
        <w:rPr>
          <w:rFonts w:hint="eastAsia" w:ascii="宋体" w:hAnsi="宋体" w:eastAsia="宋体"/>
          <w:bCs/>
          <w:color w:val="auto"/>
          <w:sz w:val="21"/>
          <w:szCs w:val="21"/>
          <w:highlight w:val="none"/>
          <w:lang w:val="zh-CN"/>
        </w:rPr>
        <w:t>须提交</w:t>
      </w:r>
      <w:r>
        <w:rPr>
          <w:rFonts w:hint="eastAsia" w:hAnsi="宋体" w:eastAsia="宋体"/>
          <w:bCs/>
          <w:color w:val="auto"/>
          <w:sz w:val="21"/>
          <w:szCs w:val="21"/>
          <w:highlight w:val="none"/>
          <w:lang w:val="zh-CN"/>
        </w:rPr>
        <w:t>投标</w:t>
      </w:r>
      <w:r>
        <w:rPr>
          <w:rFonts w:hint="eastAsia" w:ascii="宋体" w:hAnsi="宋体" w:eastAsia="宋体"/>
          <w:bCs/>
          <w:color w:val="auto"/>
          <w:sz w:val="21"/>
          <w:szCs w:val="21"/>
          <w:highlight w:val="none"/>
          <w:lang w:val="zh-CN"/>
        </w:rPr>
        <w:t>保证金金额：</w:t>
      </w:r>
      <w:r>
        <w:rPr>
          <w:rFonts w:hint="eastAsia" w:hAnsi="宋体" w:eastAsia="宋体"/>
          <w:bCs/>
          <w:color w:val="auto"/>
          <w:sz w:val="21"/>
          <w:szCs w:val="21"/>
          <w:highlight w:val="none"/>
          <w:lang w:val="en-US" w:eastAsia="zh-CN"/>
        </w:rPr>
        <w:t>20,</w:t>
      </w:r>
      <w:r>
        <w:rPr>
          <w:rFonts w:hint="eastAsia" w:hAnsi="宋体" w:eastAsia="宋体"/>
          <w:bCs/>
          <w:color w:val="auto"/>
          <w:sz w:val="21"/>
          <w:szCs w:val="21"/>
          <w:highlight w:val="none"/>
          <w:lang w:val="zh-CN"/>
        </w:rPr>
        <w:t>000</w:t>
      </w:r>
      <w:r>
        <w:rPr>
          <w:rFonts w:hint="eastAsia" w:hAnsi="宋体" w:eastAsia="宋体"/>
          <w:bCs/>
          <w:color w:val="auto"/>
          <w:sz w:val="21"/>
          <w:szCs w:val="21"/>
          <w:highlight w:val="none"/>
          <w:lang w:val="en-US" w:eastAsia="zh-CN"/>
        </w:rPr>
        <w:t>.00</w:t>
      </w:r>
      <w:r>
        <w:rPr>
          <w:rFonts w:hint="eastAsia" w:ascii="宋体" w:hAnsi="宋体" w:eastAsia="宋体"/>
          <w:bCs/>
          <w:color w:val="auto"/>
          <w:sz w:val="21"/>
          <w:szCs w:val="21"/>
          <w:highlight w:val="none"/>
          <w:lang w:val="zh-CN"/>
        </w:rPr>
        <w:t>元。</w:t>
      </w:r>
    </w:p>
    <w:p w14:paraId="642A15AD">
      <w:pPr>
        <w:pStyle w:val="180"/>
        <w:spacing w:line="360" w:lineRule="auto"/>
        <w:ind w:left="420" w:hanging="420" w:hangingChars="200"/>
        <w:rPr>
          <w:rFonts w:hint="eastAsia" w:ascii="宋体" w:hAnsi="宋体" w:eastAsia="宋体"/>
          <w:bCs/>
          <w:color w:val="auto"/>
          <w:sz w:val="21"/>
          <w:szCs w:val="21"/>
          <w:highlight w:val="none"/>
          <w:lang w:val="zh-CN"/>
        </w:rPr>
      </w:pPr>
      <w:r>
        <w:rPr>
          <w:rFonts w:hint="eastAsia" w:ascii="宋体" w:hAnsi="宋体" w:eastAsia="宋体"/>
          <w:bCs/>
          <w:color w:val="auto"/>
          <w:sz w:val="21"/>
          <w:szCs w:val="21"/>
          <w:highlight w:val="none"/>
          <w:lang w:val="en-US" w:eastAsia="zh-CN"/>
        </w:rPr>
        <w:t>8</w:t>
      </w:r>
      <w:r>
        <w:rPr>
          <w:rFonts w:hint="eastAsia" w:ascii="宋体" w:hAnsi="宋体" w:eastAsia="宋体"/>
          <w:bCs/>
          <w:color w:val="auto"/>
          <w:sz w:val="21"/>
          <w:szCs w:val="21"/>
          <w:highlight w:val="none"/>
          <w:lang w:val="zh-CN"/>
        </w:rPr>
        <w:t>.</w:t>
      </w:r>
      <w:r>
        <w:rPr>
          <w:rFonts w:hint="eastAsia" w:hAnsi="宋体" w:eastAsia="宋体"/>
          <w:bCs/>
          <w:color w:val="auto"/>
          <w:sz w:val="21"/>
          <w:szCs w:val="21"/>
          <w:highlight w:val="none"/>
          <w:lang w:val="en-US" w:eastAsia="zh-CN"/>
        </w:rPr>
        <w:t xml:space="preserve">2 </w:t>
      </w:r>
      <w:r>
        <w:rPr>
          <w:rFonts w:hint="eastAsia" w:hAnsi="宋体" w:eastAsia="宋体"/>
          <w:bCs/>
          <w:color w:val="auto"/>
          <w:sz w:val="21"/>
          <w:szCs w:val="21"/>
          <w:highlight w:val="none"/>
          <w:lang w:val="zh-CN"/>
        </w:rPr>
        <w:t>投标</w:t>
      </w:r>
      <w:r>
        <w:rPr>
          <w:rFonts w:hint="eastAsia" w:ascii="宋体" w:hAnsi="宋体" w:eastAsia="宋体"/>
          <w:bCs/>
          <w:color w:val="auto"/>
          <w:sz w:val="21"/>
          <w:szCs w:val="21"/>
          <w:highlight w:val="none"/>
          <w:lang w:val="zh-CN"/>
        </w:rPr>
        <w:t>保证金形式：单项</w:t>
      </w:r>
      <w:r>
        <w:rPr>
          <w:rFonts w:hint="eastAsia" w:hAnsi="宋体" w:eastAsia="宋体"/>
          <w:bCs/>
          <w:color w:val="auto"/>
          <w:sz w:val="21"/>
          <w:szCs w:val="21"/>
          <w:highlight w:val="none"/>
          <w:lang w:val="zh-CN"/>
        </w:rPr>
        <w:t>投标</w:t>
      </w:r>
      <w:r>
        <w:rPr>
          <w:rFonts w:hint="eastAsia" w:ascii="宋体" w:hAnsi="宋体" w:eastAsia="宋体"/>
          <w:bCs/>
          <w:color w:val="auto"/>
          <w:sz w:val="21"/>
          <w:szCs w:val="21"/>
          <w:highlight w:val="none"/>
          <w:lang w:val="zh-CN"/>
        </w:rPr>
        <w:t>保证金；银行电子保函；保险电子保单；</w:t>
      </w:r>
    </w:p>
    <w:p w14:paraId="52E78401">
      <w:pPr>
        <w:pStyle w:val="180"/>
        <w:spacing w:line="360" w:lineRule="auto"/>
        <w:ind w:left="420" w:hanging="420" w:hangingChars="200"/>
        <w:rPr>
          <w:rFonts w:hint="eastAsia" w:ascii="宋体" w:hAnsi="宋体" w:eastAsia="宋体"/>
          <w:bCs/>
          <w:color w:val="auto"/>
          <w:sz w:val="21"/>
          <w:szCs w:val="21"/>
          <w:highlight w:val="none"/>
          <w:lang w:val="zh-CN"/>
        </w:rPr>
      </w:pPr>
      <w:r>
        <w:rPr>
          <w:rFonts w:hint="eastAsia" w:ascii="宋体" w:hAnsi="宋体" w:eastAsia="宋体"/>
          <w:bCs/>
          <w:color w:val="auto"/>
          <w:sz w:val="21"/>
          <w:szCs w:val="21"/>
          <w:highlight w:val="none"/>
          <w:lang w:val="zh-CN"/>
        </w:rPr>
        <w:t>其它：</w:t>
      </w:r>
      <w:r>
        <w:rPr>
          <w:rFonts w:hint="eastAsia" w:ascii="宋体" w:hAnsi="宋体" w:eastAsia="宋体"/>
          <w:bCs/>
          <w:color w:val="auto"/>
          <w:sz w:val="21"/>
          <w:szCs w:val="21"/>
          <w:highlight w:val="none"/>
          <w:u w:val="single"/>
          <w:lang w:val="zh-CN"/>
        </w:rPr>
        <w:t xml:space="preserve">      /       </w:t>
      </w:r>
      <w:r>
        <w:rPr>
          <w:rFonts w:hint="eastAsia" w:ascii="宋体" w:hAnsi="宋体" w:eastAsia="宋体"/>
          <w:bCs/>
          <w:color w:val="auto"/>
          <w:sz w:val="21"/>
          <w:szCs w:val="21"/>
          <w:highlight w:val="none"/>
          <w:lang w:val="zh-CN"/>
        </w:rPr>
        <w:t>。</w:t>
      </w:r>
    </w:p>
    <w:p w14:paraId="1CB4FF50">
      <w:pPr>
        <w:pStyle w:val="180"/>
        <w:spacing w:line="360" w:lineRule="auto"/>
        <w:ind w:left="420" w:hanging="420" w:hangingChars="200"/>
        <w:rPr>
          <w:rFonts w:hint="eastAsia" w:ascii="宋体" w:hAnsi="宋体" w:eastAsia="宋体"/>
          <w:bCs/>
          <w:color w:val="auto"/>
          <w:sz w:val="21"/>
          <w:szCs w:val="21"/>
          <w:highlight w:val="none"/>
          <w:lang w:val="zh-CN"/>
        </w:rPr>
      </w:pPr>
      <w:r>
        <w:rPr>
          <w:rFonts w:hint="eastAsia" w:ascii="宋体" w:hAnsi="宋体" w:eastAsia="宋体"/>
          <w:bCs/>
          <w:color w:val="auto"/>
          <w:sz w:val="21"/>
          <w:szCs w:val="21"/>
          <w:highlight w:val="none"/>
          <w:lang w:val="en-US" w:eastAsia="zh-CN"/>
        </w:rPr>
        <w:t>8</w:t>
      </w:r>
      <w:r>
        <w:rPr>
          <w:rFonts w:hint="eastAsia" w:ascii="宋体" w:hAnsi="宋体" w:eastAsia="宋体"/>
          <w:bCs/>
          <w:color w:val="auto"/>
          <w:sz w:val="21"/>
          <w:szCs w:val="21"/>
          <w:highlight w:val="none"/>
          <w:lang w:val="zh-CN"/>
        </w:rPr>
        <w:t>.</w:t>
      </w:r>
      <w:r>
        <w:rPr>
          <w:rFonts w:hint="eastAsia" w:hAnsi="宋体" w:eastAsia="宋体"/>
          <w:bCs/>
          <w:color w:val="auto"/>
          <w:sz w:val="21"/>
          <w:szCs w:val="21"/>
          <w:highlight w:val="none"/>
          <w:lang w:val="en-US" w:eastAsia="zh-CN"/>
        </w:rPr>
        <w:t xml:space="preserve">3 </w:t>
      </w:r>
      <w:r>
        <w:rPr>
          <w:rFonts w:hint="eastAsia" w:hAnsi="宋体" w:eastAsia="宋体"/>
          <w:bCs/>
          <w:color w:val="auto"/>
          <w:sz w:val="21"/>
          <w:szCs w:val="21"/>
          <w:highlight w:val="none"/>
          <w:lang w:val="zh-CN"/>
        </w:rPr>
        <w:t>投标</w:t>
      </w:r>
      <w:r>
        <w:rPr>
          <w:rFonts w:hint="eastAsia" w:ascii="宋体" w:hAnsi="宋体" w:eastAsia="宋体"/>
          <w:bCs/>
          <w:color w:val="auto"/>
          <w:sz w:val="21"/>
          <w:szCs w:val="21"/>
          <w:highlight w:val="none"/>
          <w:lang w:val="zh-CN"/>
        </w:rPr>
        <w:t>保证金形式注意事项：</w:t>
      </w:r>
    </w:p>
    <w:p w14:paraId="290429EE">
      <w:pPr>
        <w:pStyle w:val="180"/>
        <w:spacing w:line="360" w:lineRule="auto"/>
        <w:ind w:left="420" w:hanging="420" w:hangingChars="200"/>
        <w:rPr>
          <w:rFonts w:hint="eastAsia" w:ascii="宋体" w:hAnsi="宋体" w:eastAsia="宋体"/>
          <w:bCs/>
          <w:color w:val="auto"/>
          <w:sz w:val="21"/>
          <w:szCs w:val="21"/>
          <w:highlight w:val="none"/>
          <w:lang w:val="zh-CN"/>
        </w:rPr>
      </w:pPr>
      <w:r>
        <w:rPr>
          <w:rFonts w:hint="eastAsia" w:ascii="宋体" w:hAnsi="宋体" w:eastAsia="宋体"/>
          <w:bCs/>
          <w:color w:val="auto"/>
          <w:sz w:val="21"/>
          <w:szCs w:val="21"/>
          <w:highlight w:val="none"/>
          <w:lang w:val="zh-CN"/>
        </w:rPr>
        <w:t>（1）</w:t>
      </w:r>
      <w:r>
        <w:rPr>
          <w:rFonts w:hint="eastAsia" w:hAnsi="宋体" w:eastAsia="宋体"/>
          <w:bCs/>
          <w:color w:val="auto"/>
          <w:sz w:val="21"/>
          <w:szCs w:val="21"/>
          <w:highlight w:val="none"/>
          <w:lang w:val="zh-CN"/>
        </w:rPr>
        <w:t>投标</w:t>
      </w:r>
      <w:r>
        <w:rPr>
          <w:rFonts w:hint="eastAsia" w:ascii="宋体" w:hAnsi="宋体" w:eastAsia="宋体"/>
          <w:bCs/>
          <w:color w:val="auto"/>
          <w:sz w:val="21"/>
          <w:szCs w:val="21"/>
          <w:highlight w:val="none"/>
          <w:lang w:val="zh-CN"/>
        </w:rPr>
        <w:t>保证金到账时间应为</w:t>
      </w:r>
      <w:r>
        <w:rPr>
          <w:rFonts w:hint="eastAsia" w:hAnsi="宋体" w:eastAsia="宋体"/>
          <w:bCs/>
          <w:color w:val="auto"/>
          <w:sz w:val="21"/>
          <w:szCs w:val="21"/>
          <w:highlight w:val="none"/>
          <w:lang w:val="zh-CN"/>
        </w:rPr>
        <w:t>投标</w:t>
      </w:r>
      <w:r>
        <w:rPr>
          <w:rFonts w:hint="eastAsia" w:ascii="宋体" w:hAnsi="宋体" w:eastAsia="宋体"/>
          <w:bCs/>
          <w:color w:val="auto"/>
          <w:sz w:val="21"/>
          <w:szCs w:val="21"/>
          <w:highlight w:val="none"/>
          <w:lang w:val="zh-CN"/>
        </w:rPr>
        <w:t>保证金的关联时间。</w:t>
      </w:r>
    </w:p>
    <w:p w14:paraId="2F22DAFA">
      <w:pPr>
        <w:pStyle w:val="180"/>
        <w:spacing w:line="360" w:lineRule="auto"/>
        <w:ind w:left="420" w:hanging="420" w:hangingChars="200"/>
        <w:rPr>
          <w:rFonts w:hint="eastAsia" w:ascii="宋体" w:hAnsi="宋体" w:eastAsia="宋体"/>
          <w:bCs/>
          <w:color w:val="auto"/>
          <w:sz w:val="21"/>
          <w:szCs w:val="21"/>
          <w:highlight w:val="none"/>
          <w:lang w:val="zh-CN"/>
        </w:rPr>
      </w:pPr>
      <w:r>
        <w:rPr>
          <w:rFonts w:hint="eastAsia" w:ascii="宋体" w:hAnsi="宋体" w:eastAsia="宋体"/>
          <w:bCs/>
          <w:color w:val="auto"/>
          <w:sz w:val="21"/>
          <w:szCs w:val="21"/>
          <w:highlight w:val="none"/>
          <w:lang w:val="zh-CN"/>
        </w:rPr>
        <w:t>（2）</w:t>
      </w:r>
      <w:r>
        <w:rPr>
          <w:rFonts w:hint="eastAsia" w:hAnsi="宋体" w:eastAsia="宋体"/>
          <w:bCs/>
          <w:color w:val="auto"/>
          <w:sz w:val="21"/>
          <w:szCs w:val="21"/>
          <w:highlight w:val="none"/>
          <w:lang w:val="zh-CN"/>
        </w:rPr>
        <w:t>投标</w:t>
      </w:r>
      <w:r>
        <w:rPr>
          <w:rFonts w:hint="eastAsia" w:ascii="宋体" w:hAnsi="宋体" w:eastAsia="宋体"/>
          <w:bCs/>
          <w:color w:val="auto"/>
          <w:sz w:val="21"/>
          <w:szCs w:val="21"/>
          <w:highlight w:val="none"/>
          <w:lang w:val="zh-CN"/>
        </w:rPr>
        <w:t>保证金数据超过</w:t>
      </w:r>
      <w:r>
        <w:rPr>
          <w:rFonts w:hint="eastAsia" w:hAnsi="宋体" w:eastAsia="宋体"/>
          <w:bCs/>
          <w:color w:val="auto"/>
          <w:sz w:val="21"/>
          <w:szCs w:val="21"/>
          <w:highlight w:val="none"/>
          <w:lang w:val="zh-CN"/>
        </w:rPr>
        <w:t>投标</w:t>
      </w:r>
      <w:r>
        <w:rPr>
          <w:rFonts w:hint="eastAsia" w:ascii="宋体" w:hAnsi="宋体" w:eastAsia="宋体"/>
          <w:bCs/>
          <w:color w:val="auto"/>
          <w:sz w:val="21"/>
          <w:szCs w:val="21"/>
          <w:highlight w:val="none"/>
          <w:lang w:val="zh-CN"/>
        </w:rPr>
        <w:t>截止时间后到达交易系统的，无法关联。</w:t>
      </w:r>
    </w:p>
    <w:p w14:paraId="1F15B189">
      <w:pPr>
        <w:pStyle w:val="180"/>
        <w:spacing w:line="360" w:lineRule="auto"/>
        <w:ind w:left="420" w:hanging="420" w:hangingChars="200"/>
        <w:rPr>
          <w:rFonts w:hint="eastAsia" w:ascii="宋体" w:hAnsi="宋体" w:eastAsia="宋体"/>
          <w:bCs/>
          <w:color w:val="auto"/>
          <w:sz w:val="21"/>
          <w:szCs w:val="21"/>
          <w:highlight w:val="none"/>
          <w:lang w:val="zh-CN"/>
        </w:rPr>
      </w:pPr>
      <w:r>
        <w:rPr>
          <w:rFonts w:hint="eastAsia" w:ascii="宋体" w:hAnsi="宋体" w:eastAsia="宋体"/>
          <w:bCs/>
          <w:color w:val="auto"/>
          <w:sz w:val="21"/>
          <w:szCs w:val="21"/>
          <w:highlight w:val="none"/>
          <w:lang w:val="zh-CN"/>
        </w:rPr>
        <w:t>（3）</w:t>
      </w:r>
      <w:r>
        <w:rPr>
          <w:rFonts w:hint="eastAsia" w:hAnsi="宋体" w:eastAsia="宋体"/>
          <w:bCs/>
          <w:color w:val="auto"/>
          <w:sz w:val="21"/>
          <w:szCs w:val="21"/>
          <w:highlight w:val="none"/>
          <w:lang w:val="en-US" w:eastAsia="zh-CN"/>
        </w:rPr>
        <w:t>投标人</w:t>
      </w:r>
      <w:r>
        <w:rPr>
          <w:rFonts w:hint="eastAsia" w:ascii="宋体" w:hAnsi="宋体" w:eastAsia="宋体"/>
          <w:bCs/>
          <w:color w:val="auto"/>
          <w:sz w:val="21"/>
          <w:szCs w:val="21"/>
          <w:highlight w:val="none"/>
          <w:lang w:val="zh-CN"/>
        </w:rPr>
        <w:t>应提前办理</w:t>
      </w:r>
      <w:r>
        <w:rPr>
          <w:rFonts w:hint="eastAsia" w:hAnsi="宋体" w:eastAsia="宋体"/>
          <w:bCs/>
          <w:color w:val="auto"/>
          <w:sz w:val="21"/>
          <w:szCs w:val="21"/>
          <w:highlight w:val="none"/>
          <w:lang w:val="zh-CN"/>
        </w:rPr>
        <w:t>投标</w:t>
      </w:r>
      <w:r>
        <w:rPr>
          <w:rFonts w:hint="eastAsia" w:ascii="宋体" w:hAnsi="宋体" w:eastAsia="宋体"/>
          <w:bCs/>
          <w:color w:val="auto"/>
          <w:sz w:val="21"/>
          <w:szCs w:val="21"/>
          <w:highlight w:val="none"/>
          <w:lang w:val="zh-CN"/>
        </w:rPr>
        <w:t>保证金手续，自行承担数据延误风险。</w:t>
      </w:r>
    </w:p>
    <w:p w14:paraId="7916BB69">
      <w:pPr>
        <w:pStyle w:val="24"/>
        <w:rPr>
          <w:rFonts w:hint="eastAsia"/>
          <w:highlight w:val="none"/>
        </w:rPr>
      </w:pPr>
    </w:p>
    <w:p w14:paraId="014C12B8">
      <w:pPr>
        <w:numPr>
          <w:ilvl w:val="0"/>
          <w:numId w:val="2"/>
        </w:numPr>
        <w:autoSpaceDE w:val="0"/>
        <w:autoSpaceDN w:val="0"/>
        <w:adjustRightInd w:val="0"/>
        <w:snapToGrid w:val="0"/>
        <w:spacing w:line="360" w:lineRule="auto"/>
        <w:ind w:right="-34"/>
        <w:jc w:val="left"/>
        <w:rPr>
          <w:rFonts w:hint="eastAsia" w:ascii="宋体" w:hAnsi="宋体" w:eastAsia="宋体" w:cs="Times New Roman"/>
          <w:szCs w:val="21"/>
          <w:highlight w:val="none"/>
        </w:rPr>
      </w:pPr>
      <w:r>
        <w:rPr>
          <w:rFonts w:hint="eastAsia" w:ascii="宋体" w:hAnsi="宋体" w:eastAsia="宋体" w:cs="Times New Roman"/>
          <w:bCs/>
          <w:szCs w:val="21"/>
          <w:highlight w:val="none"/>
          <w:lang w:val="en-US" w:eastAsia="zh-CN"/>
        </w:rPr>
        <w:t>招标</w:t>
      </w:r>
      <w:r>
        <w:rPr>
          <w:rFonts w:ascii="宋体" w:hAnsi="宋体" w:eastAsia="宋体" w:cs="Times New Roman"/>
          <w:bCs/>
          <w:szCs w:val="21"/>
          <w:highlight w:val="none"/>
          <w:lang w:val="zh-CN"/>
        </w:rPr>
        <w:t>人联系方式</w:t>
      </w:r>
    </w:p>
    <w:p w14:paraId="43869EB0">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Times New Roman"/>
          <w:kern w:val="0"/>
          <w:szCs w:val="21"/>
          <w:highlight w:val="none"/>
        </w:rPr>
      </w:pPr>
      <w:r>
        <w:rPr>
          <w:rFonts w:hint="eastAsia" w:ascii="宋体" w:hAnsi="宋体" w:eastAsia="宋体" w:cs="Times New Roman"/>
          <w:kern w:val="0"/>
          <w:szCs w:val="21"/>
          <w:highlight w:val="none"/>
          <w:lang w:val="en-US" w:eastAsia="zh-CN"/>
        </w:rPr>
        <w:t>招标</w:t>
      </w:r>
      <w:r>
        <w:rPr>
          <w:rFonts w:ascii="宋体" w:hAnsi="宋体" w:eastAsia="宋体" w:cs="Times New Roman"/>
          <w:kern w:val="0"/>
          <w:szCs w:val="21"/>
          <w:highlight w:val="none"/>
        </w:rPr>
        <w:t>人：</w:t>
      </w:r>
      <w:r>
        <w:rPr>
          <w:rFonts w:hint="eastAsia" w:ascii="宋体" w:hAnsi="宋体" w:eastAsia="宋体" w:cs="Times New Roman"/>
          <w:kern w:val="0"/>
          <w:szCs w:val="21"/>
          <w:highlight w:val="none"/>
        </w:rPr>
        <w:t>东莞市众源环境投资有限公司</w:t>
      </w:r>
    </w:p>
    <w:p w14:paraId="24C0C535">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Times New Roman"/>
          <w:kern w:val="0"/>
          <w:szCs w:val="21"/>
          <w:highlight w:val="none"/>
        </w:rPr>
      </w:pPr>
      <w:r>
        <w:rPr>
          <w:rFonts w:ascii="宋体" w:hAnsi="宋体" w:eastAsia="宋体" w:cs="Times New Roman"/>
          <w:kern w:val="0"/>
          <w:szCs w:val="21"/>
          <w:highlight w:val="none"/>
        </w:rPr>
        <w:t>地</w:t>
      </w:r>
      <w:r>
        <w:rPr>
          <w:rFonts w:hint="eastAsia" w:ascii="宋体" w:hAnsi="宋体" w:eastAsia="宋体" w:cs="Times New Roman"/>
          <w:kern w:val="0"/>
          <w:szCs w:val="21"/>
          <w:highlight w:val="none"/>
        </w:rPr>
        <w:t xml:space="preserve"> </w:t>
      </w:r>
      <w:r>
        <w:rPr>
          <w:rFonts w:ascii="宋体" w:hAnsi="宋体" w:eastAsia="宋体" w:cs="Times New Roman"/>
          <w:kern w:val="0"/>
          <w:szCs w:val="21"/>
          <w:highlight w:val="none"/>
        </w:rPr>
        <w:t xml:space="preserve"> 址：</w:t>
      </w:r>
      <w:r>
        <w:rPr>
          <w:rFonts w:hint="eastAsia" w:ascii="宋体" w:hAnsi="宋体" w:eastAsia="宋体" w:cs="Times New Roman"/>
          <w:kern w:val="0"/>
          <w:szCs w:val="21"/>
          <w:highlight w:val="none"/>
        </w:rPr>
        <w:t>东莞市南城街道滨河路100号二期3号楼3楼</w:t>
      </w:r>
    </w:p>
    <w:p w14:paraId="4BB3AA9C">
      <w:pPr>
        <w:widowControl/>
        <w:autoSpaceDE w:val="0"/>
        <w:autoSpaceDN w:val="0"/>
        <w:adjustRightInd w:val="0"/>
        <w:spacing w:line="360" w:lineRule="auto"/>
        <w:ind w:right="-31" w:rightChars="-15" w:firstLine="424" w:firstLineChars="202"/>
        <w:jc w:val="left"/>
        <w:textAlignment w:val="bottom"/>
        <w:rPr>
          <w:rFonts w:hint="default" w:ascii="宋体" w:hAnsi="宋体" w:eastAsia="宋体" w:cs="Times New Roman"/>
          <w:kern w:val="0"/>
          <w:szCs w:val="21"/>
          <w:highlight w:val="none"/>
          <w:lang w:val="en-US" w:eastAsia="zh-CN"/>
        </w:rPr>
      </w:pPr>
      <w:r>
        <w:rPr>
          <w:rFonts w:ascii="宋体" w:hAnsi="宋体" w:eastAsia="宋体" w:cs="Times New Roman"/>
          <w:kern w:val="0"/>
          <w:szCs w:val="21"/>
          <w:highlight w:val="none"/>
        </w:rPr>
        <w:t>联系人</w:t>
      </w:r>
      <w:r>
        <w:rPr>
          <w:rFonts w:hint="eastAsia" w:ascii="宋体" w:hAnsi="宋体" w:eastAsia="宋体" w:cs="Times New Roman"/>
          <w:kern w:val="0"/>
          <w:szCs w:val="21"/>
          <w:highlight w:val="none"/>
        </w:rPr>
        <w:t>：</w:t>
      </w:r>
      <w:r>
        <w:rPr>
          <w:rFonts w:hint="eastAsia" w:ascii="宋体" w:hAnsi="宋体" w:eastAsia="宋体" w:cs="Times New Roman"/>
          <w:kern w:val="0"/>
          <w:szCs w:val="21"/>
          <w:highlight w:val="none"/>
          <w:lang w:val="en-US" w:eastAsia="zh-CN"/>
        </w:rPr>
        <w:t>万淑婷</w:t>
      </w:r>
    </w:p>
    <w:p w14:paraId="7E064FFA">
      <w:pPr>
        <w:widowControl/>
        <w:autoSpaceDE w:val="0"/>
        <w:autoSpaceDN w:val="0"/>
        <w:adjustRightInd w:val="0"/>
        <w:spacing w:line="360" w:lineRule="auto"/>
        <w:ind w:right="-31" w:rightChars="-15" w:firstLine="424" w:firstLineChars="202"/>
        <w:jc w:val="left"/>
        <w:textAlignment w:val="bottom"/>
        <w:rPr>
          <w:rFonts w:hint="default" w:ascii="宋体" w:hAnsi="宋体" w:eastAsia="宋体" w:cs="Times New Roman"/>
          <w:kern w:val="0"/>
          <w:szCs w:val="21"/>
          <w:highlight w:val="none"/>
          <w:lang w:val="en-US" w:eastAsia="zh-CN"/>
        </w:rPr>
      </w:pPr>
      <w:r>
        <w:rPr>
          <w:rFonts w:ascii="宋体" w:hAnsi="宋体" w:eastAsia="宋体" w:cs="Times New Roman"/>
          <w:kern w:val="0"/>
          <w:szCs w:val="21"/>
          <w:highlight w:val="none"/>
        </w:rPr>
        <w:t>电  话：0769</w:t>
      </w:r>
      <w:r>
        <w:rPr>
          <w:rFonts w:hint="eastAsia" w:ascii="宋体" w:hAnsi="宋体" w:eastAsia="宋体" w:cs="Times New Roman"/>
          <w:kern w:val="0"/>
          <w:szCs w:val="21"/>
          <w:highlight w:val="none"/>
        </w:rPr>
        <w:t>-</w:t>
      </w:r>
      <w:r>
        <w:rPr>
          <w:rFonts w:hint="eastAsia" w:ascii="宋体" w:hAnsi="宋体" w:eastAsia="宋体" w:cs="Times New Roman"/>
          <w:kern w:val="0"/>
          <w:szCs w:val="21"/>
          <w:highlight w:val="none"/>
          <w:lang w:val="en-US" w:eastAsia="zh-CN"/>
        </w:rPr>
        <w:t>23286160</w:t>
      </w:r>
    </w:p>
    <w:p w14:paraId="68AD5592">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Times New Roman"/>
          <w:kern w:val="0"/>
          <w:szCs w:val="21"/>
          <w:highlight w:val="none"/>
        </w:rPr>
      </w:pPr>
    </w:p>
    <w:p w14:paraId="1326AAF2">
      <w:pPr>
        <w:numPr>
          <w:ilvl w:val="0"/>
          <w:numId w:val="2"/>
        </w:numPr>
        <w:autoSpaceDE w:val="0"/>
        <w:autoSpaceDN w:val="0"/>
        <w:adjustRightInd w:val="0"/>
        <w:snapToGrid w:val="0"/>
        <w:spacing w:line="360" w:lineRule="auto"/>
        <w:ind w:right="-34"/>
        <w:jc w:val="left"/>
        <w:rPr>
          <w:rFonts w:hint="eastAsia" w:ascii="宋体" w:hAnsi="宋体" w:eastAsia="宋体" w:cs="Times New Roman"/>
          <w:szCs w:val="21"/>
          <w:highlight w:val="none"/>
        </w:rPr>
      </w:pPr>
      <w:r>
        <w:rPr>
          <w:rFonts w:hint="eastAsia" w:ascii="宋体" w:hAnsi="宋体" w:eastAsia="宋体" w:cs="Times New Roman"/>
          <w:szCs w:val="21"/>
          <w:highlight w:val="none"/>
          <w:lang w:val="en-US" w:eastAsia="zh-CN"/>
        </w:rPr>
        <w:t>招标</w:t>
      </w:r>
      <w:r>
        <w:rPr>
          <w:rFonts w:ascii="宋体" w:hAnsi="宋体" w:eastAsia="宋体" w:cs="Times New Roman"/>
          <w:szCs w:val="21"/>
          <w:highlight w:val="none"/>
        </w:rPr>
        <w:t>代理机构</w:t>
      </w:r>
      <w:r>
        <w:rPr>
          <w:rFonts w:hint="eastAsia" w:ascii="宋体" w:hAnsi="宋体" w:eastAsia="宋体" w:cs="Times New Roman"/>
          <w:szCs w:val="21"/>
          <w:highlight w:val="none"/>
        </w:rPr>
        <w:t>及异议受理</w:t>
      </w:r>
      <w:r>
        <w:rPr>
          <w:rFonts w:ascii="宋体" w:hAnsi="宋体" w:eastAsia="宋体" w:cs="Times New Roman"/>
          <w:szCs w:val="21"/>
          <w:highlight w:val="none"/>
        </w:rPr>
        <w:t>联系方式</w:t>
      </w:r>
    </w:p>
    <w:p w14:paraId="71547762">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Times New Roman"/>
          <w:kern w:val="0"/>
          <w:szCs w:val="21"/>
          <w:highlight w:val="none"/>
        </w:rPr>
      </w:pPr>
      <w:r>
        <w:rPr>
          <w:rFonts w:hint="eastAsia" w:ascii="宋体" w:hAnsi="宋体" w:eastAsia="宋体" w:cs="Times New Roman"/>
          <w:kern w:val="0"/>
          <w:szCs w:val="21"/>
          <w:highlight w:val="none"/>
          <w:lang w:val="en-US" w:eastAsia="zh-CN"/>
        </w:rPr>
        <w:t>招标</w:t>
      </w:r>
      <w:r>
        <w:rPr>
          <w:rFonts w:ascii="宋体" w:hAnsi="宋体" w:eastAsia="宋体" w:cs="Times New Roman"/>
          <w:kern w:val="0"/>
          <w:szCs w:val="21"/>
          <w:highlight w:val="none"/>
        </w:rPr>
        <w:t>代理机构：</w:t>
      </w:r>
      <w:r>
        <w:rPr>
          <w:rFonts w:hint="eastAsia" w:ascii="宋体" w:hAnsi="宋体" w:eastAsia="宋体" w:cs="Times New Roman"/>
          <w:kern w:val="0"/>
          <w:szCs w:val="21"/>
          <w:highlight w:val="none"/>
        </w:rPr>
        <w:t>广州宏达工程顾问集团有限公司</w:t>
      </w:r>
    </w:p>
    <w:p w14:paraId="29CEF0EE">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Times New Roman"/>
          <w:kern w:val="0"/>
          <w:szCs w:val="21"/>
          <w:highlight w:val="none"/>
        </w:rPr>
      </w:pPr>
      <w:r>
        <w:rPr>
          <w:rFonts w:ascii="宋体" w:hAnsi="宋体" w:eastAsia="宋体" w:cs="Times New Roman"/>
          <w:kern w:val="0"/>
          <w:szCs w:val="21"/>
          <w:highlight w:val="none"/>
        </w:rPr>
        <w:t>地  址：</w:t>
      </w:r>
      <w:r>
        <w:rPr>
          <w:rFonts w:hint="eastAsia" w:ascii="宋体" w:hAnsi="宋体" w:eastAsia="宋体" w:cs="Times New Roman"/>
          <w:kern w:val="0"/>
          <w:szCs w:val="21"/>
          <w:highlight w:val="none"/>
        </w:rPr>
        <w:t>广东省东莞市南城街道宏图路105号1栋313室</w:t>
      </w:r>
    </w:p>
    <w:p w14:paraId="583496A9">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Times New Roman"/>
          <w:kern w:val="0"/>
          <w:szCs w:val="21"/>
          <w:highlight w:val="none"/>
          <w:lang w:val="en-US" w:eastAsia="zh-CN"/>
        </w:rPr>
      </w:pPr>
      <w:r>
        <w:rPr>
          <w:rFonts w:ascii="宋体" w:hAnsi="宋体" w:eastAsia="宋体" w:cs="Times New Roman"/>
          <w:kern w:val="0"/>
          <w:szCs w:val="21"/>
          <w:highlight w:val="none"/>
        </w:rPr>
        <w:t>联系人：</w:t>
      </w:r>
      <w:r>
        <w:rPr>
          <w:rFonts w:hint="eastAsia" w:ascii="宋体" w:hAnsi="宋体" w:eastAsia="宋体" w:cs="Times New Roman"/>
          <w:kern w:val="0"/>
          <w:szCs w:val="21"/>
          <w:highlight w:val="none"/>
          <w:lang w:val="en-US" w:eastAsia="zh-CN"/>
        </w:rPr>
        <w:t>邓晓欣</w:t>
      </w:r>
    </w:p>
    <w:p w14:paraId="00AF8AF7">
      <w:pPr>
        <w:widowControl/>
        <w:autoSpaceDE w:val="0"/>
        <w:autoSpaceDN w:val="0"/>
        <w:adjustRightInd w:val="0"/>
        <w:spacing w:line="360" w:lineRule="auto"/>
        <w:ind w:right="-31" w:rightChars="-15" w:firstLine="424" w:firstLineChars="202"/>
        <w:jc w:val="left"/>
        <w:textAlignment w:val="bottom"/>
        <w:rPr>
          <w:rFonts w:hint="default" w:ascii="宋体" w:hAnsi="宋体" w:eastAsia="宋体" w:cs="Times New Roman"/>
          <w:kern w:val="0"/>
          <w:szCs w:val="21"/>
          <w:highlight w:val="none"/>
          <w:lang w:val="en-US" w:eastAsia="zh-CN"/>
        </w:rPr>
      </w:pPr>
      <w:r>
        <w:rPr>
          <w:rFonts w:hint="eastAsia" w:ascii="宋体" w:hAnsi="宋体" w:eastAsia="宋体" w:cs="Times New Roman"/>
          <w:kern w:val="0"/>
          <w:szCs w:val="21"/>
          <w:highlight w:val="none"/>
        </w:rPr>
        <w:t xml:space="preserve">电 </w:t>
      </w:r>
      <w:r>
        <w:rPr>
          <w:rFonts w:ascii="宋体" w:hAnsi="宋体" w:eastAsia="宋体" w:cs="Times New Roman"/>
          <w:kern w:val="0"/>
          <w:szCs w:val="21"/>
          <w:highlight w:val="none"/>
        </w:rPr>
        <w:t xml:space="preserve"> </w:t>
      </w:r>
      <w:r>
        <w:rPr>
          <w:rFonts w:hint="eastAsia" w:ascii="宋体" w:hAnsi="宋体" w:eastAsia="宋体" w:cs="Times New Roman"/>
          <w:kern w:val="0"/>
          <w:szCs w:val="21"/>
          <w:highlight w:val="none"/>
        </w:rPr>
        <w:t>话</w:t>
      </w:r>
      <w:r>
        <w:rPr>
          <w:rFonts w:ascii="宋体" w:hAnsi="宋体" w:eastAsia="宋体" w:cs="Times New Roman"/>
          <w:kern w:val="0"/>
          <w:szCs w:val="21"/>
          <w:highlight w:val="none"/>
        </w:rPr>
        <w:t>：</w:t>
      </w:r>
      <w:r>
        <w:rPr>
          <w:rFonts w:hint="eastAsia" w:ascii="宋体" w:hAnsi="宋体" w:eastAsia="宋体" w:cs="Times New Roman"/>
          <w:kern w:val="0"/>
          <w:szCs w:val="21"/>
          <w:highlight w:val="none"/>
        </w:rPr>
        <w:t>0769-28056866-</w:t>
      </w:r>
      <w:r>
        <w:rPr>
          <w:rFonts w:hint="eastAsia" w:ascii="宋体" w:hAnsi="宋体" w:eastAsia="宋体" w:cs="Times New Roman"/>
          <w:kern w:val="0"/>
          <w:szCs w:val="21"/>
          <w:highlight w:val="none"/>
          <w:lang w:val="en-US" w:eastAsia="zh-CN"/>
        </w:rPr>
        <w:t>804</w:t>
      </w:r>
    </w:p>
    <w:p w14:paraId="6266833C">
      <w:pPr>
        <w:pageBreakBefore w:val="0"/>
        <w:autoSpaceDE/>
        <w:autoSpaceDN/>
        <w:adjustRightInd/>
        <w:spacing w:line="240" w:lineRule="auto"/>
        <w:ind w:left="0" w:leftChars="0" w:firstLine="0"/>
        <w:jc w:val="left"/>
        <w:outlineLvl w:val="9"/>
        <w:rPr>
          <w:rFonts w:hint="eastAsia" w:ascii="宋体" w:hAnsi="宋体" w:eastAsia="宋体" w:cs="宋体"/>
          <w:b/>
          <w:bCs/>
          <w:color w:val="auto"/>
          <w:kern w:val="44"/>
          <w:sz w:val="32"/>
          <w:szCs w:val="32"/>
          <w:highlight w:val="none"/>
          <w:lang w:val="zh-CN"/>
        </w:rPr>
      </w:pPr>
      <w:r>
        <w:rPr>
          <w:rFonts w:hint="eastAsia" w:ascii="宋体" w:hAnsi="宋体" w:eastAsia="宋体" w:cs="宋体"/>
          <w:b/>
          <w:bCs/>
          <w:color w:val="auto"/>
          <w:kern w:val="44"/>
          <w:sz w:val="32"/>
          <w:szCs w:val="32"/>
          <w:highlight w:val="none"/>
          <w:lang w:val="zh-CN"/>
        </w:rPr>
        <w:br w:type="page"/>
      </w:r>
    </w:p>
    <w:p w14:paraId="6EE70062">
      <w:pPr>
        <w:pageBreakBefore/>
        <w:tabs>
          <w:tab w:val="left" w:pos="1080"/>
        </w:tabs>
        <w:autoSpaceDE w:val="0"/>
        <w:autoSpaceDN w:val="0"/>
        <w:adjustRightInd w:val="0"/>
        <w:spacing w:line="360" w:lineRule="auto"/>
        <w:ind w:left="-167" w:leftChars="-100" w:hanging="43"/>
        <w:jc w:val="center"/>
        <w:outlineLvl w:val="0"/>
        <w:rPr>
          <w:rFonts w:ascii="宋体" w:hAnsi="宋体" w:eastAsia="宋体" w:cs="宋体"/>
          <w:b/>
          <w:bCs/>
          <w:color w:val="auto"/>
          <w:kern w:val="44"/>
          <w:sz w:val="32"/>
          <w:szCs w:val="32"/>
          <w:highlight w:val="none"/>
        </w:rPr>
      </w:pPr>
      <w:bookmarkStart w:id="20" w:name="_Toc13998"/>
      <w:bookmarkStart w:id="21" w:name="_Toc10947"/>
      <w:bookmarkStart w:id="22" w:name="_Toc22010"/>
      <w:r>
        <w:rPr>
          <w:rFonts w:hint="eastAsia" w:ascii="宋体" w:hAnsi="宋体" w:eastAsia="宋体" w:cs="宋体"/>
          <w:b/>
          <w:bCs/>
          <w:color w:val="auto"/>
          <w:kern w:val="44"/>
          <w:sz w:val="32"/>
          <w:szCs w:val="32"/>
          <w:highlight w:val="none"/>
          <w:lang w:val="zh-CN"/>
        </w:rPr>
        <w:t>第二篇</w:t>
      </w:r>
      <w:r>
        <w:rPr>
          <w:rFonts w:ascii="宋体" w:hAnsi="宋体" w:eastAsia="宋体" w:cs="宋体"/>
          <w:b/>
          <w:bCs/>
          <w:color w:val="auto"/>
          <w:kern w:val="44"/>
          <w:sz w:val="32"/>
          <w:szCs w:val="32"/>
          <w:highlight w:val="none"/>
        </w:rPr>
        <w:t xml:space="preserve"> </w:t>
      </w:r>
      <w:r>
        <w:rPr>
          <w:rFonts w:hint="eastAsia" w:ascii="宋体" w:hAnsi="宋体" w:eastAsia="宋体" w:cs="宋体"/>
          <w:b/>
          <w:bCs/>
          <w:color w:val="auto"/>
          <w:kern w:val="44"/>
          <w:sz w:val="32"/>
          <w:szCs w:val="32"/>
          <w:highlight w:val="none"/>
          <w:lang w:val="en-US" w:eastAsia="zh-CN"/>
        </w:rPr>
        <w:t>投标人</w:t>
      </w:r>
      <w:r>
        <w:rPr>
          <w:rFonts w:hint="eastAsia" w:ascii="宋体" w:hAnsi="宋体" w:eastAsia="宋体" w:cs="宋体"/>
          <w:b/>
          <w:bCs/>
          <w:color w:val="auto"/>
          <w:kern w:val="44"/>
          <w:sz w:val="32"/>
          <w:szCs w:val="32"/>
          <w:highlight w:val="none"/>
          <w:lang w:val="zh-CN"/>
        </w:rPr>
        <w:t>须知</w:t>
      </w:r>
      <w:bookmarkEnd w:id="5"/>
      <w:bookmarkEnd w:id="6"/>
      <w:bookmarkEnd w:id="7"/>
      <w:bookmarkEnd w:id="8"/>
      <w:bookmarkEnd w:id="9"/>
      <w:bookmarkEnd w:id="10"/>
      <w:bookmarkEnd w:id="11"/>
      <w:bookmarkEnd w:id="12"/>
      <w:bookmarkEnd w:id="13"/>
      <w:bookmarkEnd w:id="20"/>
      <w:bookmarkEnd w:id="21"/>
      <w:bookmarkEnd w:id="22"/>
    </w:p>
    <w:p w14:paraId="3F2EE974">
      <w:pPr>
        <w:keepNext/>
        <w:keepLines/>
        <w:autoSpaceDE w:val="0"/>
        <w:autoSpaceDN w:val="0"/>
        <w:adjustRightInd w:val="0"/>
        <w:spacing w:line="360" w:lineRule="auto"/>
        <w:jc w:val="left"/>
        <w:outlineLvl w:val="0"/>
        <w:rPr>
          <w:rFonts w:ascii="宋体" w:hAnsi="宋体" w:eastAsia="宋体" w:cs="宋体"/>
          <w:b/>
          <w:bCs/>
          <w:color w:val="auto"/>
          <w:kern w:val="44"/>
          <w:szCs w:val="21"/>
          <w:highlight w:val="none"/>
          <w:lang w:val="zh-CN"/>
        </w:rPr>
      </w:pPr>
      <w:bookmarkStart w:id="23" w:name="_Toc486167662"/>
      <w:bookmarkStart w:id="24" w:name="_Toc142508312"/>
      <w:bookmarkStart w:id="25" w:name="_Toc3082"/>
      <w:bookmarkStart w:id="26" w:name="_Toc195714216"/>
      <w:bookmarkStart w:id="27" w:name="_Toc9555"/>
      <w:bookmarkStart w:id="28" w:name="_Toc450662848"/>
      <w:bookmarkStart w:id="29" w:name="_Toc15366_WPSOffice_Level2"/>
      <w:bookmarkStart w:id="30" w:name="_Toc26584"/>
      <w:bookmarkStart w:id="31" w:name="_Toc27676"/>
      <w:bookmarkStart w:id="32" w:name="_Toc23363"/>
      <w:bookmarkStart w:id="33" w:name="_Toc140596871"/>
      <w:bookmarkStart w:id="34" w:name="_Toc24479"/>
      <w:bookmarkStart w:id="35" w:name="_Toc18289"/>
      <w:r>
        <w:rPr>
          <w:rFonts w:hint="eastAsia" w:ascii="宋体" w:hAnsi="宋体" w:eastAsia="宋体" w:cs="宋体"/>
          <w:b/>
          <w:bCs/>
          <w:color w:val="auto"/>
          <w:kern w:val="44"/>
          <w:szCs w:val="21"/>
          <w:highlight w:val="none"/>
          <w:lang w:val="zh-CN"/>
        </w:rPr>
        <w:t>一、总则</w:t>
      </w:r>
      <w:bookmarkEnd w:id="23"/>
      <w:bookmarkEnd w:id="24"/>
      <w:bookmarkEnd w:id="25"/>
      <w:bookmarkEnd w:id="26"/>
      <w:bookmarkEnd w:id="27"/>
      <w:bookmarkEnd w:id="28"/>
      <w:bookmarkEnd w:id="29"/>
      <w:bookmarkEnd w:id="30"/>
      <w:bookmarkEnd w:id="31"/>
      <w:bookmarkEnd w:id="32"/>
      <w:bookmarkEnd w:id="33"/>
      <w:bookmarkEnd w:id="34"/>
      <w:bookmarkEnd w:id="35"/>
    </w:p>
    <w:p w14:paraId="2C9295FD">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6" w:name="_Toc142508313"/>
      <w:bookmarkStart w:id="37" w:name="_Toc22727"/>
      <w:bookmarkStart w:id="38" w:name="_Toc9608"/>
      <w:bookmarkStart w:id="39" w:name="_Toc20001"/>
      <w:bookmarkStart w:id="40" w:name="_Toc450662849"/>
      <w:bookmarkStart w:id="41" w:name="_Toc12744"/>
      <w:bookmarkStart w:id="42" w:name="_Toc486167663"/>
      <w:bookmarkStart w:id="43" w:name="_Toc23333"/>
      <w:bookmarkStart w:id="44" w:name="_Toc195714217"/>
      <w:bookmarkStart w:id="45" w:name="_Toc8346"/>
      <w:bookmarkStart w:id="46" w:name="_Toc21710_WPSOffice_Level3"/>
      <w:bookmarkStart w:id="47" w:name="_Toc19473"/>
      <w:r>
        <w:rPr>
          <w:rFonts w:hint="eastAsia" w:ascii="宋体" w:hAnsi="宋体" w:eastAsia="宋体" w:cs="宋体"/>
          <w:color w:val="auto"/>
          <w:szCs w:val="21"/>
          <w:highlight w:val="none"/>
          <w:lang w:val="zh-CN"/>
        </w:rPr>
        <w:t>1</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资金来源：企业自筹资金。</w:t>
      </w:r>
      <w:bookmarkEnd w:id="36"/>
      <w:bookmarkEnd w:id="37"/>
      <w:bookmarkEnd w:id="38"/>
      <w:bookmarkEnd w:id="39"/>
      <w:bookmarkEnd w:id="40"/>
      <w:bookmarkEnd w:id="41"/>
      <w:bookmarkEnd w:id="42"/>
      <w:bookmarkEnd w:id="43"/>
      <w:bookmarkEnd w:id="44"/>
      <w:bookmarkEnd w:id="45"/>
      <w:bookmarkEnd w:id="46"/>
      <w:bookmarkEnd w:id="47"/>
    </w:p>
    <w:p w14:paraId="48917414">
      <w:pPr>
        <w:autoSpaceDE w:val="0"/>
        <w:autoSpaceDN w:val="0"/>
        <w:adjustRightInd w:val="0"/>
        <w:jc w:val="left"/>
        <w:rPr>
          <w:rFonts w:ascii="宋体" w:hAnsi="宋体" w:eastAsia="宋体" w:cs="宋体"/>
          <w:color w:val="auto"/>
          <w:kern w:val="0"/>
          <w:sz w:val="24"/>
          <w:szCs w:val="24"/>
          <w:highlight w:val="none"/>
        </w:rPr>
      </w:pPr>
    </w:p>
    <w:p w14:paraId="34C36579">
      <w:pPr>
        <w:tabs>
          <w:tab w:val="left" w:pos="570"/>
        </w:tabs>
        <w:autoSpaceDE w:val="0"/>
        <w:autoSpaceDN w:val="0"/>
        <w:adjustRightInd w:val="0"/>
        <w:spacing w:line="360" w:lineRule="auto"/>
        <w:ind w:left="357" w:leftChars="-100" w:hanging="567"/>
        <w:jc w:val="left"/>
        <w:outlineLvl w:val="2"/>
        <w:rPr>
          <w:rFonts w:hint="eastAsia" w:ascii="宋体" w:hAnsi="宋体" w:eastAsia="宋体" w:cs="宋体"/>
          <w:b/>
          <w:color w:val="auto"/>
          <w:szCs w:val="21"/>
          <w:highlight w:val="none"/>
          <w:lang w:val="zh-CN" w:eastAsia="zh-CN"/>
        </w:rPr>
      </w:pPr>
      <w:bookmarkStart w:id="48" w:name="_Toc27747"/>
      <w:bookmarkStart w:id="49" w:name="_Toc32244"/>
      <w:bookmarkStart w:id="50" w:name="_Toc22316"/>
      <w:bookmarkStart w:id="51" w:name="_Toc195714218"/>
      <w:bookmarkStart w:id="52" w:name="_Toc18592"/>
      <w:bookmarkStart w:id="53" w:name="_Toc142508314"/>
      <w:bookmarkStart w:id="54" w:name="_Toc450662850"/>
      <w:bookmarkStart w:id="55" w:name="_Toc80_WPSOffice_Level3"/>
      <w:bookmarkStart w:id="56" w:name="_Toc18557"/>
      <w:bookmarkStart w:id="57" w:name="_Toc486167664"/>
      <w:bookmarkStart w:id="58" w:name="_Toc9225"/>
      <w:bookmarkStart w:id="59" w:name="_Toc22798"/>
      <w:r>
        <w:rPr>
          <w:rFonts w:hint="eastAsia" w:ascii="宋体" w:hAnsi="宋体" w:eastAsia="宋体" w:cs="宋体"/>
          <w:b/>
          <w:color w:val="auto"/>
          <w:szCs w:val="21"/>
          <w:highlight w:val="none"/>
          <w:lang w:val="zh-CN"/>
        </w:rPr>
        <w:t>2</w:t>
      </w:r>
      <w:r>
        <w:rPr>
          <w:rFonts w:ascii="宋体" w:hAnsi="宋体" w:eastAsia="宋体" w:cs="宋体"/>
          <w:b/>
          <w:color w:val="auto"/>
          <w:szCs w:val="21"/>
          <w:highlight w:val="none"/>
          <w:lang w:val="zh-CN"/>
        </w:rPr>
        <w:t xml:space="preserve"> </w:t>
      </w:r>
      <w:r>
        <w:rPr>
          <w:rFonts w:hint="eastAsia" w:ascii="宋体" w:hAnsi="宋体" w:eastAsia="宋体" w:cs="宋体"/>
          <w:b/>
          <w:color w:val="auto"/>
          <w:szCs w:val="21"/>
          <w:highlight w:val="none"/>
          <w:lang w:val="zh-CN"/>
        </w:rPr>
        <w:t>合格的</w:t>
      </w:r>
      <w:bookmarkEnd w:id="48"/>
      <w:bookmarkEnd w:id="49"/>
      <w:bookmarkEnd w:id="50"/>
      <w:bookmarkEnd w:id="51"/>
      <w:bookmarkEnd w:id="52"/>
      <w:bookmarkEnd w:id="53"/>
      <w:bookmarkEnd w:id="54"/>
      <w:bookmarkEnd w:id="55"/>
      <w:bookmarkEnd w:id="56"/>
      <w:bookmarkEnd w:id="57"/>
      <w:bookmarkEnd w:id="58"/>
      <w:r>
        <w:rPr>
          <w:rFonts w:hint="eastAsia" w:ascii="宋体" w:hAnsi="宋体" w:eastAsia="宋体" w:cs="宋体"/>
          <w:b/>
          <w:color w:val="auto"/>
          <w:szCs w:val="21"/>
          <w:highlight w:val="none"/>
          <w:lang w:val="en-US" w:eastAsia="zh-CN"/>
        </w:rPr>
        <w:t>投标人</w:t>
      </w:r>
      <w:bookmarkEnd w:id="59"/>
    </w:p>
    <w:p w14:paraId="382120AF">
      <w:pPr>
        <w:autoSpaceDE w:val="0"/>
        <w:autoSpaceDN w:val="0"/>
        <w:adjustRightInd w:val="0"/>
        <w:spacing w:line="360" w:lineRule="auto"/>
        <w:ind w:left="317" w:leftChars="-100" w:hanging="527" w:hangingChars="250"/>
        <w:rPr>
          <w:rFonts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 xml:space="preserve">2.1  </w:t>
      </w:r>
      <w:r>
        <w:rPr>
          <w:rFonts w:hint="eastAsia" w:ascii="宋体" w:hAnsi="宋体" w:eastAsia="宋体" w:cs="宋体"/>
          <w:b/>
          <w:color w:val="auto"/>
          <w:szCs w:val="21"/>
          <w:highlight w:val="none"/>
          <w:u w:val="single"/>
          <w:lang w:val="zh-CN"/>
        </w:rPr>
        <w:t>合格的投标人条件见第一篇《招标公告》中第</w:t>
      </w:r>
      <w:r>
        <w:rPr>
          <w:rFonts w:ascii="宋体" w:hAnsi="宋体" w:eastAsia="宋体" w:cs="宋体"/>
          <w:b/>
          <w:color w:val="auto"/>
          <w:szCs w:val="21"/>
          <w:highlight w:val="none"/>
          <w:u w:val="single"/>
          <w:lang w:val="zh-CN"/>
        </w:rPr>
        <w:t>2</w:t>
      </w:r>
      <w:r>
        <w:rPr>
          <w:rFonts w:hint="eastAsia" w:ascii="宋体" w:hAnsi="宋体" w:eastAsia="宋体" w:cs="宋体"/>
          <w:b/>
          <w:color w:val="auto"/>
          <w:szCs w:val="21"/>
          <w:highlight w:val="none"/>
          <w:u w:val="single"/>
          <w:lang w:val="zh-CN"/>
        </w:rPr>
        <w:t>条的“合格投标人资格要求”及本条以下2.2款至</w:t>
      </w:r>
      <w:r>
        <w:rPr>
          <w:rFonts w:hint="eastAsia" w:ascii="宋体" w:hAnsi="宋体" w:eastAsia="宋体" w:cs="宋体"/>
          <w:b/>
          <w:color w:val="auto"/>
          <w:szCs w:val="21"/>
          <w:highlight w:val="none"/>
          <w:u w:val="single"/>
        </w:rPr>
        <w:t>2.5</w:t>
      </w:r>
      <w:r>
        <w:rPr>
          <w:rFonts w:hint="eastAsia" w:ascii="宋体" w:hAnsi="宋体" w:eastAsia="宋体" w:cs="宋体"/>
          <w:b/>
          <w:color w:val="auto"/>
          <w:szCs w:val="21"/>
          <w:highlight w:val="none"/>
          <w:u w:val="single"/>
          <w:lang w:val="zh-CN"/>
        </w:rPr>
        <w:t>款的通用要求</w:t>
      </w:r>
      <w:r>
        <w:rPr>
          <w:rFonts w:hint="eastAsia" w:ascii="宋体" w:hAnsi="宋体" w:eastAsia="宋体" w:cs="宋体"/>
          <w:b/>
          <w:color w:val="auto"/>
          <w:szCs w:val="21"/>
          <w:highlight w:val="none"/>
          <w:lang w:val="zh-CN"/>
        </w:rPr>
        <w:t>。</w:t>
      </w:r>
    </w:p>
    <w:p w14:paraId="729686F7">
      <w:pPr>
        <w:autoSpaceDE w:val="0"/>
        <w:autoSpaceDN w:val="0"/>
        <w:adjustRightInd w:val="0"/>
        <w:spacing w:line="360" w:lineRule="auto"/>
        <w:ind w:left="359" w:leftChars="-100" w:hanging="569" w:hangingChars="270"/>
        <w:rPr>
          <w:rFonts w:ascii="宋体" w:hAnsi="宋体" w:eastAsia="宋体" w:cs="宋体"/>
          <w:b/>
          <w:color w:val="auto"/>
          <w:kern w:val="0"/>
          <w:szCs w:val="21"/>
          <w:highlight w:val="none"/>
        </w:rPr>
      </w:pPr>
      <w:r>
        <w:rPr>
          <w:rFonts w:hint="eastAsia" w:ascii="宋体" w:hAnsi="宋体" w:eastAsia="宋体" w:cs="宋体"/>
          <w:b/>
          <w:color w:val="auto"/>
          <w:kern w:val="0"/>
          <w:szCs w:val="24"/>
          <w:highlight w:val="none"/>
        </w:rPr>
        <w:t xml:space="preserve">2.2  </w:t>
      </w:r>
      <w:r>
        <w:rPr>
          <w:rFonts w:hint="eastAsia" w:ascii="宋体" w:hAnsi="宋体" w:eastAsia="宋体" w:cs="宋体"/>
          <w:b/>
          <w:color w:val="auto"/>
          <w:kern w:val="0"/>
          <w:szCs w:val="24"/>
          <w:highlight w:val="none"/>
          <w:u w:val="single"/>
          <w:lang w:val="zh-CN"/>
        </w:rPr>
        <w:t>投标人在参加本项目投标前的三年内不得在投标活动中存在《中华人民共和国招标投标法》第五十三条（相互串通投标或者与招标人串通投标，以向招标人或者评标委员会成员行贿的手段谋取中标）、第五十四条（以他人名义投标或者以其他方式弄虚作假，骗取中标）、第六十条（中标人不履行与招标人订立的合同）、《中华人民共和国招标投标法实施条例》第七十六条（将中标项目转让给他人的，将中标项目肢解后分别转让给他人的，违反招标投标法和本条例规定将中标项目的部分主体、关键性工作分包给他人的，或者分包人再次分包）、第七十七条（捏造事实、伪造材料或者以非法手段取得证明材料进行投诉）规定的违法行为，而受到各级管理部门的处罚。投标人存在前述处罚的，在投标文件中必须主动按招标文件的要求填报“最近3年投标人牵涉的其他（失信和违法）处罚说明”，如果不主动填报而被事后发现的，将取消其入库资格，并按有关规定从重处理</w:t>
      </w:r>
      <w:r>
        <w:rPr>
          <w:rFonts w:hint="eastAsia" w:ascii="宋体" w:hAnsi="宋体" w:eastAsia="宋体" w:cs="宋体"/>
          <w:b/>
          <w:color w:val="auto"/>
          <w:kern w:val="0"/>
          <w:szCs w:val="21"/>
          <w:highlight w:val="none"/>
        </w:rPr>
        <w:t>。</w:t>
      </w:r>
    </w:p>
    <w:p w14:paraId="477DB0DD">
      <w:pPr>
        <w:autoSpaceDE w:val="0"/>
        <w:autoSpaceDN w:val="0"/>
        <w:adjustRightInd w:val="0"/>
        <w:spacing w:line="360" w:lineRule="auto"/>
        <w:ind w:left="317" w:leftChars="-100" w:hanging="527" w:hangingChars="250"/>
        <w:rPr>
          <w:rFonts w:ascii="宋体" w:hAnsi="宋体" w:eastAsia="宋体" w:cs="宋体"/>
          <w:b/>
          <w:color w:val="auto"/>
          <w:szCs w:val="21"/>
          <w:highlight w:val="none"/>
          <w:lang w:val="zh-CN"/>
        </w:rPr>
      </w:pPr>
      <w:r>
        <w:rPr>
          <w:rFonts w:hint="eastAsia" w:ascii="宋体" w:hAnsi="宋体" w:eastAsia="宋体" w:cs="宋体"/>
          <w:b/>
          <w:color w:val="auto"/>
          <w:kern w:val="0"/>
          <w:szCs w:val="21"/>
          <w:highlight w:val="none"/>
          <w:lang w:val="zh-CN"/>
        </w:rPr>
        <w:t>2.</w:t>
      </w:r>
      <w:r>
        <w:rPr>
          <w:rFonts w:ascii="宋体" w:hAnsi="宋体" w:eastAsia="宋体" w:cs="宋体"/>
          <w:b/>
          <w:color w:val="auto"/>
          <w:kern w:val="0"/>
          <w:szCs w:val="21"/>
          <w:highlight w:val="none"/>
          <w:lang w:val="zh-CN"/>
        </w:rPr>
        <w:t>3</w:t>
      </w:r>
      <w:r>
        <w:rPr>
          <w:rFonts w:hint="eastAsia" w:ascii="宋体" w:hAnsi="宋体" w:eastAsia="宋体" w:cs="宋体"/>
          <w:b/>
          <w:color w:val="auto"/>
          <w:kern w:val="0"/>
          <w:szCs w:val="21"/>
          <w:highlight w:val="none"/>
          <w:lang w:val="zh-CN"/>
        </w:rPr>
        <w:t xml:space="preserve">  </w:t>
      </w:r>
      <w:r>
        <w:rPr>
          <w:rFonts w:hint="eastAsia" w:ascii="宋体" w:hAnsi="宋体" w:eastAsia="宋体" w:cs="宋体"/>
          <w:b/>
          <w:color w:val="auto"/>
          <w:kern w:val="0"/>
          <w:szCs w:val="21"/>
          <w:highlight w:val="none"/>
          <w:u w:val="single"/>
          <w:lang w:val="zh-CN"/>
        </w:rPr>
        <w:t>投标人</w:t>
      </w:r>
      <w:r>
        <w:rPr>
          <w:rFonts w:hint="eastAsia" w:ascii="宋体" w:hAnsi="宋体" w:eastAsia="宋体" w:cs="宋体"/>
          <w:b/>
          <w:color w:val="auto"/>
          <w:szCs w:val="21"/>
          <w:highlight w:val="none"/>
          <w:u w:val="single"/>
          <w:lang w:val="zh-CN"/>
        </w:rPr>
        <w:t>符合</w:t>
      </w:r>
      <w:r>
        <w:rPr>
          <w:rFonts w:hint="eastAsia" w:ascii="宋体" w:hAnsi="宋体" w:eastAsia="宋体" w:cs="宋体"/>
          <w:b/>
          <w:color w:val="auto"/>
          <w:kern w:val="0"/>
          <w:szCs w:val="24"/>
          <w:highlight w:val="none"/>
          <w:u w:val="single"/>
          <w:lang w:val="zh-CN"/>
        </w:rPr>
        <w:t>《中华人民共和国招标投标法</w:t>
      </w:r>
      <w:r>
        <w:rPr>
          <w:rFonts w:hint="eastAsia" w:ascii="宋体" w:hAnsi="宋体" w:eastAsia="宋体" w:cs="宋体"/>
          <w:b/>
          <w:color w:val="auto"/>
          <w:szCs w:val="21"/>
          <w:highlight w:val="none"/>
          <w:u w:val="single"/>
          <w:lang w:val="zh-CN"/>
        </w:rPr>
        <w:t>》第二十六条规定</w:t>
      </w:r>
      <w:r>
        <w:rPr>
          <w:rFonts w:hint="eastAsia" w:ascii="宋体" w:hAnsi="宋体" w:eastAsia="宋体" w:cs="宋体"/>
          <w:b/>
          <w:color w:val="auto"/>
          <w:szCs w:val="21"/>
          <w:highlight w:val="none"/>
          <w:lang w:val="zh-CN"/>
        </w:rPr>
        <w:t>。</w:t>
      </w:r>
    </w:p>
    <w:p w14:paraId="5D89EEA3">
      <w:pPr>
        <w:autoSpaceDE w:val="0"/>
        <w:autoSpaceDN w:val="0"/>
        <w:adjustRightInd w:val="0"/>
        <w:spacing w:line="360" w:lineRule="auto"/>
        <w:ind w:left="359" w:leftChars="-99" w:hanging="567" w:hangingChars="269"/>
        <w:rPr>
          <w:rFonts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2.</w:t>
      </w:r>
      <w:r>
        <w:rPr>
          <w:rFonts w:ascii="宋体" w:hAnsi="宋体" w:eastAsia="宋体" w:cs="宋体"/>
          <w:b/>
          <w:color w:val="auto"/>
          <w:kern w:val="0"/>
          <w:szCs w:val="21"/>
          <w:highlight w:val="none"/>
        </w:rPr>
        <w:t>4</w:t>
      </w:r>
      <w:r>
        <w:rPr>
          <w:rFonts w:hint="eastAsia" w:ascii="宋体" w:hAnsi="宋体" w:eastAsia="宋体" w:cs="宋体"/>
          <w:b/>
          <w:color w:val="auto"/>
          <w:kern w:val="0"/>
          <w:szCs w:val="21"/>
          <w:highlight w:val="none"/>
        </w:rPr>
        <w:t xml:space="preserve">  </w:t>
      </w:r>
      <w:r>
        <w:rPr>
          <w:rFonts w:hint="eastAsia" w:ascii="宋体" w:hAnsi="宋体" w:eastAsia="宋体" w:cs="宋体"/>
          <w:b/>
          <w:color w:val="auto"/>
          <w:kern w:val="0"/>
          <w:szCs w:val="21"/>
          <w:highlight w:val="none"/>
          <w:u w:val="single"/>
          <w:lang w:val="zh-CN"/>
        </w:rPr>
        <w:t>投标人</w:t>
      </w:r>
      <w:r>
        <w:rPr>
          <w:rFonts w:hint="eastAsia" w:ascii="宋体" w:hAnsi="宋体" w:eastAsia="宋体" w:cs="Times New Roman"/>
          <w:b/>
          <w:color w:val="auto"/>
          <w:kern w:val="0"/>
          <w:szCs w:val="21"/>
          <w:highlight w:val="none"/>
          <w:u w:val="single"/>
        </w:rPr>
        <w:t>（含其不具有独立法人资格的分支机构）未被列入“信用中国”网站（ www.creditchina.gov.cn）失信被执行人、重大税收违法失信主体、政府采购严重违法失信行为记录名单（处罚期限届满的除外）</w:t>
      </w:r>
      <w:r>
        <w:rPr>
          <w:rFonts w:hint="eastAsia" w:ascii="宋体" w:hAnsi="宋体" w:eastAsia="宋体" w:cs="宋体"/>
          <w:b/>
          <w:color w:val="auto"/>
          <w:kern w:val="0"/>
          <w:szCs w:val="21"/>
          <w:highlight w:val="none"/>
        </w:rPr>
        <w:t>。</w:t>
      </w:r>
    </w:p>
    <w:p w14:paraId="633B25EA">
      <w:pPr>
        <w:autoSpaceDE w:val="0"/>
        <w:autoSpaceDN w:val="0"/>
        <w:adjustRightInd w:val="0"/>
        <w:spacing w:line="360" w:lineRule="auto"/>
        <w:ind w:left="317" w:leftChars="-100" w:hanging="527" w:hangingChars="250"/>
        <w:rPr>
          <w:rFonts w:ascii="宋体" w:hAnsi="宋体" w:eastAsia="宋体" w:cs="宋体"/>
          <w:b/>
          <w:color w:val="auto"/>
          <w:kern w:val="0"/>
          <w:szCs w:val="21"/>
          <w:highlight w:val="none"/>
          <w:lang w:val="zh-CN"/>
        </w:rPr>
      </w:pPr>
      <w:r>
        <w:rPr>
          <w:rFonts w:hint="eastAsia" w:ascii="宋体" w:hAnsi="宋体" w:eastAsia="宋体" w:cs="宋体"/>
          <w:b/>
          <w:color w:val="auto"/>
          <w:szCs w:val="21"/>
          <w:highlight w:val="none"/>
          <w:lang w:val="zh-CN"/>
        </w:rPr>
        <w:t>2.</w:t>
      </w:r>
      <w:r>
        <w:rPr>
          <w:rFonts w:ascii="宋体" w:hAnsi="宋体" w:eastAsia="宋体" w:cs="宋体"/>
          <w:b/>
          <w:color w:val="auto"/>
          <w:szCs w:val="21"/>
          <w:highlight w:val="none"/>
          <w:lang w:val="zh-CN"/>
        </w:rPr>
        <w:t>5</w:t>
      </w:r>
      <w:r>
        <w:rPr>
          <w:rFonts w:hint="eastAsia" w:ascii="宋体" w:hAnsi="宋体" w:eastAsia="宋体" w:cs="宋体"/>
          <w:b/>
          <w:color w:val="auto"/>
          <w:szCs w:val="21"/>
          <w:highlight w:val="none"/>
          <w:lang w:val="zh-CN"/>
        </w:rPr>
        <w:t xml:space="preserve">  </w:t>
      </w:r>
      <w:r>
        <w:rPr>
          <w:rFonts w:hint="eastAsia" w:ascii="宋体" w:hAnsi="宋体" w:eastAsia="宋体" w:cs="Times New Roman"/>
          <w:b/>
          <w:color w:val="auto"/>
          <w:kern w:val="0"/>
          <w:szCs w:val="21"/>
          <w:highlight w:val="none"/>
          <w:u w:val="single"/>
        </w:rPr>
        <w:t>根据《中华人民共和国招标投标法实施条例》第三十四条规定，与</w:t>
      </w:r>
      <w:r>
        <w:rPr>
          <w:rFonts w:hint="eastAsia" w:ascii="宋体" w:hAnsi="宋体" w:eastAsia="宋体" w:cs="Times New Roman"/>
          <w:b/>
          <w:color w:val="auto"/>
          <w:kern w:val="0"/>
          <w:szCs w:val="21"/>
          <w:highlight w:val="none"/>
          <w:u w:val="single"/>
          <w:lang w:eastAsia="zh-CN"/>
        </w:rPr>
        <w:t>招标</w:t>
      </w:r>
      <w:r>
        <w:rPr>
          <w:rFonts w:hint="eastAsia" w:ascii="宋体" w:hAnsi="宋体" w:eastAsia="宋体" w:cs="Times New Roman"/>
          <w:b/>
          <w:color w:val="auto"/>
          <w:kern w:val="0"/>
          <w:szCs w:val="21"/>
          <w:highlight w:val="none"/>
          <w:u w:val="single"/>
        </w:rPr>
        <w:t>人存在利害关系可能影响</w:t>
      </w:r>
      <w:r>
        <w:rPr>
          <w:rFonts w:hint="eastAsia" w:ascii="宋体" w:hAnsi="宋体" w:eastAsia="宋体" w:cs="Times New Roman"/>
          <w:b/>
          <w:color w:val="auto"/>
          <w:kern w:val="0"/>
          <w:szCs w:val="21"/>
          <w:highlight w:val="none"/>
          <w:u w:val="single"/>
          <w:lang w:eastAsia="zh-CN"/>
        </w:rPr>
        <w:t>招标</w:t>
      </w:r>
      <w:r>
        <w:rPr>
          <w:rFonts w:hint="eastAsia" w:ascii="宋体" w:hAnsi="宋体" w:eastAsia="宋体" w:cs="Times New Roman"/>
          <w:b/>
          <w:color w:val="auto"/>
          <w:kern w:val="0"/>
          <w:szCs w:val="21"/>
          <w:highlight w:val="none"/>
          <w:u w:val="single"/>
        </w:rPr>
        <w:t>公正性的法人、其他组织或者个人，不得参加</w:t>
      </w:r>
      <w:r>
        <w:rPr>
          <w:rFonts w:hint="eastAsia" w:ascii="宋体" w:hAnsi="宋体" w:eastAsia="宋体" w:cs="Times New Roman"/>
          <w:b/>
          <w:color w:val="auto"/>
          <w:kern w:val="0"/>
          <w:szCs w:val="21"/>
          <w:highlight w:val="none"/>
          <w:u w:val="single"/>
          <w:lang w:eastAsia="zh-CN"/>
        </w:rPr>
        <w:t>投标</w:t>
      </w:r>
      <w:r>
        <w:rPr>
          <w:rFonts w:hint="eastAsia" w:ascii="宋体" w:hAnsi="宋体" w:eastAsia="宋体" w:cs="Times New Roman"/>
          <w:b/>
          <w:color w:val="auto"/>
          <w:kern w:val="0"/>
          <w:szCs w:val="21"/>
          <w:highlight w:val="none"/>
          <w:u w:val="single"/>
        </w:rPr>
        <w:t>；</w:t>
      </w:r>
      <w:r>
        <w:rPr>
          <w:rFonts w:hint="eastAsia" w:ascii="宋体" w:hAnsi="宋体" w:eastAsia="宋体" w:cs="Times New Roman"/>
          <w:b/>
          <w:color w:val="auto"/>
          <w:kern w:val="0"/>
          <w:szCs w:val="21"/>
          <w:highlight w:val="none"/>
          <w:u w:val="single"/>
          <w:lang w:eastAsia="zh-CN"/>
        </w:rPr>
        <w:t>投标人</w:t>
      </w:r>
      <w:r>
        <w:rPr>
          <w:rFonts w:hint="eastAsia" w:ascii="宋体" w:hAnsi="宋体" w:eastAsia="宋体" w:cs="Times New Roman"/>
          <w:b/>
          <w:color w:val="auto"/>
          <w:kern w:val="0"/>
          <w:szCs w:val="21"/>
          <w:highlight w:val="none"/>
          <w:u w:val="single"/>
        </w:rPr>
        <w:t>负责人为同一人或者存在控股、管理关系的不同</w:t>
      </w:r>
      <w:r>
        <w:rPr>
          <w:rFonts w:hint="eastAsia" w:ascii="宋体" w:hAnsi="宋体" w:eastAsia="宋体" w:cs="Times New Roman"/>
          <w:b/>
          <w:color w:val="auto"/>
          <w:kern w:val="0"/>
          <w:szCs w:val="21"/>
          <w:highlight w:val="none"/>
          <w:u w:val="single"/>
          <w:lang w:eastAsia="zh-CN"/>
        </w:rPr>
        <w:t>投标人</w:t>
      </w:r>
      <w:r>
        <w:rPr>
          <w:rFonts w:hint="eastAsia" w:ascii="宋体" w:hAnsi="宋体" w:eastAsia="宋体" w:cs="Times New Roman"/>
          <w:b/>
          <w:color w:val="auto"/>
          <w:kern w:val="0"/>
          <w:szCs w:val="21"/>
          <w:highlight w:val="none"/>
          <w:u w:val="single"/>
        </w:rPr>
        <w:t>，不得参加同一项目</w:t>
      </w:r>
      <w:r>
        <w:rPr>
          <w:rFonts w:hint="eastAsia" w:ascii="宋体" w:hAnsi="宋体" w:eastAsia="宋体" w:cs="Times New Roman"/>
          <w:b/>
          <w:color w:val="auto"/>
          <w:kern w:val="0"/>
          <w:szCs w:val="21"/>
          <w:highlight w:val="none"/>
          <w:u w:val="single"/>
          <w:lang w:eastAsia="zh-CN"/>
        </w:rPr>
        <w:t>投标</w:t>
      </w:r>
      <w:r>
        <w:rPr>
          <w:rFonts w:hint="eastAsia" w:ascii="宋体" w:hAnsi="宋体" w:eastAsia="宋体" w:cs="Times New Roman"/>
          <w:b/>
          <w:color w:val="auto"/>
          <w:kern w:val="0"/>
          <w:szCs w:val="21"/>
          <w:highlight w:val="none"/>
          <w:u w:val="single"/>
        </w:rPr>
        <w:t>。上述情况一经发现，相关</w:t>
      </w:r>
      <w:r>
        <w:rPr>
          <w:rFonts w:hint="eastAsia" w:ascii="宋体" w:hAnsi="宋体" w:eastAsia="宋体" w:cs="Times New Roman"/>
          <w:b/>
          <w:color w:val="auto"/>
          <w:kern w:val="0"/>
          <w:szCs w:val="21"/>
          <w:highlight w:val="none"/>
          <w:u w:val="single"/>
          <w:lang w:eastAsia="zh-CN"/>
        </w:rPr>
        <w:t>投标</w:t>
      </w:r>
      <w:r>
        <w:rPr>
          <w:rFonts w:hint="eastAsia" w:ascii="宋体" w:hAnsi="宋体" w:eastAsia="宋体" w:cs="Times New Roman"/>
          <w:b/>
          <w:color w:val="auto"/>
          <w:kern w:val="0"/>
          <w:szCs w:val="21"/>
          <w:highlight w:val="none"/>
          <w:u w:val="single"/>
        </w:rPr>
        <w:t>均无效</w:t>
      </w:r>
      <w:r>
        <w:rPr>
          <w:rFonts w:hint="eastAsia" w:ascii="宋体" w:hAnsi="宋体" w:eastAsia="宋体" w:cs="宋体"/>
          <w:b/>
          <w:color w:val="auto"/>
          <w:szCs w:val="21"/>
          <w:highlight w:val="none"/>
          <w:lang w:val="zh-CN"/>
        </w:rPr>
        <w:t>。</w:t>
      </w:r>
    </w:p>
    <w:p w14:paraId="17C23908">
      <w:pPr>
        <w:tabs>
          <w:tab w:val="left" w:pos="426"/>
        </w:tabs>
        <w:autoSpaceDE w:val="0"/>
        <w:autoSpaceDN w:val="0"/>
        <w:adjustRightInd w:val="0"/>
        <w:spacing w:line="360" w:lineRule="auto"/>
        <w:ind w:left="319" w:leftChars="-100" w:hanging="529" w:hangingChars="252"/>
        <w:rPr>
          <w:rFonts w:ascii="宋体" w:hAnsi="宋体" w:eastAsia="宋体" w:cs="宋体"/>
          <w:color w:val="auto"/>
          <w:kern w:val="0"/>
          <w:szCs w:val="24"/>
          <w:highlight w:val="none"/>
        </w:rPr>
      </w:pPr>
    </w:p>
    <w:p w14:paraId="158553D3">
      <w:pPr>
        <w:tabs>
          <w:tab w:val="left" w:pos="570"/>
        </w:tabs>
        <w:adjustRightInd w:val="0"/>
        <w:spacing w:line="360" w:lineRule="auto"/>
        <w:ind w:left="357" w:leftChars="-100" w:hanging="567"/>
        <w:jc w:val="left"/>
        <w:outlineLvl w:val="2"/>
        <w:rPr>
          <w:rFonts w:ascii="宋体" w:hAnsi="宋体" w:eastAsia="宋体" w:cs="宋体"/>
          <w:b/>
          <w:color w:val="auto"/>
          <w:szCs w:val="21"/>
          <w:highlight w:val="none"/>
          <w:lang w:val="zh-CN"/>
        </w:rPr>
      </w:pPr>
      <w:bookmarkStart w:id="60" w:name="_Toc28856"/>
      <w:bookmarkStart w:id="61" w:name="_Toc29892"/>
      <w:bookmarkStart w:id="62" w:name="_Toc195714219"/>
      <w:bookmarkStart w:id="63" w:name="_Toc12283"/>
      <w:bookmarkStart w:id="64" w:name="_Toc16764"/>
      <w:bookmarkStart w:id="65" w:name="_Toc4066"/>
      <w:bookmarkStart w:id="66" w:name="_Toc8199"/>
      <w:bookmarkStart w:id="67" w:name="_Toc15305"/>
      <w:bookmarkStart w:id="68" w:name="_Toc23847_WPSOffice_Level3"/>
      <w:bookmarkStart w:id="69" w:name="_Toc11689"/>
      <w:bookmarkStart w:id="70" w:name="_Toc142508315"/>
      <w:bookmarkStart w:id="71" w:name="_Toc19774"/>
      <w:bookmarkStart w:id="72" w:name="_Toc486167665"/>
      <w:bookmarkStart w:id="73" w:name="_Toc450662851"/>
      <w:r>
        <w:rPr>
          <w:rFonts w:hint="eastAsia" w:ascii="宋体" w:hAnsi="宋体" w:eastAsia="宋体" w:cs="宋体"/>
          <w:b/>
          <w:color w:val="auto"/>
          <w:szCs w:val="21"/>
          <w:highlight w:val="none"/>
          <w:lang w:val="zh-CN"/>
        </w:rPr>
        <w:t>3</w:t>
      </w:r>
      <w:r>
        <w:rPr>
          <w:rFonts w:ascii="宋体" w:hAnsi="宋体" w:eastAsia="宋体" w:cs="宋体"/>
          <w:b/>
          <w:color w:val="auto"/>
          <w:szCs w:val="21"/>
          <w:highlight w:val="none"/>
          <w:lang w:val="zh-CN"/>
        </w:rPr>
        <w:t xml:space="preserve"> </w:t>
      </w:r>
      <w:r>
        <w:rPr>
          <w:rFonts w:hint="eastAsia" w:ascii="宋体" w:hAnsi="宋体" w:eastAsia="宋体" w:cs="宋体"/>
          <w:b/>
          <w:color w:val="auto"/>
          <w:szCs w:val="21"/>
          <w:highlight w:val="none"/>
          <w:lang w:val="zh-CN"/>
        </w:rPr>
        <w:t>合格的</w:t>
      </w:r>
      <w:bookmarkEnd w:id="60"/>
      <w:bookmarkEnd w:id="61"/>
      <w:bookmarkEnd w:id="62"/>
      <w:bookmarkEnd w:id="63"/>
      <w:bookmarkEnd w:id="64"/>
      <w:bookmarkEnd w:id="65"/>
      <w:bookmarkEnd w:id="66"/>
      <w:r>
        <w:rPr>
          <w:rFonts w:hint="eastAsia" w:ascii="宋体" w:hAnsi="宋体" w:eastAsia="宋体" w:cs="宋体"/>
          <w:b/>
          <w:color w:val="auto"/>
          <w:szCs w:val="21"/>
          <w:highlight w:val="none"/>
          <w:lang w:val="zh-CN"/>
        </w:rPr>
        <w:t>服务</w:t>
      </w:r>
      <w:bookmarkEnd w:id="67"/>
    </w:p>
    <w:p w14:paraId="3629F8CB">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ascii="宋体" w:hAnsi="宋体" w:eastAsia="宋体" w:cs="Times New Roman"/>
          <w:color w:val="auto"/>
          <w:szCs w:val="21"/>
          <w:highlight w:val="none"/>
          <w:lang w:val="zh-CN"/>
        </w:rPr>
        <w:t>3.</w:t>
      </w:r>
      <w:r>
        <w:rPr>
          <w:rFonts w:hint="eastAsia" w:ascii="宋体" w:hAnsi="宋体" w:eastAsia="宋体" w:cs="Times New Roman"/>
          <w:color w:val="auto"/>
          <w:szCs w:val="21"/>
          <w:highlight w:val="none"/>
          <w:lang w:val="zh-CN"/>
        </w:rPr>
        <w:t>1</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lang w:val="zh-CN"/>
        </w:rPr>
        <w:t>“服务”是指投标人按招标文件规定完成的全部服务内容，其中包括完成服务所需的货物和工程，及须承担的技术支持、培训和其它伴随服务。</w:t>
      </w:r>
    </w:p>
    <w:p w14:paraId="327DDA24">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3.2  投标人必须保证提供的所有服务或服务的任何部分均为最新正式版本。</w:t>
      </w:r>
    </w:p>
    <w:p w14:paraId="7239DDD1">
      <w:pPr>
        <w:autoSpaceDE w:val="0"/>
        <w:autoSpaceDN w:val="0"/>
        <w:adjustRightInd w:val="0"/>
        <w:spacing w:line="360" w:lineRule="auto"/>
        <w:ind w:left="315" w:leftChars="-100" w:hanging="525" w:hangingChars="250"/>
        <w:rPr>
          <w:rFonts w:ascii="宋体" w:hAnsi="宋体" w:eastAsia="宋体" w:cs="Times New Roman"/>
          <w:color w:val="auto"/>
          <w:kern w:val="0"/>
          <w:szCs w:val="21"/>
          <w:highlight w:val="none"/>
        </w:rPr>
      </w:pP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val="zh-CN"/>
        </w:rPr>
        <w:t xml:space="preserve">  </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应保证</w:t>
      </w:r>
      <w:r>
        <w:rPr>
          <w:rFonts w:hint="eastAsia" w:ascii="宋体" w:hAnsi="宋体" w:eastAsia="宋体" w:cs="Times New Roman"/>
          <w:color w:val="auto"/>
          <w:kern w:val="0"/>
          <w:szCs w:val="21"/>
          <w:highlight w:val="none"/>
          <w:lang w:eastAsia="zh-CN"/>
        </w:rPr>
        <w:t>招标人</w:t>
      </w:r>
      <w:r>
        <w:rPr>
          <w:rFonts w:hint="eastAsia" w:ascii="宋体" w:hAnsi="宋体" w:eastAsia="宋体" w:cs="Times New Roman"/>
          <w:color w:val="auto"/>
          <w:kern w:val="0"/>
          <w:szCs w:val="21"/>
          <w:highlight w:val="none"/>
        </w:rPr>
        <w:t>在中华人民共和国使用服务或服务的任何一部分时，</w:t>
      </w:r>
      <w:r>
        <w:rPr>
          <w:rFonts w:hint="eastAsia" w:ascii="宋体" w:hAnsi="宋体" w:eastAsia="宋体" w:cs="Times New Roman"/>
          <w:color w:val="auto"/>
          <w:kern w:val="0"/>
          <w:szCs w:val="21"/>
          <w:highlight w:val="none"/>
          <w:lang w:eastAsia="zh-CN"/>
        </w:rPr>
        <w:t>招标人</w:t>
      </w:r>
      <w:r>
        <w:rPr>
          <w:rFonts w:hint="eastAsia" w:ascii="宋体" w:hAnsi="宋体" w:eastAsia="宋体" w:cs="Times New Roman"/>
          <w:color w:val="auto"/>
          <w:kern w:val="0"/>
          <w:szCs w:val="21"/>
          <w:highlight w:val="none"/>
        </w:rPr>
        <w:t>免受第三方提出侵犯其专利权、商标权或其它知识产权的起诉。如果</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不拥有相应的知识产权，则须在报价中包括合法获取该知识产权的相关费用，并在</w:t>
      </w:r>
      <w:r>
        <w:rPr>
          <w:rFonts w:hint="eastAsia" w:ascii="宋体" w:hAnsi="宋体" w:eastAsia="宋体" w:cs="Times New Roman"/>
          <w:color w:val="auto"/>
          <w:kern w:val="0"/>
          <w:szCs w:val="21"/>
          <w:highlight w:val="none"/>
          <w:lang w:val="en-US" w:eastAsia="zh-CN"/>
        </w:rPr>
        <w:t>招标</w:t>
      </w:r>
      <w:r>
        <w:rPr>
          <w:rFonts w:hint="eastAsia" w:ascii="宋体" w:hAnsi="宋体" w:eastAsia="宋体" w:cs="Times New Roman"/>
          <w:color w:val="auto"/>
          <w:kern w:val="0"/>
          <w:szCs w:val="21"/>
          <w:highlight w:val="none"/>
          <w:lang w:eastAsia="zh-CN"/>
        </w:rPr>
        <w:t>文件</w:t>
      </w:r>
      <w:r>
        <w:rPr>
          <w:rFonts w:hint="eastAsia" w:ascii="宋体" w:hAnsi="宋体" w:eastAsia="宋体" w:cs="Times New Roman"/>
          <w:color w:val="auto"/>
          <w:kern w:val="0"/>
          <w:szCs w:val="21"/>
          <w:highlight w:val="none"/>
        </w:rPr>
        <w:t>中附有相关证明文件。如有违反，造成</w:t>
      </w:r>
      <w:r>
        <w:rPr>
          <w:rFonts w:hint="eastAsia" w:ascii="宋体" w:hAnsi="宋体" w:eastAsia="宋体" w:cs="Times New Roman"/>
          <w:color w:val="auto"/>
          <w:kern w:val="0"/>
          <w:szCs w:val="21"/>
          <w:highlight w:val="none"/>
          <w:lang w:eastAsia="zh-CN"/>
        </w:rPr>
        <w:t>招标人</w:t>
      </w:r>
      <w:r>
        <w:rPr>
          <w:rFonts w:hint="eastAsia" w:ascii="宋体" w:hAnsi="宋体" w:eastAsia="宋体" w:cs="Times New Roman"/>
          <w:color w:val="auto"/>
          <w:kern w:val="0"/>
          <w:szCs w:val="21"/>
          <w:highlight w:val="none"/>
        </w:rPr>
        <w:t>任何经济损失或其他损失的，由</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承担全部赔偿责任。</w:t>
      </w:r>
    </w:p>
    <w:p w14:paraId="24A1E60C">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val="zh-CN"/>
        </w:rPr>
        <w:t xml:space="preserve">  无论投标人</w:t>
      </w:r>
      <w:r>
        <w:rPr>
          <w:rFonts w:hint="eastAsia" w:ascii="宋体" w:hAnsi="宋体" w:eastAsia="宋体" w:cs="Times New Roman"/>
          <w:color w:val="auto"/>
          <w:kern w:val="0"/>
          <w:szCs w:val="21"/>
          <w:highlight w:val="none"/>
        </w:rPr>
        <w:t>是否在</w:t>
      </w:r>
      <w:r>
        <w:rPr>
          <w:rFonts w:hint="eastAsia" w:ascii="宋体" w:hAnsi="宋体" w:eastAsia="宋体" w:cs="宋体"/>
          <w:color w:val="auto"/>
          <w:kern w:val="0"/>
          <w:szCs w:val="21"/>
          <w:highlight w:val="none"/>
        </w:rPr>
        <w:t>投标</w:t>
      </w:r>
      <w:r>
        <w:rPr>
          <w:rFonts w:hint="eastAsia" w:ascii="宋体" w:hAnsi="宋体" w:eastAsia="宋体" w:cs="Times New Roman"/>
          <w:color w:val="auto"/>
          <w:kern w:val="0"/>
          <w:szCs w:val="21"/>
          <w:highlight w:val="none"/>
        </w:rPr>
        <w:t>报价表中明示，均视为</w:t>
      </w:r>
      <w:r>
        <w:rPr>
          <w:rFonts w:hint="eastAsia" w:ascii="宋体" w:hAnsi="宋体" w:eastAsia="宋体" w:cs="宋体"/>
          <w:color w:val="auto"/>
          <w:kern w:val="0"/>
          <w:szCs w:val="21"/>
          <w:highlight w:val="none"/>
        </w:rPr>
        <w:t>投标</w:t>
      </w:r>
      <w:r>
        <w:rPr>
          <w:rFonts w:hint="eastAsia" w:ascii="宋体" w:hAnsi="宋体" w:eastAsia="宋体" w:cs="Times New Roman"/>
          <w:color w:val="auto"/>
          <w:kern w:val="0"/>
          <w:szCs w:val="21"/>
          <w:highlight w:val="none"/>
        </w:rPr>
        <w:t>报价已包含所有应支付的对专利权、商标权和版权、设计或其他知识产权而需要向其他方支付的版税和使用费等相关费用。如</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未依法向第三方支付应缴版税和使用费等相关费用的，造成</w:t>
      </w:r>
      <w:r>
        <w:rPr>
          <w:rFonts w:hint="eastAsia" w:ascii="宋体" w:hAnsi="宋体" w:eastAsia="宋体" w:cs="Times New Roman"/>
          <w:color w:val="auto"/>
          <w:kern w:val="0"/>
          <w:szCs w:val="21"/>
          <w:highlight w:val="none"/>
          <w:lang w:eastAsia="zh-CN"/>
        </w:rPr>
        <w:t>招标人</w:t>
      </w:r>
      <w:r>
        <w:rPr>
          <w:rFonts w:hint="eastAsia" w:ascii="宋体" w:hAnsi="宋体" w:eastAsia="宋体" w:cs="Times New Roman"/>
          <w:color w:val="auto"/>
          <w:kern w:val="0"/>
          <w:szCs w:val="21"/>
          <w:highlight w:val="none"/>
        </w:rPr>
        <w:t>任何经济损失的，由</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承担全部赔偿责任</w:t>
      </w:r>
      <w:r>
        <w:rPr>
          <w:rFonts w:hint="eastAsia" w:ascii="宋体" w:hAnsi="宋体" w:eastAsia="宋体" w:cs="宋体"/>
          <w:color w:val="auto"/>
          <w:szCs w:val="21"/>
          <w:highlight w:val="none"/>
          <w:lang w:val="zh-CN"/>
        </w:rPr>
        <w:t>。</w:t>
      </w:r>
    </w:p>
    <w:bookmarkEnd w:id="68"/>
    <w:bookmarkEnd w:id="69"/>
    <w:bookmarkEnd w:id="70"/>
    <w:bookmarkEnd w:id="71"/>
    <w:p w14:paraId="5E33E5E9">
      <w:pPr>
        <w:autoSpaceDE w:val="0"/>
        <w:autoSpaceDN w:val="0"/>
        <w:adjustRightInd w:val="0"/>
        <w:spacing w:line="360" w:lineRule="auto"/>
        <w:jc w:val="left"/>
        <w:rPr>
          <w:rFonts w:ascii="宋体" w:hAnsi="宋体" w:eastAsia="宋体" w:cs="宋体"/>
          <w:color w:val="auto"/>
          <w:szCs w:val="21"/>
          <w:highlight w:val="none"/>
          <w:lang w:val="zh-CN"/>
        </w:rPr>
      </w:pPr>
    </w:p>
    <w:p w14:paraId="24894BCB">
      <w:pPr>
        <w:tabs>
          <w:tab w:val="left" w:pos="570"/>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74" w:name="_Toc195714220"/>
      <w:bookmarkStart w:id="75" w:name="_Toc16377"/>
      <w:bookmarkStart w:id="76" w:name="_Toc11533"/>
      <w:bookmarkStart w:id="77" w:name="_Toc9658_WPSOffice_Level3"/>
      <w:bookmarkStart w:id="78" w:name="_Toc3404"/>
      <w:bookmarkStart w:id="79" w:name="_Toc142508316"/>
      <w:bookmarkStart w:id="80" w:name="_Toc10148"/>
      <w:bookmarkStart w:id="81" w:name="_Toc9570"/>
      <w:bookmarkStart w:id="82" w:name="_Toc16153"/>
      <w:bookmarkStart w:id="83" w:name="_Toc32726"/>
      <w:r>
        <w:rPr>
          <w:rFonts w:hint="eastAsia" w:ascii="宋体" w:hAnsi="宋体" w:eastAsia="宋体" w:cs="宋体"/>
          <w:color w:val="auto"/>
          <w:szCs w:val="21"/>
          <w:highlight w:val="none"/>
          <w:lang w:val="zh-CN"/>
        </w:rPr>
        <w:t>4</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其它说明</w:t>
      </w:r>
      <w:bookmarkEnd w:id="74"/>
      <w:bookmarkEnd w:id="75"/>
      <w:bookmarkEnd w:id="76"/>
      <w:bookmarkEnd w:id="77"/>
      <w:bookmarkEnd w:id="78"/>
      <w:bookmarkEnd w:id="79"/>
      <w:bookmarkEnd w:id="80"/>
      <w:bookmarkEnd w:id="81"/>
      <w:bookmarkEnd w:id="82"/>
      <w:bookmarkEnd w:id="83"/>
    </w:p>
    <w:p w14:paraId="5EF2739B">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bookmarkStart w:id="84" w:name="_Toc533708070"/>
      <w:bookmarkStart w:id="85" w:name="_Toc1977670"/>
      <w:r>
        <w:rPr>
          <w:rFonts w:hint="eastAsia" w:ascii="宋体" w:hAnsi="宋体" w:eastAsia="宋体" w:cs="宋体"/>
          <w:color w:val="auto"/>
          <w:szCs w:val="21"/>
          <w:highlight w:val="none"/>
          <w:lang w:val="zh-CN"/>
        </w:rPr>
        <w:t>4.1  投标费用</w:t>
      </w:r>
      <w:bookmarkEnd w:id="84"/>
      <w:bookmarkEnd w:id="85"/>
    </w:p>
    <w:p w14:paraId="02F5C44C">
      <w:pPr>
        <w:autoSpaceDE w:val="0"/>
        <w:autoSpaceDN w:val="0"/>
        <w:adjustRightInd w:val="0"/>
        <w:spacing w:line="360" w:lineRule="auto"/>
        <w:ind w:left="210" w:leftChars="100" w:firstLine="420" w:firstLineChars="200"/>
        <w:rPr>
          <w:rFonts w:ascii="宋体" w:hAnsi="宋体" w:eastAsia="宋体" w:cs="宋体"/>
          <w:color w:val="auto"/>
          <w:szCs w:val="21"/>
          <w:highlight w:val="none"/>
          <w:lang w:val="zh-CN"/>
        </w:rPr>
      </w:pPr>
      <w:bookmarkStart w:id="86" w:name="_Toc533708072"/>
      <w:bookmarkStart w:id="87" w:name="_Toc1977672"/>
      <w:r>
        <w:rPr>
          <w:rFonts w:hint="eastAsia" w:ascii="宋体" w:hAnsi="宋体" w:eastAsia="宋体" w:cs="Times New Roman"/>
          <w:color w:val="auto"/>
          <w:szCs w:val="21"/>
          <w:highlight w:val="none"/>
          <w:lang w:val="zh-CN"/>
        </w:rPr>
        <w:t>无论招标过程中的做法和结果如何，投标人须承担所有与编写和递交投标文件有关的费用，招标人和招标代理机构在任何情况下不负担这些费用</w:t>
      </w:r>
      <w:r>
        <w:rPr>
          <w:rFonts w:hint="eastAsia" w:ascii="宋体" w:hAnsi="宋体" w:eastAsia="宋体" w:cs="宋体"/>
          <w:color w:val="auto"/>
          <w:szCs w:val="21"/>
          <w:highlight w:val="none"/>
          <w:lang w:val="zh-CN"/>
        </w:rPr>
        <w:t>。</w:t>
      </w:r>
      <w:bookmarkEnd w:id="86"/>
      <w:bookmarkEnd w:id="87"/>
    </w:p>
    <w:p w14:paraId="3B608F55">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bookmarkStart w:id="88" w:name="_Toc1977673"/>
      <w:bookmarkStart w:id="89" w:name="_Toc533708073"/>
      <w:r>
        <w:rPr>
          <w:rFonts w:hint="eastAsia" w:ascii="宋体" w:hAnsi="宋体" w:eastAsia="宋体" w:cs="宋体"/>
          <w:color w:val="auto"/>
          <w:szCs w:val="21"/>
          <w:highlight w:val="none"/>
          <w:lang w:val="zh-CN"/>
        </w:rPr>
        <w:t>4.2  踏勘现场</w:t>
      </w:r>
      <w:bookmarkEnd w:id="88"/>
      <w:bookmarkEnd w:id="89"/>
    </w:p>
    <w:p w14:paraId="7C5DC60B">
      <w:pPr>
        <w:autoSpaceDE w:val="0"/>
        <w:autoSpaceDN w:val="0"/>
        <w:adjustRightInd w:val="0"/>
        <w:spacing w:line="360" w:lineRule="auto"/>
        <w:ind w:left="300" w:leftChars="-59" w:hanging="424" w:hangingChars="202"/>
        <w:jc w:val="left"/>
        <w:rPr>
          <w:rFonts w:ascii="宋体" w:hAnsi="宋体" w:eastAsia="宋体" w:cs="Times New Roman"/>
          <w:color w:val="auto"/>
          <w:kern w:val="0"/>
          <w:szCs w:val="21"/>
          <w:highlight w:val="none"/>
        </w:rPr>
      </w:pPr>
      <w:bookmarkStart w:id="90" w:name="_Toc533708076"/>
      <w:bookmarkStart w:id="91" w:name="_Toc1977676"/>
      <w:r>
        <w:rPr>
          <w:rFonts w:hint="eastAsia" w:ascii="宋体" w:hAnsi="宋体" w:eastAsia="宋体" w:cs="Times New Roman"/>
          <w:color w:val="auto"/>
          <w:kern w:val="0"/>
          <w:szCs w:val="21"/>
          <w:highlight w:val="none"/>
        </w:rPr>
        <w:t>（1）本项目不组织集中踏勘现场和答疑，</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应自行到实地踏勘考察。</w:t>
      </w:r>
    </w:p>
    <w:p w14:paraId="3B41CE10">
      <w:pPr>
        <w:autoSpaceDE w:val="0"/>
        <w:autoSpaceDN w:val="0"/>
        <w:adjustRightInd w:val="0"/>
        <w:spacing w:line="360" w:lineRule="auto"/>
        <w:ind w:left="300" w:leftChars="-59" w:hanging="424" w:hangingChars="202"/>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（2）潜在</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应承担踏勘现场自身所发生的费用。</w:t>
      </w:r>
    </w:p>
    <w:p w14:paraId="55E56DFA">
      <w:pPr>
        <w:spacing w:line="360" w:lineRule="auto"/>
        <w:ind w:left="300" w:leftChars="-59" w:hanging="424" w:hangingChars="202"/>
        <w:rPr>
          <w:rFonts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（3）招标人和招标代理机构在踏勘现场中介绍的有关现场和相关的周边环境情况，</w:t>
      </w:r>
      <w:r>
        <w:rPr>
          <w:rFonts w:hint="eastAsia" w:ascii="宋体" w:hAnsi="宋体" w:eastAsia="宋体" w:cs="宋体"/>
          <w:color w:val="auto"/>
          <w:kern w:val="0"/>
          <w:szCs w:val="21"/>
          <w:highlight w:val="none"/>
          <w:lang w:val="en-US" w:eastAsia="zh-CN"/>
        </w:rPr>
        <w:t>供</w:t>
      </w:r>
      <w:r>
        <w:rPr>
          <w:rFonts w:hint="eastAsia" w:ascii="宋体" w:hAnsi="宋体" w:eastAsia="宋体" w:cs="宋体"/>
          <w:color w:val="auto"/>
          <w:kern w:val="0"/>
          <w:szCs w:val="21"/>
          <w:highlight w:val="none"/>
          <w:lang w:val="zh-CN"/>
        </w:rPr>
        <w:t>投标人在编制投标文件时参考，招标人不对投标人据此作出的判断和决策负责。</w:t>
      </w:r>
    </w:p>
    <w:p w14:paraId="6B4A193F">
      <w:pPr>
        <w:spacing w:line="360" w:lineRule="auto"/>
        <w:ind w:left="300" w:leftChars="-59" w:hanging="424" w:hangingChars="202"/>
        <w:rPr>
          <w:rFonts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（4）潜在投标人可为踏勘需要而进入招标人的项目现场，但潜在投标人不得因此使招标人承担有关的责任和蒙受损失。潜在投标人应承担踏勘现场的责任和风险。</w:t>
      </w:r>
    </w:p>
    <w:p w14:paraId="4D78C755">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4.3</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纪律与保密事项</w:t>
      </w:r>
      <w:bookmarkEnd w:id="72"/>
      <w:bookmarkEnd w:id="73"/>
      <w:bookmarkEnd w:id="90"/>
      <w:bookmarkEnd w:id="91"/>
    </w:p>
    <w:p w14:paraId="698DE051">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（1）获得本</w:t>
      </w:r>
      <w:r>
        <w:rPr>
          <w:rFonts w:hint="eastAsia" w:ascii="宋体" w:hAnsi="宋体" w:eastAsia="宋体" w:cs="Times New Roman"/>
          <w:color w:val="auto"/>
          <w:kern w:val="0"/>
          <w:szCs w:val="21"/>
          <w:highlight w:val="none"/>
          <w:lang w:eastAsia="zh-CN"/>
        </w:rPr>
        <w:t>招标文件</w:t>
      </w:r>
      <w:r>
        <w:rPr>
          <w:rFonts w:hint="eastAsia" w:ascii="宋体" w:hAnsi="宋体" w:eastAsia="宋体" w:cs="Times New Roman"/>
          <w:color w:val="auto"/>
          <w:kern w:val="0"/>
          <w:szCs w:val="21"/>
          <w:highlight w:val="none"/>
        </w:rPr>
        <w:t>的</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，不得用作本次</w:t>
      </w:r>
      <w:r>
        <w:rPr>
          <w:rFonts w:hint="eastAsia" w:ascii="宋体" w:hAnsi="宋体" w:eastAsia="宋体" w:cs="Times New Roman"/>
          <w:color w:val="auto"/>
          <w:kern w:val="0"/>
          <w:szCs w:val="21"/>
          <w:highlight w:val="none"/>
          <w:lang w:eastAsia="zh-CN"/>
        </w:rPr>
        <w:t>投标</w:t>
      </w:r>
      <w:r>
        <w:rPr>
          <w:rFonts w:hint="eastAsia" w:ascii="宋体" w:hAnsi="宋体" w:eastAsia="宋体" w:cs="Times New Roman"/>
          <w:color w:val="auto"/>
          <w:kern w:val="0"/>
          <w:szCs w:val="21"/>
          <w:highlight w:val="none"/>
        </w:rPr>
        <w:t>以外的任何用途。</w:t>
      </w:r>
    </w:p>
    <w:p w14:paraId="09272055">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zh-CN"/>
        </w:rPr>
        <w:t>（2</w:t>
      </w:r>
      <w:r>
        <w:rPr>
          <w:rFonts w:hint="eastAsia" w:ascii="宋体" w:hAnsi="宋体" w:eastAsia="宋体" w:cs="Times New Roman"/>
          <w:color w:val="auto"/>
          <w:kern w:val="0"/>
          <w:szCs w:val="21"/>
          <w:highlight w:val="none"/>
        </w:rPr>
        <w:t>）凡参与</w:t>
      </w:r>
      <w:r>
        <w:rPr>
          <w:rFonts w:hint="eastAsia" w:ascii="宋体" w:hAnsi="宋体" w:eastAsia="宋体" w:cs="Times New Roman"/>
          <w:color w:val="auto"/>
          <w:kern w:val="0"/>
          <w:szCs w:val="21"/>
          <w:highlight w:val="none"/>
          <w:lang w:eastAsia="zh-CN"/>
        </w:rPr>
        <w:t>招标</w:t>
      </w:r>
      <w:r>
        <w:rPr>
          <w:rFonts w:hint="eastAsia" w:ascii="宋体" w:hAnsi="宋体" w:eastAsia="宋体" w:cs="Times New Roman"/>
          <w:color w:val="auto"/>
          <w:kern w:val="0"/>
          <w:szCs w:val="21"/>
          <w:highlight w:val="none"/>
        </w:rPr>
        <w:t>工作的有关人员均应自觉接受有关主管部门的监督，不得向他人透露可能影响公平竞争的情况。</w:t>
      </w:r>
    </w:p>
    <w:p w14:paraId="385CE9D9">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hint="eastAsia" w:ascii="宋体" w:hAnsi="宋体" w:eastAsia="宋体" w:cs="宋体"/>
          <w:color w:val="auto"/>
          <w:kern w:val="0"/>
          <w:szCs w:val="21"/>
          <w:highlight w:val="none"/>
        </w:rPr>
        <w:t>开标</w:t>
      </w:r>
      <w:r>
        <w:rPr>
          <w:rFonts w:hint="eastAsia" w:ascii="宋体" w:hAnsi="宋体" w:eastAsia="宋体" w:cs="Times New Roman"/>
          <w:color w:val="auto"/>
          <w:kern w:val="0"/>
          <w:szCs w:val="21"/>
          <w:highlight w:val="none"/>
        </w:rPr>
        <w:t>后，直至向</w:t>
      </w:r>
      <w:r>
        <w:rPr>
          <w:rFonts w:hint="eastAsia" w:ascii="宋体" w:hAnsi="宋体" w:eastAsia="宋体" w:cs="宋体"/>
          <w:color w:val="auto"/>
          <w:kern w:val="0"/>
          <w:szCs w:val="21"/>
          <w:highlight w:val="none"/>
        </w:rPr>
        <w:t>中标人</w:t>
      </w:r>
      <w:r>
        <w:rPr>
          <w:rFonts w:hint="eastAsia" w:ascii="宋体" w:hAnsi="宋体" w:eastAsia="宋体" w:cs="宋体"/>
          <w:color w:val="auto"/>
          <w:kern w:val="0"/>
          <w:szCs w:val="21"/>
          <w:highlight w:val="none"/>
          <w:lang w:eastAsia="zh-CN"/>
        </w:rPr>
        <w:t>授予合同期间</w:t>
      </w:r>
      <w:r>
        <w:rPr>
          <w:rFonts w:hint="eastAsia" w:ascii="宋体" w:hAnsi="宋体" w:eastAsia="宋体" w:cs="Times New Roman"/>
          <w:color w:val="auto"/>
          <w:kern w:val="0"/>
          <w:szCs w:val="21"/>
          <w:highlight w:val="none"/>
        </w:rPr>
        <w:t>，凡与审查、澄清、评价和比较报价的有关资料以及授标意见等，参与</w:t>
      </w:r>
      <w:r>
        <w:rPr>
          <w:rFonts w:hint="eastAsia" w:ascii="宋体" w:hAnsi="宋体" w:eastAsia="宋体" w:cs="宋体"/>
          <w:color w:val="auto"/>
          <w:kern w:val="0"/>
          <w:szCs w:val="21"/>
          <w:highlight w:val="none"/>
        </w:rPr>
        <w:t>评标</w:t>
      </w:r>
      <w:r>
        <w:rPr>
          <w:rFonts w:hint="eastAsia" w:ascii="宋体" w:hAnsi="宋体" w:eastAsia="宋体" w:cs="Times New Roman"/>
          <w:color w:val="auto"/>
          <w:kern w:val="0"/>
          <w:szCs w:val="21"/>
          <w:highlight w:val="none"/>
        </w:rPr>
        <w:t>工作的的有关人员均不得向</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及与</w:t>
      </w:r>
      <w:r>
        <w:rPr>
          <w:rFonts w:hint="eastAsia" w:ascii="宋体" w:hAnsi="宋体" w:eastAsia="宋体" w:cs="宋体"/>
          <w:color w:val="auto"/>
          <w:kern w:val="0"/>
          <w:szCs w:val="21"/>
          <w:highlight w:val="none"/>
        </w:rPr>
        <w:t>评标</w:t>
      </w:r>
      <w:r>
        <w:rPr>
          <w:rFonts w:hint="eastAsia" w:ascii="宋体" w:hAnsi="宋体" w:eastAsia="宋体" w:cs="Times New Roman"/>
          <w:color w:val="auto"/>
          <w:kern w:val="0"/>
          <w:szCs w:val="21"/>
          <w:highlight w:val="none"/>
          <w:lang w:val="en-US" w:eastAsia="zh-CN"/>
        </w:rPr>
        <w:t>无关</w:t>
      </w:r>
      <w:r>
        <w:rPr>
          <w:rFonts w:hint="eastAsia" w:ascii="宋体" w:hAnsi="宋体" w:eastAsia="宋体" w:cs="Times New Roman"/>
          <w:color w:val="auto"/>
          <w:kern w:val="0"/>
          <w:szCs w:val="21"/>
          <w:highlight w:val="none"/>
        </w:rPr>
        <w:t>的其他人透露。</w:t>
      </w:r>
    </w:p>
    <w:p w14:paraId="3EC7F0E6">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（4）除</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被要求对</w:t>
      </w:r>
      <w:r>
        <w:rPr>
          <w:rFonts w:hint="eastAsia" w:ascii="宋体" w:hAnsi="宋体" w:eastAsia="宋体" w:cs="Times New Roman"/>
          <w:color w:val="auto"/>
          <w:kern w:val="0"/>
          <w:szCs w:val="21"/>
          <w:highlight w:val="none"/>
          <w:lang w:eastAsia="zh-CN"/>
        </w:rPr>
        <w:t>投标文件</w:t>
      </w:r>
      <w:r>
        <w:rPr>
          <w:rFonts w:hint="eastAsia" w:ascii="宋体" w:hAnsi="宋体" w:eastAsia="宋体" w:cs="Times New Roman"/>
          <w:color w:val="auto"/>
          <w:kern w:val="0"/>
          <w:szCs w:val="21"/>
          <w:highlight w:val="none"/>
        </w:rPr>
        <w:t>进行澄清外，从递交</w:t>
      </w:r>
      <w:r>
        <w:rPr>
          <w:rFonts w:hint="eastAsia" w:ascii="宋体" w:hAnsi="宋体" w:eastAsia="宋体" w:cs="Times New Roman"/>
          <w:color w:val="auto"/>
          <w:kern w:val="0"/>
          <w:szCs w:val="21"/>
          <w:highlight w:val="none"/>
          <w:lang w:eastAsia="zh-CN"/>
        </w:rPr>
        <w:t>投标文件</w:t>
      </w:r>
      <w:r>
        <w:rPr>
          <w:rFonts w:hint="eastAsia" w:ascii="宋体" w:hAnsi="宋体" w:eastAsia="宋体" w:cs="Times New Roman"/>
          <w:color w:val="auto"/>
          <w:kern w:val="0"/>
          <w:szCs w:val="21"/>
          <w:highlight w:val="none"/>
        </w:rPr>
        <w:t>截止之时起至授予合同期间，</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不得就与其</w:t>
      </w:r>
      <w:r>
        <w:rPr>
          <w:rFonts w:hint="eastAsia" w:ascii="宋体" w:hAnsi="宋体" w:eastAsia="宋体" w:cs="Times New Roman"/>
          <w:color w:val="auto"/>
          <w:kern w:val="0"/>
          <w:szCs w:val="21"/>
          <w:highlight w:val="none"/>
          <w:lang w:eastAsia="zh-CN"/>
        </w:rPr>
        <w:t>投标文件</w:t>
      </w:r>
      <w:r>
        <w:rPr>
          <w:rFonts w:hint="eastAsia" w:ascii="宋体" w:hAnsi="宋体" w:eastAsia="宋体" w:cs="Times New Roman"/>
          <w:color w:val="auto"/>
          <w:kern w:val="0"/>
          <w:szCs w:val="21"/>
          <w:highlight w:val="none"/>
        </w:rPr>
        <w:t>有关的事项主动与</w:t>
      </w:r>
      <w:r>
        <w:rPr>
          <w:rFonts w:hint="eastAsia" w:ascii="宋体" w:hAnsi="宋体" w:eastAsia="宋体" w:cs="宋体"/>
          <w:color w:val="auto"/>
          <w:kern w:val="0"/>
          <w:szCs w:val="21"/>
          <w:highlight w:val="none"/>
        </w:rPr>
        <w:t>评标委员会</w:t>
      </w:r>
      <w:r>
        <w:rPr>
          <w:rFonts w:hint="eastAsia"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lang w:eastAsia="zh-CN"/>
        </w:rPr>
        <w:t>招标代理机构</w:t>
      </w:r>
      <w:r>
        <w:rPr>
          <w:rFonts w:hint="eastAsia" w:ascii="宋体" w:hAnsi="宋体" w:eastAsia="宋体" w:cs="Times New Roman"/>
          <w:color w:val="auto"/>
          <w:kern w:val="0"/>
          <w:szCs w:val="21"/>
          <w:highlight w:val="none"/>
        </w:rPr>
        <w:t>以及</w:t>
      </w:r>
      <w:r>
        <w:rPr>
          <w:rFonts w:hint="eastAsia" w:ascii="宋体" w:hAnsi="宋体" w:eastAsia="宋体" w:cs="Times New Roman"/>
          <w:color w:val="auto"/>
          <w:kern w:val="0"/>
          <w:szCs w:val="21"/>
          <w:highlight w:val="none"/>
          <w:lang w:eastAsia="zh-CN"/>
        </w:rPr>
        <w:t>招标人</w:t>
      </w:r>
      <w:r>
        <w:rPr>
          <w:rFonts w:hint="eastAsia" w:ascii="宋体" w:hAnsi="宋体" w:eastAsia="宋体" w:cs="Times New Roman"/>
          <w:color w:val="auto"/>
          <w:kern w:val="0"/>
          <w:szCs w:val="21"/>
          <w:highlight w:val="none"/>
        </w:rPr>
        <w:t>联系。</w:t>
      </w:r>
    </w:p>
    <w:p w14:paraId="081B85D3">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（5）</w:t>
      </w:r>
      <w:r>
        <w:rPr>
          <w:rFonts w:hint="eastAsia" w:ascii="宋体" w:hAnsi="宋体" w:eastAsia="宋体" w:cs="宋体"/>
          <w:color w:val="auto"/>
          <w:kern w:val="0"/>
          <w:szCs w:val="21"/>
          <w:highlight w:val="none"/>
        </w:rPr>
        <w:t>从开标之日起至授予合同期间，</w:t>
      </w:r>
      <w:r>
        <w:rPr>
          <w:rFonts w:hint="eastAsia" w:ascii="宋体" w:hAnsi="宋体" w:eastAsia="宋体" w:cs="Times New Roman"/>
          <w:color w:val="auto"/>
          <w:kern w:val="0"/>
          <w:szCs w:val="21"/>
          <w:highlight w:val="none"/>
        </w:rPr>
        <w:t>在</w:t>
      </w:r>
      <w:r>
        <w:rPr>
          <w:rFonts w:hint="eastAsia" w:ascii="宋体" w:hAnsi="宋体" w:eastAsia="宋体" w:cs="Times New Roman"/>
          <w:color w:val="auto"/>
          <w:kern w:val="0"/>
          <w:szCs w:val="21"/>
          <w:highlight w:val="none"/>
          <w:lang w:eastAsia="zh-CN"/>
        </w:rPr>
        <w:t>投标文件</w:t>
      </w:r>
      <w:r>
        <w:rPr>
          <w:rFonts w:hint="eastAsia" w:ascii="宋体" w:hAnsi="宋体" w:eastAsia="宋体" w:cs="Times New Roman"/>
          <w:color w:val="auto"/>
          <w:kern w:val="0"/>
          <w:szCs w:val="21"/>
          <w:highlight w:val="none"/>
        </w:rPr>
        <w:t>的审查、澄清、比较和评价阶段，</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试图对</w:t>
      </w:r>
      <w:r>
        <w:rPr>
          <w:rFonts w:hint="eastAsia" w:ascii="宋体" w:hAnsi="宋体" w:eastAsia="宋体" w:cs="宋体"/>
          <w:color w:val="auto"/>
          <w:kern w:val="0"/>
          <w:szCs w:val="21"/>
          <w:highlight w:val="none"/>
        </w:rPr>
        <w:t>评标委员会</w:t>
      </w:r>
      <w:r>
        <w:rPr>
          <w:rFonts w:hint="eastAsia" w:ascii="宋体" w:hAnsi="宋体" w:eastAsia="宋体" w:cs="Times New Roman"/>
          <w:color w:val="auto"/>
          <w:kern w:val="0"/>
          <w:szCs w:val="21"/>
          <w:highlight w:val="none"/>
        </w:rPr>
        <w:t>和</w:t>
      </w:r>
      <w:r>
        <w:rPr>
          <w:rFonts w:hint="eastAsia" w:ascii="宋体" w:hAnsi="宋体" w:eastAsia="宋体" w:cs="Times New Roman"/>
          <w:color w:val="auto"/>
          <w:kern w:val="0"/>
          <w:szCs w:val="21"/>
          <w:highlight w:val="none"/>
          <w:lang w:eastAsia="zh-CN"/>
        </w:rPr>
        <w:t>招标代理机构</w:t>
      </w:r>
      <w:r>
        <w:rPr>
          <w:rFonts w:hint="eastAsia" w:ascii="宋体" w:hAnsi="宋体" w:eastAsia="宋体" w:cs="Times New Roman"/>
          <w:color w:val="auto"/>
          <w:kern w:val="0"/>
          <w:szCs w:val="21"/>
          <w:highlight w:val="none"/>
        </w:rPr>
        <w:t>施加任何影响或对</w:t>
      </w:r>
      <w:r>
        <w:rPr>
          <w:rFonts w:hint="eastAsia" w:ascii="宋体" w:hAnsi="宋体" w:eastAsia="宋体" w:cs="Times New Roman"/>
          <w:color w:val="auto"/>
          <w:kern w:val="0"/>
          <w:szCs w:val="21"/>
          <w:highlight w:val="none"/>
          <w:lang w:eastAsia="zh-CN"/>
        </w:rPr>
        <w:t>招标人</w:t>
      </w:r>
      <w:r>
        <w:rPr>
          <w:rFonts w:hint="eastAsia" w:ascii="宋体" w:hAnsi="宋体" w:eastAsia="宋体" w:cs="Times New Roman"/>
          <w:color w:val="auto"/>
          <w:kern w:val="0"/>
          <w:szCs w:val="21"/>
          <w:highlight w:val="none"/>
        </w:rPr>
        <w:t>的比较及授予合同的决定产生影响，都可能导致其</w:t>
      </w:r>
      <w:r>
        <w:rPr>
          <w:rFonts w:hint="eastAsia" w:ascii="宋体" w:hAnsi="宋体" w:eastAsia="宋体" w:cs="Times New Roman"/>
          <w:color w:val="auto"/>
          <w:kern w:val="0"/>
          <w:szCs w:val="21"/>
          <w:highlight w:val="none"/>
          <w:lang w:eastAsia="zh-CN"/>
        </w:rPr>
        <w:t>投标文件</w:t>
      </w:r>
      <w:r>
        <w:rPr>
          <w:rFonts w:hint="eastAsia" w:ascii="宋体" w:hAnsi="宋体" w:eastAsia="宋体" w:cs="Times New Roman"/>
          <w:color w:val="auto"/>
          <w:kern w:val="0"/>
          <w:szCs w:val="21"/>
          <w:highlight w:val="none"/>
        </w:rPr>
        <w:t>被拒绝。</w:t>
      </w:r>
    </w:p>
    <w:p w14:paraId="3810C384">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（6）</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不得串通作弊，以不正当的手段妨碍、排挤其他</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，扰乱采购市场，破坏公平竞争原则。</w:t>
      </w:r>
    </w:p>
    <w:p w14:paraId="22B43E1A">
      <w:pPr>
        <w:autoSpaceDE w:val="0"/>
        <w:autoSpaceDN w:val="0"/>
        <w:adjustRightInd w:val="0"/>
        <w:spacing w:line="360" w:lineRule="auto"/>
        <w:ind w:left="315" w:leftChars="-100" w:hanging="525" w:hangingChars="250"/>
        <w:rPr>
          <w:rFonts w:ascii="宋体" w:hAnsi="宋体" w:eastAsia="宋体" w:cs="宋体"/>
          <w:color w:val="auto"/>
          <w:szCs w:val="21"/>
          <w:highlight w:val="none"/>
        </w:rPr>
      </w:pPr>
    </w:p>
    <w:p w14:paraId="074D1E6B">
      <w:pPr>
        <w:keepNext/>
        <w:keepLines/>
        <w:autoSpaceDE w:val="0"/>
        <w:autoSpaceDN w:val="0"/>
        <w:adjustRightInd w:val="0"/>
        <w:spacing w:line="360" w:lineRule="auto"/>
        <w:jc w:val="left"/>
        <w:outlineLvl w:val="0"/>
        <w:rPr>
          <w:rFonts w:ascii="宋体" w:hAnsi="宋体" w:eastAsia="宋体" w:cs="宋体"/>
          <w:b/>
          <w:bCs/>
          <w:color w:val="auto"/>
          <w:kern w:val="44"/>
          <w:szCs w:val="21"/>
          <w:highlight w:val="none"/>
          <w:lang w:val="zh-CN"/>
        </w:rPr>
      </w:pPr>
      <w:bookmarkStart w:id="92" w:name="_Toc486167667"/>
      <w:bookmarkStart w:id="93" w:name="_Toc142508317"/>
      <w:bookmarkStart w:id="94" w:name="_Toc450662853"/>
      <w:bookmarkStart w:id="95" w:name="_Toc195714221"/>
      <w:bookmarkStart w:id="96" w:name="_Toc25972"/>
      <w:bookmarkStart w:id="97" w:name="_Toc30507_WPSOffice_Level2"/>
      <w:bookmarkStart w:id="98" w:name="_Toc5395"/>
      <w:bookmarkStart w:id="99" w:name="_Toc1565"/>
      <w:bookmarkStart w:id="100" w:name="_Toc140596876"/>
      <w:bookmarkStart w:id="101" w:name="_Toc27979"/>
      <w:bookmarkStart w:id="102" w:name="_Toc3804"/>
      <w:bookmarkStart w:id="103" w:name="_Toc26497"/>
      <w:bookmarkStart w:id="104" w:name="_Toc5868"/>
      <w:r>
        <w:rPr>
          <w:rFonts w:hint="eastAsia" w:ascii="宋体" w:hAnsi="宋体" w:eastAsia="宋体" w:cs="宋体"/>
          <w:b/>
          <w:bCs/>
          <w:color w:val="auto"/>
          <w:kern w:val="44"/>
          <w:szCs w:val="21"/>
          <w:highlight w:val="none"/>
          <w:lang w:val="zh-CN"/>
        </w:rPr>
        <w:t>二、</w:t>
      </w:r>
      <w:bookmarkEnd w:id="92"/>
      <w:bookmarkEnd w:id="93"/>
      <w:bookmarkEnd w:id="94"/>
      <w:bookmarkEnd w:id="95"/>
      <w:bookmarkEnd w:id="96"/>
      <w:bookmarkEnd w:id="97"/>
      <w:bookmarkEnd w:id="98"/>
      <w:bookmarkEnd w:id="99"/>
      <w:bookmarkEnd w:id="100"/>
      <w:r>
        <w:rPr>
          <w:rFonts w:hint="eastAsia" w:ascii="宋体" w:hAnsi="宋体" w:eastAsia="宋体" w:cs="宋体"/>
          <w:b/>
          <w:bCs/>
          <w:color w:val="auto"/>
          <w:kern w:val="44"/>
          <w:szCs w:val="21"/>
          <w:highlight w:val="none"/>
          <w:lang w:val="zh-CN"/>
        </w:rPr>
        <w:t>招标文件</w:t>
      </w:r>
      <w:bookmarkEnd w:id="101"/>
      <w:bookmarkEnd w:id="102"/>
      <w:bookmarkEnd w:id="103"/>
      <w:bookmarkEnd w:id="104"/>
    </w:p>
    <w:p w14:paraId="04419FFE">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105" w:name="_Toc142508318"/>
      <w:bookmarkStart w:id="106" w:name="_Toc6020"/>
      <w:bookmarkStart w:id="107" w:name="_Toc450662854"/>
      <w:bookmarkStart w:id="108" w:name="_Toc29408"/>
      <w:bookmarkStart w:id="109" w:name="_Toc486167668"/>
      <w:bookmarkStart w:id="110" w:name="_Toc26635_WPSOffice_Level3"/>
      <w:bookmarkStart w:id="111" w:name="_Toc25610"/>
      <w:bookmarkStart w:id="112" w:name="_Toc2406"/>
      <w:bookmarkStart w:id="113" w:name="_Toc28893"/>
      <w:bookmarkStart w:id="114" w:name="_Toc195714222"/>
      <w:bookmarkStart w:id="115" w:name="_Toc16514"/>
      <w:bookmarkStart w:id="116" w:name="_Toc13421"/>
      <w:r>
        <w:rPr>
          <w:rFonts w:hint="eastAsia" w:ascii="宋体" w:hAnsi="宋体" w:eastAsia="宋体" w:cs="宋体"/>
          <w:color w:val="auto"/>
          <w:szCs w:val="21"/>
          <w:highlight w:val="none"/>
          <w:lang w:val="zh-CN"/>
        </w:rPr>
        <w:t>5</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招标文件的构成</w:t>
      </w:r>
      <w:bookmarkEnd w:id="105"/>
      <w:bookmarkEnd w:id="106"/>
      <w:bookmarkEnd w:id="107"/>
      <w:bookmarkEnd w:id="108"/>
      <w:bookmarkEnd w:id="109"/>
      <w:bookmarkEnd w:id="110"/>
      <w:bookmarkEnd w:id="111"/>
      <w:bookmarkEnd w:id="112"/>
      <w:bookmarkEnd w:id="113"/>
      <w:bookmarkEnd w:id="114"/>
      <w:bookmarkEnd w:id="115"/>
      <w:bookmarkEnd w:id="116"/>
    </w:p>
    <w:p w14:paraId="66904D6A">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5.1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招标文件包括：</w:t>
      </w:r>
    </w:p>
    <w:p w14:paraId="0E7646D8">
      <w:pPr>
        <w:tabs>
          <w:tab w:val="left" w:pos="1890"/>
        </w:tabs>
        <w:autoSpaceDE w:val="0"/>
        <w:autoSpaceDN w:val="0"/>
        <w:adjustRightInd w:val="0"/>
        <w:spacing w:line="360" w:lineRule="auto"/>
        <w:ind w:firstLine="424" w:firstLineChars="202"/>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第一篇 招标公告</w:t>
      </w:r>
    </w:p>
    <w:p w14:paraId="55335C2F">
      <w:pPr>
        <w:tabs>
          <w:tab w:val="left" w:pos="1890"/>
        </w:tabs>
        <w:autoSpaceDE w:val="0"/>
        <w:autoSpaceDN w:val="0"/>
        <w:adjustRightInd w:val="0"/>
        <w:spacing w:line="360" w:lineRule="auto"/>
        <w:ind w:firstLine="424" w:firstLineChars="202"/>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第二篇 投标人须知</w:t>
      </w:r>
    </w:p>
    <w:p w14:paraId="01308C1E">
      <w:pPr>
        <w:tabs>
          <w:tab w:val="left" w:pos="1890"/>
        </w:tabs>
        <w:autoSpaceDE w:val="0"/>
        <w:autoSpaceDN w:val="0"/>
        <w:adjustRightInd w:val="0"/>
        <w:spacing w:line="360" w:lineRule="auto"/>
        <w:ind w:firstLine="424" w:firstLineChars="202"/>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第三篇 用户需求书</w:t>
      </w:r>
    </w:p>
    <w:p w14:paraId="2C611550">
      <w:pPr>
        <w:tabs>
          <w:tab w:val="left" w:pos="1890"/>
        </w:tabs>
        <w:autoSpaceDE w:val="0"/>
        <w:autoSpaceDN w:val="0"/>
        <w:adjustRightInd w:val="0"/>
        <w:spacing w:line="360" w:lineRule="auto"/>
        <w:ind w:firstLine="424" w:firstLineChars="202"/>
        <w:rPr>
          <w:rFonts w:hint="eastAsia"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第四篇 合同条款</w:t>
      </w:r>
      <w:r>
        <w:rPr>
          <w:rFonts w:hint="eastAsia" w:ascii="宋体" w:hAnsi="宋体" w:eastAsia="宋体" w:cs="宋体"/>
          <w:color w:val="auto"/>
          <w:szCs w:val="21"/>
          <w:highlight w:val="none"/>
          <w:lang w:val="en-US" w:eastAsia="zh-CN"/>
        </w:rPr>
        <w:t>格式</w:t>
      </w:r>
    </w:p>
    <w:p w14:paraId="33B53743">
      <w:pPr>
        <w:tabs>
          <w:tab w:val="left" w:pos="1890"/>
        </w:tabs>
        <w:autoSpaceDE w:val="0"/>
        <w:autoSpaceDN w:val="0"/>
        <w:adjustRightInd w:val="0"/>
        <w:spacing w:line="360" w:lineRule="auto"/>
        <w:ind w:firstLine="424" w:firstLineChars="202"/>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第</w:t>
      </w:r>
      <w:r>
        <w:rPr>
          <w:rFonts w:hint="eastAsia" w:ascii="宋体" w:hAnsi="宋体" w:eastAsia="宋体" w:cs="Times New Roman"/>
          <w:color w:val="auto"/>
          <w:szCs w:val="21"/>
          <w:highlight w:val="none"/>
          <w:lang w:val="en-US" w:eastAsia="zh-CN"/>
        </w:rPr>
        <w:t>五</w:t>
      </w:r>
      <w:r>
        <w:rPr>
          <w:rFonts w:hint="eastAsia" w:ascii="宋体" w:hAnsi="宋体" w:eastAsia="宋体" w:cs="Times New Roman"/>
          <w:color w:val="auto"/>
          <w:szCs w:val="21"/>
          <w:highlight w:val="none"/>
          <w:lang w:val="zh-CN"/>
        </w:rPr>
        <w:t xml:space="preserve">篇 </w:t>
      </w:r>
      <w:r>
        <w:rPr>
          <w:rFonts w:hint="eastAsia" w:ascii="宋体" w:hAnsi="宋体" w:eastAsia="宋体" w:cs="Times New Roman"/>
          <w:color w:val="auto"/>
          <w:szCs w:val="21"/>
          <w:highlight w:val="none"/>
          <w:lang w:val="en-US" w:eastAsia="zh-CN"/>
        </w:rPr>
        <w:t>相关保函</w:t>
      </w:r>
      <w:r>
        <w:rPr>
          <w:rFonts w:hint="eastAsia" w:ascii="宋体" w:hAnsi="宋体" w:eastAsia="宋体" w:cs="Times New Roman"/>
          <w:color w:val="auto"/>
          <w:szCs w:val="21"/>
          <w:highlight w:val="none"/>
          <w:lang w:val="zh-CN"/>
        </w:rPr>
        <w:t>格式</w:t>
      </w:r>
    </w:p>
    <w:p w14:paraId="5137FF01">
      <w:pPr>
        <w:tabs>
          <w:tab w:val="left" w:pos="1890"/>
        </w:tabs>
        <w:autoSpaceDE w:val="0"/>
        <w:autoSpaceDN w:val="0"/>
        <w:adjustRightInd w:val="0"/>
        <w:spacing w:line="360" w:lineRule="auto"/>
        <w:ind w:firstLine="424" w:firstLineChars="202"/>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第</w:t>
      </w:r>
      <w:r>
        <w:rPr>
          <w:rFonts w:hint="eastAsia" w:ascii="宋体" w:hAnsi="宋体" w:eastAsia="宋体" w:cs="Times New Roman"/>
          <w:color w:val="auto"/>
          <w:szCs w:val="21"/>
          <w:highlight w:val="none"/>
          <w:lang w:val="en-US" w:eastAsia="zh-CN"/>
        </w:rPr>
        <w:t>六</w:t>
      </w:r>
      <w:r>
        <w:rPr>
          <w:rFonts w:hint="eastAsia" w:ascii="宋体" w:hAnsi="宋体" w:eastAsia="宋体" w:cs="Times New Roman"/>
          <w:color w:val="auto"/>
          <w:szCs w:val="21"/>
          <w:highlight w:val="none"/>
          <w:lang w:val="zh-CN"/>
        </w:rPr>
        <w:t>篇 投标文件格式</w:t>
      </w:r>
    </w:p>
    <w:p w14:paraId="02C66C3F">
      <w:pPr>
        <w:tabs>
          <w:tab w:val="left" w:pos="1890"/>
        </w:tabs>
        <w:autoSpaceDE w:val="0"/>
        <w:autoSpaceDN w:val="0"/>
        <w:adjustRightInd w:val="0"/>
        <w:spacing w:line="360" w:lineRule="auto"/>
        <w:ind w:firstLine="424" w:firstLineChars="202"/>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附件一：评</w:t>
      </w:r>
      <w:r>
        <w:rPr>
          <w:rFonts w:hint="eastAsia" w:ascii="宋体" w:hAnsi="宋体" w:eastAsia="宋体" w:cs="宋体"/>
          <w:color w:val="auto"/>
          <w:szCs w:val="21"/>
          <w:highlight w:val="none"/>
          <w:lang w:val="en-US" w:eastAsia="zh-CN"/>
        </w:rPr>
        <w:t>标</w:t>
      </w:r>
      <w:r>
        <w:rPr>
          <w:rFonts w:hint="eastAsia" w:ascii="宋体" w:hAnsi="宋体" w:eastAsia="宋体" w:cs="宋体"/>
          <w:color w:val="auto"/>
          <w:szCs w:val="21"/>
          <w:highlight w:val="none"/>
          <w:lang w:val="zh-CN"/>
        </w:rPr>
        <w:t>工作大纲</w:t>
      </w:r>
    </w:p>
    <w:p w14:paraId="1E831060">
      <w:pPr>
        <w:autoSpaceDE w:val="0"/>
        <w:autoSpaceDN w:val="0"/>
        <w:adjustRightInd w:val="0"/>
        <w:spacing w:line="360" w:lineRule="auto"/>
        <w:ind w:left="356" w:leftChars="-99" w:hanging="564" w:hangingChars="269"/>
        <w:rPr>
          <w:rFonts w:ascii="宋体" w:hAnsi="宋体" w:eastAsia="宋体" w:cs="宋体"/>
          <w:b/>
          <w:bCs/>
          <w:color w:val="auto"/>
          <w:szCs w:val="21"/>
          <w:highlight w:val="none"/>
          <w:u w:val="single"/>
          <w:lang w:val="zh-CN"/>
        </w:rPr>
      </w:pPr>
      <w:r>
        <w:rPr>
          <w:rFonts w:hint="eastAsia" w:ascii="宋体" w:hAnsi="宋体" w:eastAsia="宋体" w:cs="宋体"/>
          <w:bCs/>
          <w:color w:val="auto"/>
          <w:szCs w:val="21"/>
          <w:highlight w:val="none"/>
          <w:lang w:val="zh-CN"/>
        </w:rPr>
        <w:t>5.2</w:t>
      </w:r>
      <w:r>
        <w:rPr>
          <w:rFonts w:hint="eastAsia" w:ascii="宋体" w:hAnsi="宋体" w:eastAsia="宋体" w:cs="宋体"/>
          <w:b/>
          <w:bCs/>
          <w:color w:val="auto"/>
          <w:szCs w:val="21"/>
          <w:highlight w:val="none"/>
          <w:lang w:val="zh-CN"/>
        </w:rPr>
        <w:tab/>
      </w:r>
      <w:r>
        <w:rPr>
          <w:rFonts w:hint="eastAsia" w:ascii="宋体" w:hAnsi="宋体" w:eastAsia="宋体" w:cs="宋体"/>
          <w:b/>
          <w:bCs/>
          <w:color w:val="auto"/>
          <w:szCs w:val="21"/>
          <w:highlight w:val="none"/>
          <w:u w:val="single"/>
          <w:lang w:val="zh-CN"/>
        </w:rPr>
        <w:t>投标人</w:t>
      </w:r>
      <w:r>
        <w:rPr>
          <w:rFonts w:hint="eastAsia" w:ascii="宋体" w:hAnsi="宋体" w:eastAsia="宋体" w:cs="Times New Roman"/>
          <w:b/>
          <w:bCs/>
          <w:color w:val="auto"/>
          <w:szCs w:val="21"/>
          <w:highlight w:val="none"/>
          <w:u w:val="single"/>
          <w:lang w:val="zh-CN"/>
        </w:rPr>
        <w:t>应审阅招标文件中所有须知、格式、条款和规格。投标人未按招标文件要求提供全部资料或提交的投标文件未对招标文件作出实质性响应（</w:t>
      </w:r>
      <w:r>
        <w:rPr>
          <w:rFonts w:hint="eastAsia" w:ascii="宋体" w:hAnsi="宋体" w:eastAsia="宋体" w:cs="宋体"/>
          <w:b/>
          <w:bCs/>
          <w:color w:val="auto"/>
          <w:szCs w:val="21"/>
          <w:highlight w:val="none"/>
          <w:u w:val="single"/>
          <w:lang w:val="zh-CN"/>
        </w:rPr>
        <w:t>★</w:t>
      </w:r>
      <w:r>
        <w:rPr>
          <w:rFonts w:hint="eastAsia" w:ascii="宋体" w:hAnsi="宋体" w:eastAsia="宋体" w:cs="Times New Roman"/>
          <w:b/>
          <w:bCs/>
          <w:color w:val="auto"/>
          <w:szCs w:val="21"/>
          <w:highlight w:val="none"/>
          <w:u w:val="single"/>
          <w:lang w:val="zh-CN"/>
        </w:rPr>
        <w:t>标志的部分为投标人、</w:t>
      </w:r>
      <w:r>
        <w:rPr>
          <w:rFonts w:hint="eastAsia" w:ascii="宋体" w:hAnsi="宋体" w:eastAsia="宋体" w:cs="Times New Roman"/>
          <w:b/>
          <w:bCs/>
          <w:color w:val="auto"/>
          <w:szCs w:val="21"/>
          <w:highlight w:val="none"/>
          <w:u w:val="single"/>
          <w:lang w:val="en-US" w:eastAsia="zh-CN"/>
        </w:rPr>
        <w:t>投标</w:t>
      </w:r>
      <w:r>
        <w:rPr>
          <w:rFonts w:hint="eastAsia" w:ascii="宋体" w:hAnsi="宋体" w:eastAsia="宋体" w:cs="Times New Roman"/>
          <w:b/>
          <w:bCs/>
          <w:color w:val="auto"/>
          <w:szCs w:val="21"/>
          <w:highlight w:val="none"/>
          <w:u w:val="single"/>
          <w:lang w:val="zh-CN"/>
        </w:rPr>
        <w:t>拟供</w:t>
      </w:r>
      <w:r>
        <w:rPr>
          <w:rFonts w:hint="eastAsia" w:ascii="宋体" w:hAnsi="宋体" w:eastAsia="宋体" w:cs="Times New Roman"/>
          <w:b/>
          <w:bCs/>
          <w:color w:val="auto"/>
          <w:szCs w:val="21"/>
          <w:highlight w:val="none"/>
          <w:u w:val="single"/>
          <w:lang w:val="en-US" w:eastAsia="zh-CN"/>
        </w:rPr>
        <w:t>服务</w:t>
      </w:r>
      <w:r>
        <w:rPr>
          <w:rFonts w:hint="eastAsia" w:ascii="宋体" w:hAnsi="宋体" w:eastAsia="宋体" w:cs="Times New Roman"/>
          <w:b/>
          <w:bCs/>
          <w:color w:val="auto"/>
          <w:szCs w:val="21"/>
          <w:highlight w:val="none"/>
          <w:u w:val="single"/>
          <w:lang w:val="zh-CN"/>
        </w:rPr>
        <w:t>必备的条件或重要指示），那么投标人的投标文件将有可能被拒绝接收或评审为无效投标文件</w:t>
      </w:r>
      <w:r>
        <w:rPr>
          <w:rFonts w:hint="eastAsia" w:ascii="宋体" w:hAnsi="宋体" w:eastAsia="宋体" w:cs="宋体"/>
          <w:b/>
          <w:bCs/>
          <w:color w:val="auto"/>
          <w:szCs w:val="21"/>
          <w:highlight w:val="none"/>
          <w:u w:val="single"/>
          <w:lang w:val="zh-CN"/>
        </w:rPr>
        <w:t>。</w:t>
      </w:r>
    </w:p>
    <w:p w14:paraId="3B5D469C">
      <w:pPr>
        <w:autoSpaceDE w:val="0"/>
        <w:autoSpaceDN w:val="0"/>
        <w:adjustRightInd w:val="0"/>
        <w:spacing w:line="360" w:lineRule="auto"/>
        <w:ind w:left="356" w:leftChars="-99" w:hanging="564" w:hangingChars="269"/>
        <w:rPr>
          <w:rFonts w:ascii="宋体" w:hAnsi="宋体" w:eastAsia="宋体" w:cs="宋体"/>
          <w:b/>
          <w:bCs/>
          <w:color w:val="auto"/>
          <w:szCs w:val="21"/>
          <w:highlight w:val="none"/>
          <w:u w:val="single"/>
        </w:rPr>
      </w:pPr>
      <w:r>
        <w:rPr>
          <w:rFonts w:hint="eastAsia" w:ascii="宋体" w:hAnsi="宋体" w:eastAsia="宋体" w:cs="宋体"/>
          <w:color w:val="auto"/>
          <w:szCs w:val="21"/>
          <w:highlight w:val="none"/>
          <w:lang w:val="zh-CN"/>
        </w:rPr>
        <w:t>5.3  本招标文件使用的词语有如下定义：</w:t>
      </w:r>
    </w:p>
    <w:p w14:paraId="5A52EA19">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r>
        <w:rPr>
          <w:rFonts w:hint="eastAsia" w:ascii="宋体" w:hAnsi="宋体" w:eastAsia="宋体" w:cs="Times New Roman"/>
          <w:color w:val="auto"/>
          <w:kern w:val="0"/>
          <w:szCs w:val="21"/>
          <w:highlight w:val="none"/>
          <w:lang w:eastAsia="zh-CN"/>
        </w:rPr>
        <w:t>招标人</w:t>
      </w:r>
      <w:r>
        <w:rPr>
          <w:rFonts w:hint="eastAsia" w:ascii="宋体" w:hAnsi="宋体" w:eastAsia="宋体" w:cs="Times New Roman"/>
          <w:color w:val="auto"/>
          <w:kern w:val="0"/>
          <w:szCs w:val="21"/>
          <w:highlight w:val="none"/>
        </w:rPr>
        <w:t>”指</w:t>
      </w:r>
      <w:r>
        <w:rPr>
          <w:rFonts w:hint="eastAsia" w:ascii="宋体" w:hAnsi="宋体" w:eastAsia="宋体" w:cs="Times New Roman"/>
          <w:color w:val="auto"/>
          <w:kern w:val="0"/>
          <w:szCs w:val="21"/>
          <w:highlight w:val="none"/>
          <w:lang w:eastAsia="zh-CN"/>
        </w:rPr>
        <w:t>东莞市众源环境投资有限公司</w:t>
      </w:r>
      <w:r>
        <w:rPr>
          <w:rFonts w:hint="eastAsia" w:ascii="宋体" w:hAnsi="宋体" w:eastAsia="宋体" w:cs="Times New Roman"/>
          <w:color w:val="auto"/>
          <w:kern w:val="0"/>
          <w:szCs w:val="21"/>
          <w:highlight w:val="none"/>
        </w:rPr>
        <w:t>；</w:t>
      </w:r>
    </w:p>
    <w:p w14:paraId="5FAE9207">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lang w:eastAsia="zh-CN"/>
        </w:rPr>
        <w:t>招标代理机构</w:t>
      </w:r>
      <w:r>
        <w:rPr>
          <w:rFonts w:hint="eastAsia" w:ascii="宋体" w:hAnsi="宋体" w:eastAsia="宋体" w:cs="Times New Roman"/>
          <w:color w:val="auto"/>
          <w:kern w:val="0"/>
          <w:szCs w:val="21"/>
          <w:highlight w:val="none"/>
        </w:rPr>
        <w:t>”指</w:t>
      </w:r>
      <w:r>
        <w:rPr>
          <w:rFonts w:hint="eastAsia" w:ascii="宋体" w:hAnsi="宋体" w:eastAsia="宋体" w:cs="Times New Roman"/>
          <w:color w:val="auto"/>
          <w:kern w:val="0"/>
          <w:szCs w:val="21"/>
          <w:highlight w:val="none"/>
          <w:lang w:eastAsia="zh-CN"/>
        </w:rPr>
        <w:t>广州宏达工程顾问集团有限公司</w:t>
      </w:r>
      <w:r>
        <w:rPr>
          <w:rFonts w:hint="eastAsia" w:ascii="宋体" w:hAnsi="宋体" w:eastAsia="宋体" w:cs="Times New Roman"/>
          <w:color w:val="auto"/>
          <w:kern w:val="0"/>
          <w:szCs w:val="21"/>
          <w:highlight w:val="none"/>
        </w:rPr>
        <w:t>；</w:t>
      </w:r>
    </w:p>
    <w:p w14:paraId="06A0FAD7">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3</w:t>
      </w:r>
      <w:r>
        <w:rPr>
          <w:rFonts w:hint="eastAsia"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”指参加</w:t>
      </w:r>
      <w:r>
        <w:rPr>
          <w:rFonts w:hint="eastAsia" w:ascii="宋体" w:hAnsi="宋体" w:eastAsia="宋体" w:cs="Times New Roman"/>
          <w:color w:val="auto"/>
          <w:kern w:val="0"/>
          <w:szCs w:val="21"/>
          <w:highlight w:val="none"/>
          <w:lang w:eastAsia="zh-CN"/>
        </w:rPr>
        <w:t>东莞市众源环境投资有限公司半干化泥粉外运资源化处置服务供应商库2025年第二次扩增供应商项目</w:t>
      </w:r>
      <w:r>
        <w:rPr>
          <w:rFonts w:hint="eastAsia" w:ascii="宋体" w:hAnsi="宋体" w:eastAsia="宋体" w:cs="Times New Roman"/>
          <w:color w:val="auto"/>
          <w:kern w:val="0"/>
          <w:szCs w:val="21"/>
          <w:highlight w:val="none"/>
        </w:rPr>
        <w:t>所需的服务的</w:t>
      </w:r>
      <w:r>
        <w:rPr>
          <w:rFonts w:hint="eastAsia" w:ascii="宋体" w:hAnsi="宋体" w:eastAsia="宋体" w:cs="Times New Roman"/>
          <w:color w:val="auto"/>
          <w:kern w:val="0"/>
          <w:szCs w:val="21"/>
          <w:highlight w:val="none"/>
          <w:lang w:eastAsia="zh-CN"/>
        </w:rPr>
        <w:t>投标</w:t>
      </w:r>
      <w:r>
        <w:rPr>
          <w:rFonts w:hint="eastAsia" w:ascii="宋体" w:hAnsi="宋体" w:eastAsia="宋体" w:cs="Times New Roman"/>
          <w:color w:val="auto"/>
          <w:kern w:val="0"/>
          <w:szCs w:val="21"/>
          <w:highlight w:val="none"/>
        </w:rPr>
        <w:t>，并向交易系统在线上传</w:t>
      </w:r>
      <w:r>
        <w:rPr>
          <w:rFonts w:hint="eastAsia" w:ascii="宋体" w:hAnsi="宋体" w:eastAsia="宋体" w:cs="Times New Roman"/>
          <w:color w:val="auto"/>
          <w:kern w:val="0"/>
          <w:szCs w:val="21"/>
          <w:highlight w:val="none"/>
          <w:lang w:eastAsia="zh-CN"/>
        </w:rPr>
        <w:t>投标文件</w:t>
      </w:r>
      <w:r>
        <w:rPr>
          <w:rFonts w:hint="eastAsia" w:ascii="宋体" w:hAnsi="宋体" w:eastAsia="宋体" w:cs="Times New Roman"/>
          <w:color w:val="auto"/>
          <w:kern w:val="0"/>
          <w:szCs w:val="21"/>
          <w:highlight w:val="none"/>
        </w:rPr>
        <w:t>的当事人；</w:t>
      </w:r>
    </w:p>
    <w:p w14:paraId="4298C5EE">
      <w:pPr>
        <w:autoSpaceDE w:val="0"/>
        <w:autoSpaceDN w:val="0"/>
        <w:adjustRightInd w:val="0"/>
        <w:spacing w:line="360" w:lineRule="auto"/>
        <w:ind w:left="441" w:leftChars="-60" w:hanging="567" w:hangingChars="270"/>
        <w:jc w:val="left"/>
        <w:rPr>
          <w:rFonts w:hint="eastAsia" w:ascii="宋体" w:hAnsi="宋体" w:eastAsia="宋体" w:cs="宋体"/>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4</w:t>
      </w:r>
      <w:r>
        <w:rPr>
          <w:rFonts w:hint="eastAsia" w:ascii="宋体" w:hAnsi="宋体" w:eastAsia="宋体" w:cs="Times New Roman"/>
          <w:color w:val="auto"/>
          <w:kern w:val="0"/>
          <w:szCs w:val="21"/>
          <w:highlight w:val="none"/>
        </w:rPr>
        <w:t>）</w:t>
      </w:r>
      <w:r>
        <w:rPr>
          <w:rFonts w:hint="eastAsia" w:ascii="宋体" w:hAnsi="宋体" w:eastAsia="宋体" w:cs="宋体"/>
          <w:color w:val="auto"/>
          <w:kern w:val="0"/>
          <w:szCs w:val="21"/>
          <w:highlight w:val="none"/>
        </w:rPr>
        <w:t>“评标委员会”是依照《中华人民共和国招标投标法》等法规组建的专门负责本次评标工作的临时性机构；</w:t>
      </w:r>
    </w:p>
    <w:p w14:paraId="6553D62C">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5</w:t>
      </w:r>
      <w:r>
        <w:rPr>
          <w:rFonts w:hint="eastAsia" w:ascii="宋体" w:hAnsi="宋体" w:eastAsia="宋体" w:cs="Times New Roman"/>
          <w:color w:val="auto"/>
          <w:kern w:val="0"/>
          <w:szCs w:val="21"/>
          <w:highlight w:val="none"/>
        </w:rPr>
        <w:t>）“</w:t>
      </w:r>
      <w:r>
        <w:rPr>
          <w:rFonts w:hint="eastAsia" w:ascii="宋体" w:hAnsi="宋体" w:eastAsia="宋体" w:cs="宋体"/>
          <w:color w:val="auto"/>
          <w:kern w:val="0"/>
          <w:szCs w:val="21"/>
          <w:highlight w:val="none"/>
        </w:rPr>
        <w:t>中标人</w:t>
      </w:r>
      <w:r>
        <w:rPr>
          <w:rFonts w:hint="eastAsia" w:ascii="宋体" w:hAnsi="宋体" w:eastAsia="宋体" w:cs="Times New Roman"/>
          <w:color w:val="auto"/>
          <w:kern w:val="0"/>
          <w:szCs w:val="21"/>
          <w:highlight w:val="none"/>
        </w:rPr>
        <w:t>”指其</w:t>
      </w:r>
      <w:r>
        <w:rPr>
          <w:rFonts w:hint="eastAsia" w:ascii="宋体" w:hAnsi="宋体" w:eastAsia="宋体" w:cs="Times New Roman"/>
          <w:color w:val="auto"/>
          <w:kern w:val="0"/>
          <w:szCs w:val="21"/>
          <w:highlight w:val="none"/>
          <w:lang w:eastAsia="zh-CN"/>
        </w:rPr>
        <w:t>投标</w:t>
      </w:r>
      <w:r>
        <w:rPr>
          <w:rFonts w:hint="eastAsia" w:ascii="宋体" w:hAnsi="宋体" w:eastAsia="宋体" w:cs="Times New Roman"/>
          <w:color w:val="auto"/>
          <w:kern w:val="0"/>
          <w:szCs w:val="21"/>
          <w:highlight w:val="none"/>
        </w:rPr>
        <w:t>被</w:t>
      </w:r>
      <w:r>
        <w:rPr>
          <w:rFonts w:hint="eastAsia" w:ascii="宋体" w:hAnsi="宋体" w:eastAsia="宋体" w:cs="Times New Roman"/>
          <w:color w:val="auto"/>
          <w:kern w:val="0"/>
          <w:szCs w:val="21"/>
          <w:highlight w:val="none"/>
          <w:lang w:eastAsia="zh-CN"/>
        </w:rPr>
        <w:t>招标人</w:t>
      </w:r>
      <w:r>
        <w:rPr>
          <w:rFonts w:hint="eastAsia" w:ascii="宋体" w:hAnsi="宋体" w:eastAsia="宋体" w:cs="Times New Roman"/>
          <w:color w:val="auto"/>
          <w:kern w:val="0"/>
          <w:szCs w:val="21"/>
          <w:highlight w:val="none"/>
        </w:rPr>
        <w:t>接受，并与</w:t>
      </w:r>
      <w:r>
        <w:rPr>
          <w:rFonts w:hint="eastAsia" w:ascii="宋体" w:hAnsi="宋体" w:eastAsia="宋体" w:cs="Times New Roman"/>
          <w:color w:val="auto"/>
          <w:kern w:val="0"/>
          <w:szCs w:val="21"/>
          <w:highlight w:val="none"/>
          <w:lang w:eastAsia="zh-CN"/>
        </w:rPr>
        <w:t>招标人</w:t>
      </w:r>
      <w:r>
        <w:rPr>
          <w:rFonts w:hint="eastAsia" w:ascii="宋体" w:hAnsi="宋体" w:eastAsia="宋体" w:cs="Times New Roman"/>
          <w:color w:val="auto"/>
          <w:kern w:val="0"/>
          <w:szCs w:val="21"/>
          <w:highlight w:val="none"/>
        </w:rPr>
        <w:t>签订合同的当事人；</w:t>
      </w:r>
    </w:p>
    <w:p w14:paraId="7C93C248">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6</w:t>
      </w:r>
      <w:r>
        <w:rPr>
          <w:rFonts w:hint="eastAsia" w:ascii="宋体" w:hAnsi="宋体" w:eastAsia="宋体" w:cs="Times New Roman"/>
          <w:color w:val="auto"/>
          <w:kern w:val="0"/>
          <w:szCs w:val="21"/>
          <w:highlight w:val="none"/>
        </w:rPr>
        <w:t>）“甲方”指在合同条款中指明的购买服务的单位，即</w:t>
      </w:r>
      <w:r>
        <w:rPr>
          <w:rFonts w:hint="eastAsia" w:ascii="宋体" w:hAnsi="宋体" w:eastAsia="宋体" w:cs="Times New Roman"/>
          <w:color w:val="auto"/>
          <w:kern w:val="0"/>
          <w:szCs w:val="21"/>
          <w:highlight w:val="none"/>
          <w:lang w:eastAsia="zh-CN"/>
        </w:rPr>
        <w:t>东莞市众源环境投资有限公司</w:t>
      </w:r>
      <w:r>
        <w:rPr>
          <w:rFonts w:hint="eastAsia" w:ascii="宋体" w:hAnsi="宋体" w:eastAsia="宋体" w:cs="Times New Roman"/>
          <w:color w:val="auto"/>
          <w:kern w:val="0"/>
          <w:szCs w:val="21"/>
          <w:highlight w:val="none"/>
        </w:rPr>
        <w:t>；</w:t>
      </w:r>
    </w:p>
    <w:p w14:paraId="72455953">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7</w:t>
      </w:r>
      <w:r>
        <w:rPr>
          <w:rFonts w:hint="eastAsia" w:ascii="宋体" w:hAnsi="宋体" w:eastAsia="宋体" w:cs="Times New Roman"/>
          <w:color w:val="auto"/>
          <w:kern w:val="0"/>
          <w:szCs w:val="21"/>
          <w:highlight w:val="none"/>
        </w:rPr>
        <w:t>）“乙方”指在合同条款中指明的本合同项下提供服务的公司或实体；</w:t>
      </w:r>
    </w:p>
    <w:p w14:paraId="2C0D095E">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8</w:t>
      </w:r>
      <w:r>
        <w:rPr>
          <w:rFonts w:hint="eastAsia"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lang w:eastAsia="zh-CN"/>
        </w:rPr>
        <w:t>招标文件</w:t>
      </w:r>
      <w:r>
        <w:rPr>
          <w:rFonts w:hint="eastAsia" w:ascii="宋体" w:hAnsi="宋体" w:eastAsia="宋体" w:cs="Times New Roman"/>
          <w:color w:val="auto"/>
          <w:kern w:val="0"/>
          <w:szCs w:val="21"/>
          <w:highlight w:val="none"/>
        </w:rPr>
        <w:t>”指包括</w:t>
      </w:r>
      <w:r>
        <w:rPr>
          <w:rFonts w:hint="eastAsia" w:ascii="宋体" w:hAnsi="宋体" w:eastAsia="宋体" w:cs="Times New Roman"/>
          <w:color w:val="auto"/>
          <w:kern w:val="0"/>
          <w:szCs w:val="21"/>
          <w:highlight w:val="none"/>
          <w:lang w:val="zh-CN"/>
        </w:rPr>
        <w:t>招标公告</w:t>
      </w:r>
      <w:r>
        <w:rPr>
          <w:rFonts w:hint="eastAsia" w:ascii="宋体" w:hAnsi="宋体" w:eastAsia="宋体" w:cs="Times New Roman"/>
          <w:color w:val="auto"/>
          <w:kern w:val="0"/>
          <w:szCs w:val="21"/>
          <w:highlight w:val="none"/>
        </w:rPr>
        <w:t>和</w:t>
      </w:r>
      <w:r>
        <w:rPr>
          <w:rFonts w:hint="eastAsia" w:ascii="宋体" w:hAnsi="宋体" w:eastAsia="宋体" w:cs="Times New Roman"/>
          <w:color w:val="auto"/>
          <w:kern w:val="0"/>
          <w:szCs w:val="21"/>
          <w:highlight w:val="none"/>
          <w:lang w:eastAsia="zh-CN"/>
        </w:rPr>
        <w:t>招标文件</w:t>
      </w:r>
      <w:r>
        <w:rPr>
          <w:rFonts w:hint="eastAsia" w:ascii="宋体" w:hAnsi="宋体" w:eastAsia="宋体" w:cs="Times New Roman"/>
          <w:color w:val="auto"/>
          <w:kern w:val="0"/>
          <w:szCs w:val="21"/>
          <w:highlight w:val="none"/>
        </w:rPr>
        <w:t>及其补充、变更和澄清等一系列文件；</w:t>
      </w:r>
    </w:p>
    <w:p w14:paraId="2B9EEF23">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9</w:t>
      </w:r>
      <w:r>
        <w:rPr>
          <w:rFonts w:hint="eastAsia"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lang w:eastAsia="zh-CN"/>
        </w:rPr>
        <w:t>投标文件</w:t>
      </w:r>
      <w:r>
        <w:rPr>
          <w:rFonts w:hint="eastAsia" w:ascii="宋体" w:hAnsi="宋体" w:eastAsia="宋体" w:cs="Times New Roman"/>
          <w:color w:val="auto"/>
          <w:kern w:val="0"/>
          <w:szCs w:val="21"/>
          <w:highlight w:val="none"/>
        </w:rPr>
        <w:t>”指</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根据本</w:t>
      </w:r>
      <w:r>
        <w:rPr>
          <w:rFonts w:hint="eastAsia" w:ascii="宋体" w:hAnsi="宋体" w:eastAsia="宋体" w:cs="Times New Roman"/>
          <w:color w:val="auto"/>
          <w:kern w:val="0"/>
          <w:szCs w:val="21"/>
          <w:highlight w:val="none"/>
          <w:lang w:eastAsia="zh-CN"/>
        </w:rPr>
        <w:t>招标文件</w:t>
      </w:r>
      <w:r>
        <w:rPr>
          <w:rFonts w:hint="eastAsia" w:ascii="宋体" w:hAnsi="宋体" w:eastAsia="宋体" w:cs="Times New Roman"/>
          <w:color w:val="auto"/>
          <w:kern w:val="0"/>
          <w:szCs w:val="21"/>
          <w:highlight w:val="none"/>
        </w:rPr>
        <w:t>向交易系统在线上传的全部文件；</w:t>
      </w:r>
    </w:p>
    <w:p w14:paraId="73EC7431">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10</w:t>
      </w:r>
      <w:r>
        <w:rPr>
          <w:rFonts w:hint="eastAsia" w:ascii="宋体" w:hAnsi="宋体" w:eastAsia="宋体" w:cs="Times New Roman"/>
          <w:color w:val="auto"/>
          <w:kern w:val="0"/>
          <w:szCs w:val="21"/>
          <w:highlight w:val="none"/>
        </w:rPr>
        <w:t>）“书面函件”指手写、打字或印刷的函件，包括电传、电报和传真；</w:t>
      </w:r>
    </w:p>
    <w:p w14:paraId="31A3F094">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11</w:t>
      </w:r>
      <w:r>
        <w:rPr>
          <w:rFonts w:hint="eastAsia" w:ascii="宋体" w:hAnsi="宋体" w:eastAsia="宋体" w:cs="Times New Roman"/>
          <w:color w:val="auto"/>
          <w:kern w:val="0"/>
          <w:szCs w:val="21"/>
          <w:highlight w:val="none"/>
        </w:rPr>
        <w:t>）“合同”指由本次</w:t>
      </w:r>
      <w:r>
        <w:rPr>
          <w:rFonts w:hint="eastAsia" w:ascii="宋体" w:hAnsi="宋体" w:eastAsia="宋体" w:cs="Times New Roman"/>
          <w:color w:val="auto"/>
          <w:kern w:val="0"/>
          <w:szCs w:val="21"/>
          <w:highlight w:val="none"/>
          <w:lang w:eastAsia="zh-CN"/>
        </w:rPr>
        <w:t>招标</w:t>
      </w:r>
      <w:r>
        <w:rPr>
          <w:rFonts w:hint="eastAsia" w:ascii="宋体" w:hAnsi="宋体" w:eastAsia="宋体" w:cs="Times New Roman"/>
          <w:color w:val="auto"/>
          <w:kern w:val="0"/>
          <w:szCs w:val="21"/>
          <w:highlight w:val="none"/>
        </w:rPr>
        <w:t>所产生的合同或合约文件；</w:t>
      </w:r>
    </w:p>
    <w:p w14:paraId="4440092E">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12</w:t>
      </w:r>
      <w:r>
        <w:rPr>
          <w:rFonts w:hint="eastAsia" w:ascii="宋体" w:hAnsi="宋体" w:eastAsia="宋体" w:cs="Times New Roman"/>
          <w:color w:val="auto"/>
          <w:kern w:val="0"/>
          <w:szCs w:val="21"/>
          <w:highlight w:val="none"/>
        </w:rPr>
        <w:t>）“日期”指公历日，“时间”指北京时间；</w:t>
      </w:r>
    </w:p>
    <w:p w14:paraId="680ABB2F">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13</w:t>
      </w:r>
      <w:r>
        <w:rPr>
          <w:rFonts w:hint="eastAsia" w:ascii="宋体" w:hAnsi="宋体" w:eastAsia="宋体" w:cs="Times New Roman"/>
          <w:color w:val="auto"/>
          <w:kern w:val="0"/>
          <w:szCs w:val="21"/>
          <w:highlight w:val="none"/>
        </w:rPr>
        <w:t>）本</w:t>
      </w:r>
      <w:r>
        <w:rPr>
          <w:rFonts w:hint="eastAsia" w:ascii="宋体" w:hAnsi="宋体" w:eastAsia="宋体" w:cs="Times New Roman"/>
          <w:color w:val="auto"/>
          <w:kern w:val="0"/>
          <w:szCs w:val="21"/>
          <w:highlight w:val="none"/>
          <w:lang w:eastAsia="zh-CN"/>
        </w:rPr>
        <w:t>招标文件</w:t>
      </w:r>
      <w:r>
        <w:rPr>
          <w:rFonts w:hint="eastAsia" w:ascii="宋体" w:hAnsi="宋体" w:eastAsia="宋体" w:cs="Times New Roman"/>
          <w:color w:val="auto"/>
          <w:kern w:val="0"/>
          <w:szCs w:val="21"/>
          <w:highlight w:val="none"/>
        </w:rPr>
        <w:t>中的“境内”特指中华人民共和国海关关境以内，“境外”特指中华人民共和国海关关境以外；</w:t>
      </w:r>
    </w:p>
    <w:p w14:paraId="7D741381">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14</w:t>
      </w:r>
      <w:r>
        <w:rPr>
          <w:rFonts w:hint="eastAsia" w:ascii="宋体" w:hAnsi="宋体" w:eastAsia="宋体" w:cs="Times New Roman"/>
          <w:color w:val="auto"/>
          <w:kern w:val="0"/>
          <w:szCs w:val="21"/>
          <w:highlight w:val="none"/>
        </w:rPr>
        <w:t>）不含税价，即为《中华人民共和国增值税暂行条例》（国务院令第6</w:t>
      </w:r>
      <w:r>
        <w:rPr>
          <w:rFonts w:ascii="宋体" w:hAnsi="宋体" w:eastAsia="宋体" w:cs="Times New Roman"/>
          <w:color w:val="auto"/>
          <w:kern w:val="0"/>
          <w:szCs w:val="21"/>
          <w:highlight w:val="none"/>
        </w:rPr>
        <w:t>91</w:t>
      </w:r>
      <w:r>
        <w:rPr>
          <w:rFonts w:hint="eastAsia" w:ascii="宋体" w:hAnsi="宋体" w:eastAsia="宋体" w:cs="Times New Roman"/>
          <w:color w:val="auto"/>
          <w:kern w:val="0"/>
          <w:szCs w:val="21"/>
          <w:highlight w:val="none"/>
        </w:rPr>
        <w:t>号修订版）规定的销售额。本</w:t>
      </w:r>
      <w:r>
        <w:rPr>
          <w:rFonts w:hint="eastAsia" w:ascii="宋体" w:hAnsi="宋体" w:eastAsia="宋体" w:cs="Times New Roman"/>
          <w:color w:val="auto"/>
          <w:kern w:val="0"/>
          <w:szCs w:val="21"/>
          <w:highlight w:val="none"/>
          <w:lang w:eastAsia="zh-CN"/>
        </w:rPr>
        <w:t>招标文件</w:t>
      </w:r>
      <w:r>
        <w:rPr>
          <w:rFonts w:hint="eastAsia" w:ascii="宋体" w:hAnsi="宋体" w:eastAsia="宋体" w:cs="Times New Roman"/>
          <w:color w:val="auto"/>
          <w:kern w:val="0"/>
          <w:szCs w:val="21"/>
          <w:highlight w:val="none"/>
        </w:rPr>
        <w:t>所称的不含税价和不含税合同价是指不含本采购项目</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的销项税额，包含了</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完成合同义务（含</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代缴代扣、分包及委外服务、</w:t>
      </w:r>
      <w:r>
        <w:rPr>
          <w:rFonts w:hint="eastAsia" w:ascii="宋体" w:hAnsi="宋体" w:eastAsia="宋体" w:cs="Times New Roman"/>
          <w:color w:val="auto"/>
          <w:kern w:val="0"/>
          <w:szCs w:val="21"/>
          <w:highlight w:val="none"/>
          <w:lang w:val="en-US" w:eastAsia="zh-CN"/>
        </w:rPr>
        <w:t>安装</w:t>
      </w:r>
      <w:r>
        <w:rPr>
          <w:rFonts w:hint="eastAsia" w:ascii="宋体" w:hAnsi="宋体" w:eastAsia="宋体" w:cs="Times New Roman"/>
          <w:color w:val="auto"/>
          <w:kern w:val="0"/>
          <w:szCs w:val="21"/>
          <w:highlight w:val="none"/>
        </w:rPr>
        <w:t>、采购货物等所产生的价税）的其他全部费用。本</w:t>
      </w:r>
      <w:r>
        <w:rPr>
          <w:rFonts w:hint="eastAsia" w:ascii="宋体" w:hAnsi="宋体" w:eastAsia="宋体" w:cs="Times New Roman"/>
          <w:color w:val="auto"/>
          <w:kern w:val="0"/>
          <w:szCs w:val="21"/>
          <w:highlight w:val="none"/>
          <w:lang w:val="en-US" w:eastAsia="zh-CN"/>
        </w:rPr>
        <w:t>项目</w:t>
      </w:r>
      <w:r>
        <w:rPr>
          <w:rFonts w:hint="eastAsia" w:ascii="宋体" w:hAnsi="宋体" w:eastAsia="宋体" w:cs="Times New Roman"/>
          <w:color w:val="auto"/>
          <w:kern w:val="0"/>
          <w:szCs w:val="21"/>
          <w:highlight w:val="none"/>
          <w:lang w:eastAsia="zh-CN"/>
        </w:rPr>
        <w:t>招标</w:t>
      </w:r>
      <w:r>
        <w:rPr>
          <w:rFonts w:hint="eastAsia" w:ascii="宋体" w:hAnsi="宋体" w:eastAsia="宋体" w:cs="Times New Roman"/>
          <w:color w:val="auto"/>
          <w:kern w:val="0"/>
          <w:szCs w:val="21"/>
          <w:highlight w:val="none"/>
        </w:rPr>
        <w:t>项目</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的销项税额由</w:t>
      </w:r>
      <w:r>
        <w:rPr>
          <w:rFonts w:hint="eastAsia" w:ascii="宋体" w:hAnsi="宋体" w:eastAsia="宋体" w:cs="Times New Roman"/>
          <w:color w:val="auto"/>
          <w:kern w:val="0"/>
          <w:szCs w:val="21"/>
          <w:highlight w:val="none"/>
          <w:lang w:eastAsia="zh-CN"/>
        </w:rPr>
        <w:t>招标人</w:t>
      </w:r>
      <w:r>
        <w:rPr>
          <w:rFonts w:hint="eastAsia" w:ascii="宋体" w:hAnsi="宋体" w:eastAsia="宋体" w:cs="Times New Roman"/>
          <w:color w:val="auto"/>
          <w:kern w:val="0"/>
          <w:szCs w:val="21"/>
          <w:highlight w:val="none"/>
        </w:rPr>
        <w:t>承担，不计入报价。</w:t>
      </w:r>
    </w:p>
    <w:p w14:paraId="363EE9D1">
      <w:pPr>
        <w:autoSpaceDE w:val="0"/>
        <w:autoSpaceDN w:val="0"/>
        <w:adjustRightInd w:val="0"/>
        <w:spacing w:line="360" w:lineRule="auto"/>
        <w:ind w:left="951" w:leftChars="78" w:hanging="787" w:hangingChars="375"/>
        <w:rPr>
          <w:rFonts w:ascii="宋体" w:hAnsi="宋体" w:eastAsia="宋体" w:cs="宋体"/>
          <w:color w:val="auto"/>
          <w:szCs w:val="21"/>
          <w:highlight w:val="none"/>
          <w:lang w:val="zh-CN"/>
        </w:rPr>
      </w:pPr>
    </w:p>
    <w:p w14:paraId="43D88785">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117" w:name="_Toc142508319"/>
      <w:bookmarkStart w:id="118" w:name="_Toc12945"/>
      <w:bookmarkStart w:id="119" w:name="_Toc29125_WPSOffice_Level3"/>
      <w:bookmarkStart w:id="120" w:name="_Toc450662855"/>
      <w:bookmarkStart w:id="121" w:name="_Toc25627"/>
      <w:bookmarkStart w:id="122" w:name="_Toc11346"/>
      <w:bookmarkStart w:id="123" w:name="_Toc486167669"/>
      <w:bookmarkStart w:id="124" w:name="_Toc3727"/>
      <w:bookmarkStart w:id="125" w:name="_Toc32057"/>
      <w:bookmarkStart w:id="126" w:name="_Toc26642"/>
      <w:bookmarkStart w:id="127" w:name="_Toc25201"/>
      <w:bookmarkStart w:id="128" w:name="_Toc195714223"/>
      <w:r>
        <w:rPr>
          <w:rFonts w:hint="eastAsia" w:ascii="宋体" w:hAnsi="宋体" w:eastAsia="宋体" w:cs="宋体"/>
          <w:color w:val="auto"/>
          <w:szCs w:val="21"/>
          <w:highlight w:val="none"/>
          <w:lang w:val="zh-CN"/>
        </w:rPr>
        <w:t>6</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招标文件的异议</w:t>
      </w:r>
      <w:bookmarkEnd w:id="117"/>
      <w:bookmarkEnd w:id="118"/>
      <w:bookmarkEnd w:id="119"/>
      <w:bookmarkEnd w:id="120"/>
      <w:bookmarkEnd w:id="121"/>
      <w:bookmarkEnd w:id="122"/>
      <w:bookmarkEnd w:id="123"/>
      <w:bookmarkEnd w:id="124"/>
      <w:bookmarkEnd w:id="125"/>
      <w:bookmarkEnd w:id="126"/>
      <w:bookmarkEnd w:id="127"/>
      <w:bookmarkEnd w:id="128"/>
    </w:p>
    <w:p w14:paraId="46D2674D">
      <w:pPr>
        <w:autoSpaceDE w:val="0"/>
        <w:autoSpaceDN w:val="0"/>
        <w:adjustRightInd w:val="0"/>
        <w:spacing w:line="360" w:lineRule="auto"/>
        <w:ind w:left="288" w:leftChars="137" w:firstLine="420" w:firstLineChars="200"/>
        <w:rPr>
          <w:rFonts w:ascii="宋体" w:hAnsi="宋体" w:eastAsia="宋体" w:cs="宋体"/>
          <w:bCs/>
          <w:color w:val="auto"/>
          <w:szCs w:val="21"/>
          <w:highlight w:val="none"/>
          <w:lang w:val="zh-CN"/>
        </w:rPr>
      </w:pPr>
      <w:r>
        <w:rPr>
          <w:rFonts w:hint="eastAsia" w:ascii="宋体" w:hAnsi="宋体" w:eastAsia="宋体" w:cs="Times New Roman"/>
          <w:bCs/>
          <w:color w:val="auto"/>
          <w:szCs w:val="21"/>
          <w:highlight w:val="none"/>
          <w:lang w:val="zh-CN"/>
        </w:rPr>
        <w:t>投标人或者其他利害关系人对招标文件有异议的，应当在投标截止时间</w:t>
      </w:r>
      <w:r>
        <w:rPr>
          <w:rFonts w:hint="eastAsia" w:ascii="宋体" w:hAnsi="宋体" w:eastAsia="宋体" w:cs="宋体"/>
          <w:bCs/>
          <w:color w:val="auto"/>
          <w:szCs w:val="21"/>
          <w:highlight w:val="none"/>
          <w:lang w:val="zh-CN"/>
        </w:rPr>
        <w:t>10</w:t>
      </w:r>
      <w:r>
        <w:rPr>
          <w:rFonts w:hint="eastAsia" w:ascii="宋体" w:hAnsi="宋体" w:eastAsia="宋体" w:cs="Times New Roman"/>
          <w:bCs/>
          <w:color w:val="auto"/>
          <w:szCs w:val="21"/>
          <w:highlight w:val="none"/>
          <w:lang w:val="zh-CN"/>
        </w:rPr>
        <w:t>日前以书面形式向招标代理机构提出，</w:t>
      </w:r>
      <w:r>
        <w:rPr>
          <w:rFonts w:hint="eastAsia" w:ascii="宋体" w:hAnsi="宋体" w:eastAsia="宋体" w:cs="Times New Roman"/>
          <w:b w:val="0"/>
          <w:bCs w:val="0"/>
          <w:color w:val="auto"/>
          <w:szCs w:val="21"/>
          <w:highlight w:val="none"/>
          <w:lang w:val="zh-CN"/>
        </w:rPr>
        <w:t>并将材料原件送达招标代理机构，逾期则视为对招标文件所有内容无异议。异议书面材料必须加盖投标人法人公章，并注明联系人、联系电话、联系地址。</w:t>
      </w:r>
      <w:r>
        <w:rPr>
          <w:rFonts w:hint="eastAsia" w:ascii="宋体" w:hAnsi="宋体" w:eastAsia="宋体" w:cs="Times New Roman"/>
          <w:bCs/>
          <w:color w:val="auto"/>
          <w:szCs w:val="21"/>
          <w:highlight w:val="none"/>
          <w:lang w:val="zh-CN"/>
        </w:rPr>
        <w:t>超出</w:t>
      </w:r>
      <w:r>
        <w:rPr>
          <w:rFonts w:hint="eastAsia" w:ascii="宋体" w:hAnsi="宋体" w:eastAsia="宋体" w:cs="Times New Roman"/>
          <w:color w:val="auto"/>
          <w:szCs w:val="21"/>
          <w:highlight w:val="none"/>
          <w:lang w:val="zh-CN"/>
        </w:rPr>
        <w:t>提交接收异议截止时间而</w:t>
      </w:r>
      <w:r>
        <w:rPr>
          <w:rFonts w:hint="eastAsia" w:ascii="宋体" w:hAnsi="宋体" w:eastAsia="宋体" w:cs="Times New Roman"/>
          <w:bCs/>
          <w:color w:val="auto"/>
          <w:szCs w:val="21"/>
          <w:highlight w:val="none"/>
          <w:lang w:val="zh-CN"/>
        </w:rPr>
        <w:t>提出的任何疑问，招标代理机构可不予答复。</w:t>
      </w:r>
      <w:r>
        <w:rPr>
          <w:rFonts w:hint="eastAsia" w:ascii="宋体" w:hAnsi="宋体" w:eastAsia="宋体" w:cs="Times New Roman"/>
          <w:b/>
          <w:bCs/>
          <w:color w:val="auto"/>
          <w:szCs w:val="21"/>
          <w:highlight w:val="none"/>
          <w:u w:val="single"/>
          <w:lang w:val="zh-CN"/>
        </w:rPr>
        <w:t>投标人必须在投标文件中提供投标承诺书（格式详见第</w:t>
      </w:r>
      <w:r>
        <w:rPr>
          <w:rFonts w:hint="eastAsia" w:ascii="宋体" w:hAnsi="宋体" w:eastAsia="宋体" w:cs="Times New Roman"/>
          <w:b/>
          <w:bCs/>
          <w:color w:val="auto"/>
          <w:szCs w:val="21"/>
          <w:highlight w:val="none"/>
          <w:u w:val="single"/>
          <w:lang w:val="en-US" w:eastAsia="zh-CN"/>
        </w:rPr>
        <w:t>六</w:t>
      </w:r>
      <w:r>
        <w:rPr>
          <w:rFonts w:hint="eastAsia" w:ascii="宋体" w:hAnsi="宋体" w:eastAsia="宋体" w:cs="Times New Roman"/>
          <w:b/>
          <w:bCs/>
          <w:color w:val="auto"/>
          <w:szCs w:val="21"/>
          <w:highlight w:val="none"/>
          <w:u w:val="single"/>
          <w:lang w:val="zh-CN"/>
        </w:rPr>
        <w:t>篇投标文件格式）</w:t>
      </w:r>
      <w:r>
        <w:rPr>
          <w:rFonts w:hint="eastAsia" w:ascii="宋体" w:hAnsi="宋体" w:eastAsia="宋体" w:cs="宋体"/>
          <w:b/>
          <w:bCs/>
          <w:color w:val="auto"/>
          <w:szCs w:val="21"/>
          <w:highlight w:val="none"/>
          <w:lang w:val="zh-CN"/>
        </w:rPr>
        <w:t>。</w:t>
      </w:r>
    </w:p>
    <w:p w14:paraId="79403EBC">
      <w:pPr>
        <w:autoSpaceDE w:val="0"/>
        <w:autoSpaceDN w:val="0"/>
        <w:adjustRightInd w:val="0"/>
        <w:spacing w:line="360" w:lineRule="auto"/>
        <w:ind w:left="290" w:leftChars="137" w:hanging="2" w:hangingChars="1"/>
        <w:rPr>
          <w:rFonts w:ascii="宋体" w:hAnsi="宋体" w:eastAsia="宋体" w:cs="宋体"/>
          <w:b/>
          <w:bCs/>
          <w:color w:val="auto"/>
          <w:szCs w:val="21"/>
          <w:highlight w:val="none"/>
          <w:lang w:val="zh-CN"/>
        </w:rPr>
      </w:pPr>
    </w:p>
    <w:p w14:paraId="58A378B1">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129" w:name="_Toc22277"/>
      <w:bookmarkStart w:id="130" w:name="_Toc195714224"/>
      <w:bookmarkStart w:id="131" w:name="_Toc29864"/>
      <w:bookmarkStart w:id="132" w:name="_Toc8058"/>
      <w:bookmarkStart w:id="133" w:name="_Toc15962"/>
      <w:bookmarkStart w:id="134" w:name="_Toc142508320"/>
      <w:bookmarkStart w:id="135" w:name="_Toc23483_WPSOffice_Level3"/>
      <w:bookmarkStart w:id="136" w:name="_Toc19288"/>
      <w:bookmarkStart w:id="137" w:name="_Toc21015"/>
      <w:bookmarkStart w:id="138" w:name="_Toc450662856"/>
      <w:bookmarkStart w:id="139" w:name="_Toc486167670"/>
      <w:bookmarkStart w:id="140" w:name="_Toc17145"/>
      <w:r>
        <w:rPr>
          <w:rFonts w:hint="eastAsia" w:ascii="宋体" w:hAnsi="宋体" w:eastAsia="宋体" w:cs="宋体"/>
          <w:color w:val="auto"/>
          <w:szCs w:val="21"/>
          <w:highlight w:val="none"/>
          <w:lang w:val="zh-CN"/>
        </w:rPr>
        <w:t>7</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招标文件的澄清及修改</w:t>
      </w:r>
      <w:bookmarkEnd w:id="129"/>
      <w:bookmarkEnd w:id="130"/>
      <w:bookmarkEnd w:id="131"/>
      <w:bookmarkEnd w:id="132"/>
      <w:bookmarkEnd w:id="133"/>
      <w:bookmarkEnd w:id="134"/>
      <w:bookmarkEnd w:id="135"/>
      <w:bookmarkEnd w:id="136"/>
      <w:bookmarkEnd w:id="137"/>
      <w:bookmarkEnd w:id="138"/>
      <w:bookmarkEnd w:id="139"/>
      <w:bookmarkEnd w:id="140"/>
    </w:p>
    <w:p w14:paraId="59D2A68B">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7.1  招标代理机构对已发出的招标文件进行必要澄清或者修改的，将在招标文件要求提交投标文件截止时间15日前，在招标信息发布媒介上发布更正公告，请各投标人密切留意。该澄清或者修改的内容为招标文件的组成部分。</w:t>
      </w:r>
    </w:p>
    <w:p w14:paraId="14CE890B">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7.2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项目特定情况下，招标代理机构必须延长投标截止时间和开标时间时，将在招标文件要求提交投标文件的截止时间前，在招标信息发布媒介上发布变更公告。</w:t>
      </w:r>
    </w:p>
    <w:p w14:paraId="4345AA05">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7.3  招标文件的修改、补充通知在</w:t>
      </w:r>
      <w:r>
        <w:rPr>
          <w:rFonts w:hint="eastAsia" w:ascii="宋体" w:hAnsi="宋体" w:eastAsia="宋体" w:cs="Times New Roman"/>
          <w:bCs/>
          <w:color w:val="auto"/>
          <w:szCs w:val="21"/>
          <w:highlight w:val="none"/>
        </w:rPr>
        <w:t>全国公共资源交易平台（广东省·东莞市）（https://ygp.gdzwfw.gov.cn/#/441900/index）、</w:t>
      </w:r>
      <w:r>
        <w:rPr>
          <w:rFonts w:ascii="宋体" w:hAnsi="宋体" w:eastAsia="宋体" w:cs="Times New Roman"/>
          <w:color w:val="auto"/>
          <w:szCs w:val="21"/>
          <w:highlight w:val="none"/>
          <w:lang w:val="zh-CN"/>
        </w:rPr>
        <w:t>中国</w:t>
      </w:r>
      <w:r>
        <w:rPr>
          <w:rFonts w:hint="eastAsia" w:ascii="宋体" w:hAnsi="宋体" w:eastAsia="宋体" w:cs="Times New Roman"/>
          <w:color w:val="auto"/>
          <w:szCs w:val="21"/>
          <w:highlight w:val="none"/>
          <w:lang w:val="zh-CN"/>
        </w:rPr>
        <w:t>招标投标</w:t>
      </w:r>
      <w:r>
        <w:rPr>
          <w:rFonts w:ascii="宋体" w:hAnsi="宋体" w:eastAsia="宋体" w:cs="Times New Roman"/>
          <w:color w:val="auto"/>
          <w:szCs w:val="21"/>
          <w:highlight w:val="none"/>
          <w:lang w:val="zh-CN"/>
        </w:rPr>
        <w:t>公共服务平台</w:t>
      </w:r>
      <w:r>
        <w:rPr>
          <w:rFonts w:ascii="宋体" w:hAnsi="宋体" w:eastAsia="宋体" w:cs="Times New Roman"/>
          <w:color w:val="auto"/>
          <w:szCs w:val="21"/>
          <w:highlight w:val="none"/>
        </w:rPr>
        <w:t>（</w:t>
      </w:r>
      <w:r>
        <w:rPr>
          <w:color w:val="auto"/>
          <w:highlight w:val="none"/>
        </w:rPr>
        <w:fldChar w:fldCharType="begin"/>
      </w:r>
      <w:r>
        <w:rPr>
          <w:color w:val="auto"/>
          <w:highlight w:val="none"/>
        </w:rPr>
        <w:instrText xml:space="preserve"> HYPERLINK "http://www.cebpubservice.com）、广东省招标投标监管" </w:instrText>
      </w:r>
      <w:r>
        <w:rPr>
          <w:color w:val="auto"/>
          <w:highlight w:val="none"/>
        </w:rPr>
        <w:fldChar w:fldCharType="separate"/>
      </w:r>
      <w:r>
        <w:rPr>
          <w:rFonts w:ascii="宋体" w:hAnsi="宋体" w:eastAsia="宋体" w:cs="Times New Roman"/>
          <w:color w:val="auto"/>
          <w:szCs w:val="21"/>
          <w:highlight w:val="none"/>
        </w:rPr>
        <w:t>www.cebpubservice.com）</w:t>
      </w:r>
      <w:r>
        <w:rPr>
          <w:rFonts w:ascii="宋体" w:hAnsi="宋体" w:eastAsia="宋体" w:cs="Times New Roman"/>
          <w:color w:val="auto"/>
          <w:szCs w:val="21"/>
          <w:highlight w:val="none"/>
          <w:lang w:val="zh-CN"/>
        </w:rPr>
        <w:t>、</w:t>
      </w:r>
      <w:r>
        <w:rPr>
          <w:rFonts w:ascii="宋体" w:hAnsi="宋体" w:eastAsia="宋体" w:cs="Times New Roman"/>
          <w:color w:val="auto"/>
          <w:szCs w:val="21"/>
          <w:highlight w:val="none"/>
          <w:lang w:val="zh-CN"/>
        </w:rPr>
        <w:fldChar w:fldCharType="end"/>
      </w:r>
      <w:r>
        <w:rPr>
          <w:rFonts w:hint="eastAsia" w:ascii="宋体" w:hAnsi="宋体" w:eastAsia="宋体" w:cs="宋体"/>
          <w:bCs/>
          <w:color w:val="auto"/>
          <w:szCs w:val="21"/>
          <w:highlight w:val="none"/>
          <w:lang w:eastAsia="zh-CN"/>
        </w:rPr>
        <w:t>东莞市水务环境投资控股集团有限公司</w:t>
      </w:r>
      <w:r>
        <w:rPr>
          <w:rFonts w:ascii="宋体" w:hAnsi="宋体" w:eastAsia="宋体" w:cs="Times New Roman"/>
          <w:color w:val="auto"/>
          <w:szCs w:val="21"/>
          <w:highlight w:val="none"/>
          <w:lang w:val="zh-CN"/>
        </w:rPr>
        <w:t>网</w:t>
      </w:r>
      <w:r>
        <w:rPr>
          <w:rFonts w:hint="eastAsia" w:ascii="宋体" w:hAnsi="宋体" w:eastAsia="宋体" w:cs="Times New Roman"/>
          <w:color w:val="auto"/>
          <w:szCs w:val="21"/>
          <w:highlight w:val="none"/>
          <w:lang w:val="en-US" w:eastAsia="zh-CN"/>
        </w:rPr>
        <w:t>站</w:t>
      </w:r>
      <w:r>
        <w:rPr>
          <w:rFonts w:ascii="宋体" w:hAnsi="宋体" w:eastAsia="宋体" w:cs="Times New Roman"/>
          <w:color w:val="auto"/>
          <w:szCs w:val="21"/>
          <w:highlight w:val="none"/>
        </w:rPr>
        <w:t>（</w:t>
      </w:r>
      <w:r>
        <w:rPr>
          <w:color w:val="auto"/>
          <w:highlight w:val="none"/>
        </w:rPr>
        <w:fldChar w:fldCharType="begin"/>
      </w:r>
      <w:r>
        <w:rPr>
          <w:color w:val="auto"/>
          <w:highlight w:val="none"/>
        </w:rPr>
        <w:instrText xml:space="preserve"> HYPERLINK "www.dgswjt.cn）、招标代理公司网站（http://%20%20%20%20%20%20%20%20%20%20%20%20%20%20）" </w:instrText>
      </w:r>
      <w:r>
        <w:rPr>
          <w:color w:val="auto"/>
          <w:highlight w:val="none"/>
        </w:rPr>
        <w:fldChar w:fldCharType="separate"/>
      </w:r>
      <w:r>
        <w:rPr>
          <w:rStyle w:val="58"/>
          <w:rFonts w:ascii="宋体" w:hAnsi="宋体" w:eastAsia="宋体" w:cs="Times New Roman"/>
          <w:color w:val="auto"/>
          <w:sz w:val="21"/>
          <w:szCs w:val="21"/>
          <w:highlight w:val="none"/>
        </w:rPr>
        <w:t>www.dgswjt.cn）</w:t>
      </w:r>
      <w:r>
        <w:rPr>
          <w:rStyle w:val="58"/>
          <w:rFonts w:ascii="宋体" w:hAnsi="宋体" w:eastAsia="宋体" w:cs="Times New Roman"/>
          <w:color w:val="auto"/>
          <w:sz w:val="21"/>
          <w:szCs w:val="21"/>
          <w:highlight w:val="none"/>
          <w:lang w:val="zh-CN"/>
        </w:rPr>
        <w:t>、</w:t>
      </w:r>
      <w:r>
        <w:rPr>
          <w:rStyle w:val="58"/>
          <w:rFonts w:hint="eastAsia" w:ascii="宋体" w:hAnsi="宋体" w:eastAsia="宋体" w:cs="Times New Roman"/>
          <w:bCs/>
          <w:color w:val="auto"/>
          <w:kern w:val="0"/>
          <w:sz w:val="21"/>
          <w:szCs w:val="21"/>
          <w:highlight w:val="none"/>
          <w:lang w:eastAsia="zh-CN"/>
        </w:rPr>
        <w:t>招标代理机构</w:t>
      </w:r>
      <w:r>
        <w:rPr>
          <w:rStyle w:val="58"/>
          <w:rFonts w:hint="eastAsia" w:ascii="宋体" w:hAnsi="宋体" w:eastAsia="宋体" w:cs="Times New Roman"/>
          <w:bCs/>
          <w:color w:val="auto"/>
          <w:kern w:val="0"/>
          <w:sz w:val="21"/>
          <w:szCs w:val="21"/>
          <w:highlight w:val="none"/>
        </w:rPr>
        <w:t>网站（</w:t>
      </w:r>
      <w:r>
        <w:rPr>
          <w:rFonts w:hint="eastAsia" w:ascii="宋体" w:hAnsi="宋体" w:eastAsia="宋体" w:cs="Times New Roman"/>
          <w:bCs/>
          <w:color w:val="auto"/>
          <w:szCs w:val="21"/>
          <w:highlight w:val="none"/>
          <w:lang w:eastAsia="zh-CN"/>
        </w:rPr>
        <w:t>www.wangtat.com.cn</w:t>
      </w:r>
      <w:r>
        <w:rPr>
          <w:rStyle w:val="58"/>
          <w:rFonts w:ascii="宋体" w:hAnsi="宋体" w:eastAsia="宋体" w:cs="Times New Roman"/>
          <w:bCs/>
          <w:color w:val="auto"/>
          <w:kern w:val="0"/>
          <w:sz w:val="21"/>
          <w:szCs w:val="21"/>
          <w:highlight w:val="none"/>
        </w:rPr>
        <w:t>）</w:t>
      </w:r>
      <w:r>
        <w:rPr>
          <w:rStyle w:val="58"/>
          <w:rFonts w:ascii="宋体" w:hAnsi="宋体" w:eastAsia="宋体" w:cs="Times New Roman"/>
          <w:bCs/>
          <w:color w:val="auto"/>
          <w:kern w:val="0"/>
          <w:sz w:val="21"/>
          <w:szCs w:val="21"/>
          <w:highlight w:val="none"/>
        </w:rPr>
        <w:fldChar w:fldCharType="end"/>
      </w:r>
      <w:r>
        <w:rPr>
          <w:rFonts w:hint="eastAsia" w:ascii="宋体" w:hAnsi="宋体" w:eastAsia="宋体" w:cs="宋体"/>
          <w:color w:val="auto"/>
          <w:szCs w:val="21"/>
          <w:highlight w:val="none"/>
          <w:lang w:val="zh-CN"/>
        </w:rPr>
        <w:t>公布，请各投标人密切留意。</w:t>
      </w:r>
    </w:p>
    <w:p w14:paraId="17B5E924">
      <w:pPr>
        <w:autoSpaceDE w:val="0"/>
        <w:autoSpaceDN w:val="0"/>
        <w:adjustRightInd w:val="0"/>
        <w:spacing w:line="360" w:lineRule="auto"/>
        <w:ind w:left="357" w:leftChars="-100" w:hanging="567"/>
        <w:rPr>
          <w:rFonts w:ascii="宋体" w:hAnsi="宋体" w:eastAsia="宋体" w:cs="宋体"/>
          <w:color w:val="auto"/>
          <w:szCs w:val="21"/>
          <w:highlight w:val="none"/>
        </w:rPr>
      </w:pPr>
    </w:p>
    <w:p w14:paraId="60A06973">
      <w:pPr>
        <w:keepNext/>
        <w:keepLines/>
        <w:tabs>
          <w:tab w:val="left" w:pos="509"/>
        </w:tabs>
        <w:autoSpaceDE w:val="0"/>
        <w:autoSpaceDN w:val="0"/>
        <w:adjustRightInd w:val="0"/>
        <w:spacing w:line="360" w:lineRule="auto"/>
        <w:jc w:val="left"/>
        <w:outlineLvl w:val="0"/>
        <w:rPr>
          <w:rFonts w:ascii="宋体" w:hAnsi="宋体" w:eastAsia="宋体" w:cs="宋体"/>
          <w:b/>
          <w:bCs/>
          <w:color w:val="auto"/>
          <w:kern w:val="44"/>
          <w:szCs w:val="21"/>
          <w:highlight w:val="none"/>
          <w:lang w:val="zh-CN"/>
        </w:rPr>
      </w:pPr>
      <w:bookmarkStart w:id="141" w:name="_Toc142508321"/>
      <w:bookmarkStart w:id="142" w:name="_Toc450662857"/>
      <w:bookmarkStart w:id="143" w:name="_Toc21633"/>
      <w:bookmarkStart w:id="144" w:name="_Toc32471"/>
      <w:bookmarkStart w:id="145" w:name="_Toc486167671"/>
      <w:bookmarkStart w:id="146" w:name="_Toc16673"/>
      <w:bookmarkStart w:id="147" w:name="_Toc23342"/>
      <w:bookmarkStart w:id="148" w:name="_Toc140596880"/>
      <w:bookmarkStart w:id="149" w:name="_Toc8711"/>
      <w:bookmarkStart w:id="150" w:name="_Toc29659_WPSOffice_Level2"/>
      <w:bookmarkStart w:id="151" w:name="_Toc195714225"/>
      <w:bookmarkStart w:id="152" w:name="_Toc12888"/>
      <w:bookmarkStart w:id="153" w:name="_Toc25667"/>
      <w:r>
        <w:rPr>
          <w:rFonts w:hint="eastAsia" w:ascii="宋体" w:hAnsi="宋体" w:eastAsia="宋体" w:cs="宋体"/>
          <w:b/>
          <w:bCs/>
          <w:color w:val="auto"/>
          <w:kern w:val="44"/>
          <w:szCs w:val="21"/>
          <w:highlight w:val="none"/>
          <w:lang w:val="zh-CN"/>
        </w:rPr>
        <w:t>三、投标文件的编制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391DA530">
      <w:pPr>
        <w:tabs>
          <w:tab w:val="left" w:pos="675"/>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154" w:name="_Toc486167672"/>
      <w:bookmarkStart w:id="155" w:name="_Toc142508322"/>
      <w:bookmarkStart w:id="156" w:name="_Toc10015_WPSOffice_Level3"/>
      <w:bookmarkStart w:id="157" w:name="_Toc450662858"/>
      <w:bookmarkStart w:id="158" w:name="_Toc7468"/>
      <w:bookmarkStart w:id="159" w:name="_Toc31569"/>
      <w:bookmarkStart w:id="160" w:name="_Toc1176"/>
      <w:bookmarkStart w:id="161" w:name="_Toc6244"/>
      <w:bookmarkStart w:id="162" w:name="_Toc6318"/>
      <w:bookmarkStart w:id="163" w:name="_Toc195714226"/>
      <w:bookmarkStart w:id="164" w:name="_Toc5614"/>
      <w:bookmarkStart w:id="165" w:name="_Toc31162"/>
      <w:r>
        <w:rPr>
          <w:rFonts w:hint="eastAsia" w:ascii="宋体" w:hAnsi="宋体" w:eastAsia="宋体" w:cs="宋体"/>
          <w:color w:val="auto"/>
          <w:szCs w:val="21"/>
          <w:highlight w:val="none"/>
          <w:lang w:val="zh-CN"/>
        </w:rPr>
        <w:t>8</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投标使用的文字及度量衡单位</w:t>
      </w:r>
      <w:bookmarkEnd w:id="154"/>
      <w:bookmarkEnd w:id="155"/>
      <w:bookmarkEnd w:id="156"/>
      <w:bookmarkEnd w:id="157"/>
      <w:bookmarkEnd w:id="158"/>
      <w:bookmarkEnd w:id="159"/>
      <w:bookmarkEnd w:id="160"/>
      <w:bookmarkEnd w:id="161"/>
      <w:bookmarkEnd w:id="162"/>
      <w:bookmarkEnd w:id="163"/>
      <w:bookmarkEnd w:id="164"/>
      <w:bookmarkEnd w:id="165"/>
    </w:p>
    <w:p w14:paraId="03BC592A">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8.1  投标人的投标文件以及投标人与招标代理机构就有关投标的所有往来函电均应使用简体中文。</w:t>
      </w:r>
    </w:p>
    <w:p w14:paraId="23D68047">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8.2  投标文件使用的度量衡单位采用中华人民共和国法定计量单位。</w:t>
      </w:r>
    </w:p>
    <w:p w14:paraId="0C81149E">
      <w:pPr>
        <w:autoSpaceDE w:val="0"/>
        <w:autoSpaceDN w:val="0"/>
        <w:adjustRightInd w:val="0"/>
        <w:spacing w:line="360" w:lineRule="auto"/>
        <w:rPr>
          <w:rFonts w:ascii="宋体" w:hAnsi="宋体" w:eastAsia="宋体" w:cs="宋体"/>
          <w:color w:val="auto"/>
          <w:szCs w:val="21"/>
          <w:highlight w:val="none"/>
          <w:lang w:val="zh-CN"/>
        </w:rPr>
      </w:pPr>
    </w:p>
    <w:p w14:paraId="3AAECCA4">
      <w:pPr>
        <w:tabs>
          <w:tab w:val="left" w:pos="540"/>
        </w:tabs>
        <w:autoSpaceDE w:val="0"/>
        <w:autoSpaceDN w:val="0"/>
        <w:adjustRightInd w:val="0"/>
        <w:spacing w:line="360" w:lineRule="auto"/>
        <w:ind w:left="357" w:leftChars="-100" w:hanging="567"/>
        <w:jc w:val="left"/>
        <w:outlineLvl w:val="2"/>
        <w:rPr>
          <w:rFonts w:ascii="宋体" w:hAnsi="宋体" w:eastAsia="宋体" w:cs="宋体"/>
          <w:color w:val="auto"/>
          <w:sz w:val="24"/>
          <w:szCs w:val="24"/>
          <w:highlight w:val="none"/>
          <w:lang w:val="zh-CN"/>
        </w:rPr>
      </w:pPr>
      <w:bookmarkStart w:id="166" w:name="_Toc450662859"/>
      <w:bookmarkStart w:id="167" w:name="_Toc10760"/>
      <w:bookmarkStart w:id="168" w:name="_Toc7348"/>
      <w:bookmarkStart w:id="169" w:name="_Toc24580"/>
      <w:bookmarkStart w:id="170" w:name="_Toc14943"/>
      <w:bookmarkStart w:id="171" w:name="_Toc9575"/>
      <w:bookmarkStart w:id="172" w:name="_Toc486167673"/>
      <w:bookmarkStart w:id="173" w:name="_Toc7988"/>
      <w:bookmarkStart w:id="174" w:name="_Toc195714227"/>
      <w:bookmarkStart w:id="175" w:name="_Toc142508323"/>
      <w:bookmarkStart w:id="176" w:name="_Toc15488"/>
      <w:bookmarkStart w:id="177" w:name="_Toc24916_WPSOffice_Level3"/>
      <w:r>
        <w:rPr>
          <w:rFonts w:hint="eastAsia" w:ascii="宋体" w:hAnsi="宋体" w:eastAsia="宋体" w:cs="宋体"/>
          <w:color w:val="auto"/>
          <w:szCs w:val="21"/>
          <w:highlight w:val="none"/>
          <w:lang w:val="zh-CN"/>
        </w:rPr>
        <w:t>9</w:t>
      </w:r>
      <w:r>
        <w:rPr>
          <w:rFonts w:ascii="宋体" w:hAnsi="宋体" w:eastAsia="宋体" w:cs="宋体"/>
          <w:color w:val="auto"/>
          <w:sz w:val="24"/>
          <w:szCs w:val="24"/>
          <w:highlight w:val="none"/>
          <w:lang w:val="zh-CN"/>
        </w:rPr>
        <w:t xml:space="preserve"> </w:t>
      </w:r>
      <w:r>
        <w:rPr>
          <w:rFonts w:hint="eastAsia" w:ascii="宋体" w:hAnsi="宋体" w:eastAsia="宋体" w:cs="宋体"/>
          <w:color w:val="auto"/>
          <w:szCs w:val="21"/>
          <w:highlight w:val="none"/>
          <w:lang w:val="zh-CN"/>
        </w:rPr>
        <w:t>投标文件的组成</w:t>
      </w:r>
      <w:bookmarkEnd w:id="166"/>
      <w:bookmarkEnd w:id="167"/>
      <w:bookmarkEnd w:id="168"/>
      <w:bookmarkEnd w:id="169"/>
      <w:bookmarkEnd w:id="170"/>
      <w:bookmarkEnd w:id="171"/>
      <w:bookmarkEnd w:id="172"/>
      <w:bookmarkEnd w:id="173"/>
      <w:bookmarkEnd w:id="174"/>
      <w:bookmarkEnd w:id="175"/>
      <w:bookmarkEnd w:id="176"/>
      <w:bookmarkEnd w:id="177"/>
    </w:p>
    <w:p w14:paraId="0575A64B">
      <w:pPr>
        <w:autoSpaceDE w:val="0"/>
        <w:autoSpaceDN w:val="0"/>
        <w:adjustRightInd w:val="0"/>
        <w:spacing w:line="360" w:lineRule="auto"/>
        <w:ind w:left="422" w:leftChars="-100" w:hanging="632" w:hangingChars="300"/>
        <w:rPr>
          <w:rFonts w:ascii="宋体" w:hAnsi="宋体" w:eastAsia="宋体" w:cs="Times New Roman"/>
          <w:b/>
          <w:color w:val="auto"/>
          <w:kern w:val="0"/>
          <w:szCs w:val="21"/>
          <w:highlight w:val="none"/>
        </w:rPr>
      </w:pPr>
      <w:r>
        <w:rPr>
          <w:rFonts w:hint="eastAsia" w:ascii="宋体" w:hAnsi="宋体" w:eastAsia="宋体" w:cs="宋体"/>
          <w:b/>
          <w:color w:val="auto"/>
          <w:kern w:val="0"/>
          <w:szCs w:val="24"/>
          <w:highlight w:val="none"/>
        </w:rPr>
        <w:t xml:space="preserve">9.1  </w:t>
      </w:r>
      <w:r>
        <w:rPr>
          <w:rFonts w:hint="eastAsia" w:ascii="宋体" w:hAnsi="宋体" w:eastAsia="宋体" w:cs="宋体"/>
          <w:color w:val="auto"/>
          <w:kern w:val="0"/>
          <w:szCs w:val="24"/>
          <w:highlight w:val="none"/>
          <w:lang w:eastAsia="zh-CN"/>
        </w:rPr>
        <w:t>投标文件</w:t>
      </w:r>
      <w:r>
        <w:rPr>
          <w:rFonts w:hint="eastAsia" w:ascii="宋体" w:hAnsi="宋体" w:eastAsia="宋体" w:cs="宋体"/>
          <w:color w:val="auto"/>
          <w:kern w:val="0"/>
          <w:szCs w:val="24"/>
          <w:highlight w:val="none"/>
        </w:rPr>
        <w:t>的组成：</w:t>
      </w:r>
      <w:r>
        <w:rPr>
          <w:rFonts w:hint="eastAsia" w:ascii="宋体" w:hAnsi="宋体" w:eastAsia="宋体" w:cs="Times New Roman"/>
          <w:b/>
          <w:color w:val="auto"/>
          <w:kern w:val="0"/>
          <w:szCs w:val="21"/>
          <w:highlight w:val="none"/>
          <w:u w:val="single"/>
          <w:lang w:eastAsia="zh-CN"/>
        </w:rPr>
        <w:t>商务标</w:t>
      </w:r>
      <w:r>
        <w:rPr>
          <w:rFonts w:hint="eastAsia" w:ascii="宋体" w:hAnsi="宋体" w:eastAsia="宋体" w:cs="Times New Roman"/>
          <w:b/>
          <w:color w:val="auto"/>
          <w:kern w:val="0"/>
          <w:szCs w:val="21"/>
          <w:highlight w:val="none"/>
          <w:u w:val="single"/>
        </w:rPr>
        <w:t>、</w:t>
      </w:r>
      <w:r>
        <w:rPr>
          <w:rFonts w:hint="eastAsia" w:ascii="宋体" w:hAnsi="宋体" w:eastAsia="宋体" w:cs="Times New Roman"/>
          <w:b/>
          <w:color w:val="auto"/>
          <w:kern w:val="0"/>
          <w:szCs w:val="21"/>
          <w:highlight w:val="none"/>
          <w:u w:val="single"/>
          <w:lang w:eastAsia="zh-CN"/>
        </w:rPr>
        <w:t>技术标</w:t>
      </w:r>
      <w:r>
        <w:rPr>
          <w:rFonts w:hint="eastAsia" w:ascii="宋体" w:hAnsi="宋体" w:eastAsia="宋体" w:cs="Times New Roman"/>
          <w:b/>
          <w:color w:val="auto"/>
          <w:kern w:val="0"/>
          <w:szCs w:val="21"/>
          <w:highlight w:val="none"/>
          <w:u w:val="single"/>
        </w:rPr>
        <w:t>、报价信封三部分组成。</w:t>
      </w:r>
    </w:p>
    <w:p w14:paraId="73A27672">
      <w:pPr>
        <w:autoSpaceDE w:val="0"/>
        <w:autoSpaceDN w:val="0"/>
        <w:adjustRightInd w:val="0"/>
        <w:spacing w:line="360" w:lineRule="auto"/>
        <w:ind w:left="422" w:leftChars="-100" w:hanging="632" w:hangingChars="300"/>
        <w:rPr>
          <w:rFonts w:ascii="宋体" w:hAnsi="宋体" w:eastAsia="宋体" w:cs="Times New Roman"/>
          <w:b/>
          <w:color w:val="auto"/>
          <w:kern w:val="0"/>
          <w:szCs w:val="21"/>
          <w:highlight w:val="none"/>
        </w:rPr>
      </w:pPr>
      <w:r>
        <w:rPr>
          <w:rFonts w:hint="eastAsia" w:ascii="宋体" w:hAnsi="宋体" w:eastAsia="宋体" w:cs="宋体"/>
          <w:b/>
          <w:color w:val="auto"/>
          <w:kern w:val="0"/>
          <w:szCs w:val="24"/>
          <w:highlight w:val="none"/>
        </w:rPr>
        <w:t xml:space="preserve">9.1.1 </w:t>
      </w:r>
      <w:r>
        <w:rPr>
          <w:rFonts w:hint="eastAsia" w:ascii="宋体" w:hAnsi="宋体" w:eastAsia="宋体" w:cs="宋体"/>
          <w:b/>
          <w:color w:val="auto"/>
          <w:kern w:val="0"/>
          <w:szCs w:val="24"/>
          <w:highlight w:val="none"/>
          <w:lang w:eastAsia="zh-CN"/>
        </w:rPr>
        <w:t>商务标</w:t>
      </w:r>
      <w:r>
        <w:rPr>
          <w:rFonts w:hint="eastAsia" w:ascii="宋体" w:hAnsi="宋体" w:eastAsia="宋体" w:cs="宋体"/>
          <w:b/>
          <w:color w:val="auto"/>
          <w:kern w:val="0"/>
          <w:szCs w:val="24"/>
          <w:highlight w:val="none"/>
        </w:rPr>
        <w:t>：</w:t>
      </w:r>
    </w:p>
    <w:p w14:paraId="1C651CBE">
      <w:pPr>
        <w:autoSpaceDE w:val="0"/>
        <w:autoSpaceDN w:val="0"/>
        <w:adjustRightInd w:val="0"/>
        <w:spacing w:line="360" w:lineRule="auto"/>
        <w:jc w:val="left"/>
        <w:rPr>
          <w:rFonts w:ascii="宋体" w:hAnsi="宋体" w:eastAsia="宋体" w:cs="Times New Roman"/>
          <w:b/>
          <w:color w:val="auto"/>
          <w:kern w:val="0"/>
          <w:szCs w:val="21"/>
          <w:highlight w:val="none"/>
          <w:lang w:val="zh-CN"/>
        </w:rPr>
      </w:pPr>
      <w:r>
        <w:rPr>
          <w:rFonts w:hint="eastAsia" w:ascii="宋体" w:hAnsi="宋体" w:eastAsia="宋体" w:cs="Times New Roman"/>
          <w:color w:val="auto"/>
          <w:kern w:val="0"/>
          <w:sz w:val="24"/>
          <w:szCs w:val="24"/>
          <w:highlight w:val="none"/>
          <w:lang w:val="zh-CN"/>
        </w:rPr>
        <w:t xml:space="preserve">  </w:t>
      </w:r>
      <w:r>
        <w:rPr>
          <w:rFonts w:ascii="宋体" w:hAnsi="宋体" w:eastAsia="宋体" w:cs="Times New Roman"/>
          <w:color w:val="auto"/>
          <w:kern w:val="0"/>
          <w:sz w:val="24"/>
          <w:szCs w:val="24"/>
          <w:highlight w:val="none"/>
          <w:lang w:val="zh-CN"/>
        </w:rPr>
        <w:t xml:space="preserve"> </w:t>
      </w:r>
      <w:r>
        <w:rPr>
          <w:rFonts w:hint="eastAsia" w:ascii="宋体" w:hAnsi="宋体" w:eastAsia="宋体" w:cs="Times New Roman"/>
          <w:b/>
          <w:color w:val="auto"/>
          <w:kern w:val="0"/>
          <w:szCs w:val="21"/>
          <w:highlight w:val="none"/>
          <w:lang w:val="zh-CN"/>
        </w:rPr>
        <w:t>目录：</w:t>
      </w:r>
    </w:p>
    <w:p w14:paraId="452B8EE4">
      <w:pPr>
        <w:tabs>
          <w:tab w:val="left" w:pos="567"/>
        </w:tabs>
        <w:autoSpaceDE w:val="0"/>
        <w:autoSpaceDN w:val="0"/>
        <w:adjustRightInd w:val="0"/>
        <w:spacing w:line="360" w:lineRule="auto"/>
        <w:ind w:left="105" w:leftChars="-100" w:hanging="315" w:hanging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（1）投标函；</w:t>
      </w:r>
    </w:p>
    <w:p w14:paraId="39EA6018">
      <w:pPr>
        <w:tabs>
          <w:tab w:val="left" w:pos="567"/>
        </w:tabs>
        <w:autoSpaceDE w:val="0"/>
        <w:autoSpaceDN w:val="0"/>
        <w:adjustRightInd w:val="0"/>
        <w:spacing w:line="360" w:lineRule="auto"/>
        <w:ind w:left="105" w:leftChars="-100" w:hanging="315" w:hanging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val="zh-CN"/>
        </w:rPr>
        <w:t>）投标承诺书；</w:t>
      </w:r>
    </w:p>
    <w:p w14:paraId="1A36EDEA">
      <w:pPr>
        <w:tabs>
          <w:tab w:val="left" w:pos="567"/>
        </w:tabs>
        <w:autoSpaceDE w:val="0"/>
        <w:autoSpaceDN w:val="0"/>
        <w:adjustRightInd w:val="0"/>
        <w:spacing w:line="360" w:lineRule="auto"/>
        <w:ind w:left="105" w:leftChars="-100" w:hanging="315" w:hanging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（3）供货及/或提供服务过程承诺函；</w:t>
      </w:r>
    </w:p>
    <w:p w14:paraId="7613A17C">
      <w:pPr>
        <w:tabs>
          <w:tab w:val="left" w:pos="567"/>
        </w:tabs>
        <w:autoSpaceDE w:val="0"/>
        <w:autoSpaceDN w:val="0"/>
        <w:adjustRightInd w:val="0"/>
        <w:spacing w:line="360" w:lineRule="auto"/>
        <w:ind w:left="105" w:leftChars="-100" w:hanging="315" w:hanging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val="zh-CN"/>
        </w:rPr>
        <w:t>）投标人资格证明文件：</w:t>
      </w:r>
    </w:p>
    <w:p w14:paraId="692F2B35">
      <w:pPr>
        <w:autoSpaceDE w:val="0"/>
        <w:autoSpaceDN w:val="0"/>
        <w:adjustRightInd w:val="0"/>
        <w:spacing w:line="360" w:lineRule="auto"/>
        <w:ind w:left="283" w:hanging="283" w:hangingChars="135"/>
        <w:rPr>
          <w:rFonts w:ascii="宋体" w:hAnsi="宋体" w:eastAsia="宋体" w:cs="Times New Roman"/>
          <w:color w:val="auto"/>
          <w:szCs w:val="21"/>
          <w:highlight w:val="none"/>
          <w:lang w:val="zh-CN"/>
        </w:rPr>
      </w:pPr>
      <w:r>
        <w:rPr>
          <w:rFonts w:ascii="宋体" w:hAnsi="宋体" w:eastAsia="宋体" w:cs="Times New Roman"/>
          <w:color w:val="auto"/>
          <w:szCs w:val="21"/>
          <w:highlight w:val="none"/>
          <w:lang w:val="zh-CN"/>
        </w:rPr>
        <w:t>1）多证合一营业执照</w:t>
      </w:r>
      <w:r>
        <w:rPr>
          <w:rFonts w:hint="eastAsia" w:ascii="宋体" w:hAnsi="宋体" w:eastAsia="宋体" w:cs="Times New Roman"/>
          <w:color w:val="auto"/>
          <w:kern w:val="0"/>
          <w:szCs w:val="21"/>
          <w:highlight w:val="none"/>
        </w:rPr>
        <w:t>（或事业单位法人证书）</w:t>
      </w:r>
      <w:r>
        <w:rPr>
          <w:rFonts w:hint="eastAsia" w:ascii="宋体" w:hAnsi="宋体" w:eastAsia="宋体" w:cs="Times New Roman"/>
          <w:color w:val="auto"/>
          <w:szCs w:val="21"/>
          <w:highlight w:val="none"/>
          <w:lang w:val="zh-CN"/>
        </w:rPr>
        <w:t>原件扫描件</w:t>
      </w:r>
      <w:r>
        <w:rPr>
          <w:rFonts w:ascii="宋体" w:hAnsi="宋体" w:eastAsia="宋体" w:cs="Times New Roman"/>
          <w:color w:val="auto"/>
          <w:szCs w:val="21"/>
          <w:highlight w:val="none"/>
          <w:lang w:val="zh-CN"/>
        </w:rPr>
        <w:t>；</w:t>
      </w:r>
    </w:p>
    <w:p w14:paraId="3BEBF4E1">
      <w:pPr>
        <w:autoSpaceDE w:val="0"/>
        <w:autoSpaceDN w:val="0"/>
        <w:adjustRightInd w:val="0"/>
        <w:spacing w:line="360" w:lineRule="auto"/>
        <w:ind w:left="283" w:hanging="283" w:hangingChars="135"/>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rPr>
        <w:t>2</w:t>
      </w:r>
      <w:r>
        <w:rPr>
          <w:rFonts w:hint="eastAsia" w:ascii="宋体" w:hAnsi="宋体" w:eastAsia="宋体" w:cs="Times New Roman"/>
          <w:color w:val="auto"/>
          <w:szCs w:val="21"/>
          <w:highlight w:val="none"/>
          <w:lang w:val="zh-CN"/>
        </w:rPr>
        <w:t>）</w:t>
      </w:r>
      <w:r>
        <w:rPr>
          <w:rFonts w:ascii="宋体" w:hAnsi="宋体" w:eastAsia="宋体" w:cs="Times New Roman"/>
          <w:color w:val="auto"/>
          <w:szCs w:val="21"/>
          <w:highlight w:val="none"/>
          <w:lang w:val="zh-CN"/>
        </w:rPr>
        <w:t>开户许可证</w:t>
      </w:r>
      <w:r>
        <w:rPr>
          <w:rFonts w:hint="eastAsia" w:ascii="宋体" w:hAnsi="宋体" w:eastAsia="宋体" w:cs="Times New Roman"/>
          <w:color w:val="auto"/>
          <w:szCs w:val="21"/>
          <w:highlight w:val="none"/>
          <w:lang w:val="zh-CN"/>
        </w:rPr>
        <w:t>原件扫描件</w:t>
      </w:r>
      <w:r>
        <w:rPr>
          <w:rFonts w:ascii="宋体" w:hAnsi="宋体" w:eastAsia="宋体" w:cs="Times New Roman"/>
          <w:color w:val="auto"/>
          <w:szCs w:val="21"/>
          <w:highlight w:val="none"/>
          <w:lang w:val="zh-CN"/>
        </w:rPr>
        <w:t>（基本存款账户）</w:t>
      </w:r>
      <w:r>
        <w:rPr>
          <w:rFonts w:hint="eastAsia" w:ascii="宋体" w:hAnsi="宋体" w:eastAsia="宋体" w:cs="Times New Roman"/>
          <w:color w:val="auto"/>
          <w:szCs w:val="21"/>
          <w:highlight w:val="none"/>
          <w:lang w:val="zh-CN"/>
        </w:rPr>
        <w:t>，如投标人企业银行账户开户所在地区已取消企业银行账户许可，投标人应提供基本存款账户开户名称、开户银行、账号、编号等信息及相关备案证明（如有）或其他能证明其为基本存款账户的资料原件扫描件</w:t>
      </w:r>
      <w:r>
        <w:rPr>
          <w:rFonts w:ascii="宋体" w:hAnsi="宋体" w:eastAsia="宋体" w:cs="Times New Roman"/>
          <w:color w:val="auto"/>
          <w:szCs w:val="21"/>
          <w:highlight w:val="none"/>
          <w:lang w:val="zh-CN"/>
        </w:rPr>
        <w:t>；</w:t>
      </w:r>
    </w:p>
    <w:p w14:paraId="1C4580A8">
      <w:pPr>
        <w:autoSpaceDE w:val="0"/>
        <w:autoSpaceDN w:val="0"/>
        <w:adjustRightInd w:val="0"/>
        <w:spacing w:line="360" w:lineRule="auto"/>
        <w:ind w:left="283" w:hanging="283" w:hangingChars="135"/>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en-US" w:eastAsia="zh-CN"/>
        </w:rPr>
        <w:t>3</w:t>
      </w:r>
      <w:r>
        <w:rPr>
          <w:rFonts w:ascii="宋体" w:hAnsi="宋体" w:eastAsia="宋体" w:cs="Times New Roman"/>
          <w:color w:val="auto"/>
          <w:szCs w:val="21"/>
          <w:highlight w:val="none"/>
          <w:lang w:val="zh-CN"/>
        </w:rPr>
        <w:t>）法定代表人身份证明书和法定代表人授权书（法定代表人</w:t>
      </w:r>
      <w:r>
        <w:rPr>
          <w:rFonts w:hint="eastAsia" w:ascii="宋体" w:hAnsi="宋体" w:eastAsia="宋体" w:cs="Times New Roman"/>
          <w:color w:val="auto"/>
          <w:szCs w:val="21"/>
          <w:highlight w:val="none"/>
          <w:lang w:val="zh-CN"/>
        </w:rPr>
        <w:t>投标</w:t>
      </w:r>
      <w:r>
        <w:rPr>
          <w:rFonts w:ascii="宋体" w:hAnsi="宋体" w:eastAsia="宋体" w:cs="Times New Roman"/>
          <w:color w:val="auto"/>
          <w:szCs w:val="21"/>
          <w:highlight w:val="none"/>
          <w:lang w:val="zh-CN"/>
        </w:rPr>
        <w:t>时只提供法定代表人身份证明书，委托</w:t>
      </w:r>
      <w:r>
        <w:rPr>
          <w:rFonts w:ascii="宋体" w:hAnsi="宋体" w:eastAsia="宋体" w:cs="Times New Roman"/>
          <w:color w:val="auto"/>
          <w:szCs w:val="21"/>
          <w:highlight w:val="none"/>
        </w:rPr>
        <w:t>他人</w:t>
      </w:r>
      <w:r>
        <w:rPr>
          <w:rFonts w:ascii="宋体" w:hAnsi="宋体" w:eastAsia="宋体" w:cs="Times New Roman"/>
          <w:color w:val="auto"/>
          <w:szCs w:val="21"/>
          <w:highlight w:val="none"/>
          <w:lang w:val="zh-CN"/>
        </w:rPr>
        <w:t>为</w:t>
      </w:r>
      <w:r>
        <w:rPr>
          <w:rFonts w:hint="eastAsia" w:ascii="宋体" w:hAnsi="宋体" w:eastAsia="宋体" w:cs="Times New Roman"/>
          <w:color w:val="auto"/>
          <w:szCs w:val="21"/>
          <w:highlight w:val="none"/>
          <w:lang w:val="zh-CN"/>
        </w:rPr>
        <w:t>投标</w:t>
      </w:r>
      <w:r>
        <w:rPr>
          <w:rFonts w:ascii="宋体" w:hAnsi="宋体" w:eastAsia="宋体" w:cs="Times New Roman"/>
          <w:color w:val="auto"/>
          <w:szCs w:val="21"/>
          <w:highlight w:val="none"/>
          <w:lang w:val="zh-CN"/>
        </w:rPr>
        <w:t>代表</w:t>
      </w:r>
      <w:r>
        <w:rPr>
          <w:rFonts w:hint="eastAsia" w:ascii="宋体" w:hAnsi="宋体" w:eastAsia="宋体" w:cs="宋体"/>
          <w:color w:val="auto"/>
          <w:szCs w:val="21"/>
          <w:highlight w:val="none"/>
          <w:lang w:val="zh-CN"/>
        </w:rPr>
        <w:t>时同时提供法定代表人授权书</w:t>
      </w:r>
      <w:r>
        <w:rPr>
          <w:rFonts w:ascii="宋体" w:hAnsi="宋体" w:eastAsia="宋体" w:cs="Times New Roman"/>
          <w:color w:val="auto"/>
          <w:szCs w:val="21"/>
          <w:highlight w:val="none"/>
          <w:lang w:val="zh-CN"/>
        </w:rPr>
        <w:t>）；</w:t>
      </w:r>
    </w:p>
    <w:p w14:paraId="21E808AF">
      <w:pPr>
        <w:autoSpaceDE w:val="0"/>
        <w:autoSpaceDN w:val="0"/>
        <w:adjustRightInd w:val="0"/>
        <w:spacing w:line="360" w:lineRule="auto"/>
        <w:ind w:left="283" w:hanging="283" w:hangingChars="135"/>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4）投标人</w:t>
      </w:r>
      <w:r>
        <w:rPr>
          <w:rFonts w:hint="default" w:ascii="宋体" w:hAnsi="宋体" w:eastAsia="宋体" w:cs="Times New Roman"/>
          <w:color w:val="auto"/>
          <w:szCs w:val="21"/>
          <w:highlight w:val="none"/>
          <w:lang w:val="en-US" w:eastAsia="zh-CN"/>
        </w:rPr>
        <w:t>提供其</w:t>
      </w:r>
      <w:r>
        <w:rPr>
          <w:rFonts w:hint="eastAsia" w:ascii="宋体" w:hAnsi="宋体" w:eastAsia="宋体" w:cs="Times New Roman"/>
          <w:color w:val="auto"/>
          <w:szCs w:val="21"/>
          <w:highlight w:val="none"/>
          <w:lang w:val="en-US" w:eastAsia="zh-CN"/>
        </w:rPr>
        <w:t>泥粉/污泥处置场所已取得的生态环境主管部门环境影响评价文件[场所包含市政（生活/城市/城镇污水处理厂、净水厂）泥粉/污泥处理或处置相关内容]的批复文件原件扫描件或该场所已取得地级市（或以上）生态环境主管部门同意其处置泥粉/污泥的批复文件原件扫描件，且提供前述泥粉/污泥处置场所环境保护（设施）验收合格证明材料原件扫描件或已取得生态环境主管部门的环保验收批复原件扫描件；</w:t>
      </w:r>
    </w:p>
    <w:p w14:paraId="5E2FACFF">
      <w:pPr>
        <w:tabs>
          <w:tab w:val="left" w:pos="1276"/>
        </w:tabs>
        <w:spacing w:line="360" w:lineRule="auto"/>
        <w:ind w:left="283" w:hanging="283" w:hangingChars="135"/>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5）投标人泥粉/污泥处置场所生产的产品属于主管部门规定需取得生产许可资质要求的，提供已取得所属行业主管部门的生产许可资质证明材料原件扫描件，或投标人泥粉/污泥处置场所生产的产品不属于主管部门规定需取得生产许可资质要求的，提供“关于泥粉/污泥处置场所</w:t>
      </w:r>
      <w:r>
        <w:rPr>
          <w:rFonts w:hint="eastAsia" w:ascii="宋体" w:hAnsi="宋体" w:eastAsia="宋体" w:cs="宋体"/>
          <w:bCs/>
          <w:szCs w:val="21"/>
          <w:highlight w:val="none"/>
          <w:lang w:eastAsia="zh-CN"/>
        </w:rPr>
        <w:t>生产的产品</w:t>
      </w:r>
      <w:r>
        <w:rPr>
          <w:rFonts w:hint="eastAsia" w:ascii="宋体" w:hAnsi="宋体" w:eastAsia="宋体"/>
          <w:color w:val="auto"/>
          <w:szCs w:val="21"/>
          <w:highlight w:val="none"/>
          <w:lang w:val="en-US" w:eastAsia="zh-CN"/>
        </w:rPr>
        <w:t>无需生产许可资质的承诺函”（格式详见第六篇投标文件格式）；</w:t>
      </w:r>
    </w:p>
    <w:p w14:paraId="206893A1">
      <w:pPr>
        <w:autoSpaceDE w:val="0"/>
        <w:autoSpaceDN w:val="0"/>
        <w:adjustRightInd w:val="0"/>
        <w:spacing w:line="360" w:lineRule="auto"/>
        <w:ind w:left="913" w:hanging="913" w:hangingChars="435"/>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zh-CN"/>
        </w:rPr>
        <w:t>最近3年投标人牵涉的其他（失信和违法）</w:t>
      </w:r>
      <w:r>
        <w:rPr>
          <w:rFonts w:hint="eastAsia" w:ascii="宋体" w:hAnsi="宋体" w:eastAsia="宋体" w:cs="宋体"/>
          <w:color w:val="auto"/>
          <w:kern w:val="0"/>
          <w:szCs w:val="21"/>
          <w:highlight w:val="none"/>
        </w:rPr>
        <w:t>处罚说明</w:t>
      </w:r>
      <w:r>
        <w:rPr>
          <w:rFonts w:hint="eastAsia" w:ascii="宋体" w:hAnsi="宋体" w:eastAsia="宋体" w:cs="宋体"/>
          <w:color w:val="auto"/>
          <w:szCs w:val="21"/>
          <w:highlight w:val="none"/>
          <w:lang w:val="zh-CN"/>
        </w:rPr>
        <w:t>；</w:t>
      </w:r>
    </w:p>
    <w:p w14:paraId="3B708A2B">
      <w:pPr>
        <w:tabs>
          <w:tab w:val="left" w:pos="567"/>
        </w:tabs>
        <w:autoSpaceDE w:val="0"/>
        <w:autoSpaceDN w:val="0"/>
        <w:adjustRightInd w:val="0"/>
        <w:spacing w:line="360" w:lineRule="auto"/>
        <w:ind w:left="105" w:leftChars="-100" w:hanging="315" w:hanging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val="zh-CN"/>
        </w:rPr>
        <w:t>）投标人基本情况；</w:t>
      </w:r>
    </w:p>
    <w:p w14:paraId="581D2789">
      <w:pPr>
        <w:tabs>
          <w:tab w:val="left" w:pos="567"/>
        </w:tabs>
        <w:autoSpaceDE w:val="0"/>
        <w:autoSpaceDN w:val="0"/>
        <w:adjustRightInd w:val="0"/>
        <w:spacing w:line="360" w:lineRule="auto"/>
        <w:ind w:left="105" w:leftChars="-100" w:hanging="315" w:hanging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lang w:val="zh-CN"/>
        </w:rPr>
        <w:t>）投标人财务状况表；</w:t>
      </w:r>
    </w:p>
    <w:p w14:paraId="3AC5263F">
      <w:pPr>
        <w:tabs>
          <w:tab w:val="left" w:pos="567"/>
        </w:tabs>
        <w:spacing w:line="360" w:lineRule="auto"/>
        <w:ind w:left="105" w:leftChars="-100" w:hanging="315" w:hanging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lang w:val="zh-CN"/>
        </w:rPr>
        <w:t>）标准化体系认证；</w:t>
      </w:r>
    </w:p>
    <w:p w14:paraId="2B83B709">
      <w:pPr>
        <w:tabs>
          <w:tab w:val="left" w:pos="567"/>
        </w:tabs>
        <w:spacing w:line="360" w:lineRule="auto"/>
        <w:ind w:left="105" w:leftChars="-100" w:hanging="315" w:hangingChars="150"/>
        <w:rPr>
          <w:rFonts w:hint="eastAsia" w:ascii="宋体" w:hAnsi="宋体" w:eastAsia="宋体" w:cs="宋体"/>
          <w:color w:val="auto"/>
          <w:szCs w:val="21"/>
          <w:highlight w:val="none"/>
          <w:lang w:val="zh-CN"/>
        </w:rPr>
      </w:pP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）合同条款响应程度（合同条款偏离表）；</w:t>
      </w:r>
    </w:p>
    <w:p w14:paraId="254C22EE">
      <w:pPr>
        <w:tabs>
          <w:tab w:val="left" w:pos="567"/>
        </w:tabs>
        <w:autoSpaceDE w:val="0"/>
        <w:autoSpaceDN w:val="0"/>
        <w:adjustRightInd w:val="0"/>
        <w:spacing w:line="360" w:lineRule="auto"/>
        <w:ind w:left="105" w:leftChars="-100" w:hanging="315" w:hangingChars="15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9</w:t>
      </w:r>
      <w:r>
        <w:rPr>
          <w:rFonts w:hint="eastAsia" w:ascii="宋体" w:hAnsi="宋体" w:eastAsia="宋体" w:cs="宋体"/>
          <w:color w:val="auto"/>
          <w:kern w:val="0"/>
          <w:szCs w:val="21"/>
          <w:highlight w:val="none"/>
        </w:rPr>
        <w:t>）</w:t>
      </w:r>
      <w:r>
        <w:rPr>
          <w:rFonts w:hint="eastAsia" w:ascii="宋体" w:hAnsi="宋体" w:eastAsia="宋体" w:cs="宋体"/>
          <w:color w:val="auto"/>
          <w:sz w:val="21"/>
          <w:szCs w:val="21"/>
          <w:highlight w:val="none"/>
          <w:lang w:val="en-US" w:eastAsia="zh-CN"/>
        </w:rPr>
        <w:t>处置能力；</w:t>
      </w:r>
    </w:p>
    <w:p w14:paraId="6521A619">
      <w:pPr>
        <w:tabs>
          <w:tab w:val="left" w:pos="567"/>
        </w:tabs>
        <w:autoSpaceDE w:val="0"/>
        <w:autoSpaceDN w:val="0"/>
        <w:adjustRightInd w:val="0"/>
        <w:spacing w:line="360" w:lineRule="auto"/>
        <w:ind w:left="105" w:leftChars="-100" w:hanging="315" w:hanging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lang w:val="zh-CN"/>
        </w:rPr>
        <w:t>）业绩表；</w:t>
      </w:r>
    </w:p>
    <w:p w14:paraId="16B46A9C">
      <w:pPr>
        <w:tabs>
          <w:tab w:val="left" w:pos="567"/>
        </w:tabs>
        <w:autoSpaceDE w:val="0"/>
        <w:autoSpaceDN w:val="0"/>
        <w:adjustRightInd w:val="0"/>
        <w:spacing w:line="360" w:lineRule="auto"/>
        <w:ind w:left="315" w:leftChars="-100" w:hanging="525" w:hangingChars="2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11</w:t>
      </w:r>
      <w:r>
        <w:rPr>
          <w:rFonts w:hint="eastAsia" w:ascii="宋体" w:hAnsi="宋体" w:eastAsia="宋体" w:cs="宋体"/>
          <w:color w:val="auto"/>
          <w:szCs w:val="21"/>
          <w:highlight w:val="none"/>
          <w:lang w:val="zh-CN"/>
        </w:rPr>
        <w:t>）服务便利性响应时间承诺表；</w:t>
      </w:r>
    </w:p>
    <w:p w14:paraId="52BFAD4C">
      <w:pPr>
        <w:tabs>
          <w:tab w:val="left" w:pos="567"/>
        </w:tabs>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lang w:val="zh-CN"/>
        </w:rPr>
        <w:t>）投标人资格证明文件以外的其他资质证书、知识产权证书及获得的相关获奖、认证证书、社会评价资料证明文件扫描件等投标人认为有需要证明其具备为本次招标项目提供有关服务能力的有关其它商务文件（不做强制要求）。</w:t>
      </w:r>
    </w:p>
    <w:p w14:paraId="6D35AF5B">
      <w:pPr>
        <w:autoSpaceDE w:val="0"/>
        <w:autoSpaceDN w:val="0"/>
        <w:adjustRightInd w:val="0"/>
        <w:spacing w:line="360" w:lineRule="auto"/>
        <w:ind w:left="422" w:leftChars="-100" w:hanging="632" w:hangingChars="300"/>
        <w:rPr>
          <w:rFonts w:ascii="宋体" w:hAnsi="宋体" w:eastAsia="宋体" w:cs="宋体"/>
          <w:b/>
          <w:color w:val="auto"/>
          <w:kern w:val="0"/>
          <w:szCs w:val="24"/>
          <w:highlight w:val="none"/>
        </w:rPr>
      </w:pPr>
      <w:r>
        <w:rPr>
          <w:rFonts w:hint="eastAsia" w:ascii="宋体" w:hAnsi="宋体" w:eastAsia="宋体" w:cs="宋体"/>
          <w:b/>
          <w:color w:val="auto"/>
          <w:kern w:val="0"/>
          <w:szCs w:val="24"/>
          <w:highlight w:val="none"/>
        </w:rPr>
        <w:t xml:space="preserve">9.1.2 </w:t>
      </w:r>
      <w:r>
        <w:rPr>
          <w:rFonts w:hint="eastAsia" w:ascii="宋体" w:hAnsi="宋体" w:eastAsia="宋体" w:cs="宋体"/>
          <w:b/>
          <w:color w:val="auto"/>
          <w:kern w:val="0"/>
          <w:szCs w:val="24"/>
          <w:highlight w:val="none"/>
          <w:lang w:eastAsia="zh-CN"/>
        </w:rPr>
        <w:t>技术标</w:t>
      </w:r>
      <w:r>
        <w:rPr>
          <w:rFonts w:hint="eastAsia" w:ascii="宋体" w:hAnsi="宋体" w:eastAsia="宋体" w:cs="宋体"/>
          <w:b/>
          <w:color w:val="auto"/>
          <w:kern w:val="0"/>
          <w:szCs w:val="24"/>
          <w:highlight w:val="none"/>
        </w:rPr>
        <w:t>：</w:t>
      </w:r>
    </w:p>
    <w:p w14:paraId="2961A4D1">
      <w:pPr>
        <w:autoSpaceDE w:val="0"/>
        <w:autoSpaceDN w:val="0"/>
        <w:adjustRightInd w:val="0"/>
        <w:spacing w:line="360" w:lineRule="auto"/>
        <w:ind w:right="-23" w:rightChars="-11"/>
        <w:jc w:val="left"/>
        <w:rPr>
          <w:rFonts w:ascii="宋体" w:hAnsi="宋体" w:eastAsia="宋体" w:cs="Times New Roman"/>
          <w:b/>
          <w:bCs/>
          <w:color w:val="auto"/>
          <w:kern w:val="0"/>
          <w:szCs w:val="21"/>
          <w:highlight w:val="none"/>
          <w:lang w:val="zh-CN"/>
        </w:rPr>
      </w:pPr>
      <w:r>
        <w:rPr>
          <w:rFonts w:hint="eastAsia" w:ascii="宋体" w:hAnsi="宋体" w:eastAsia="宋体" w:cs="Times New Roman"/>
          <w:b/>
          <w:bCs/>
          <w:color w:val="auto"/>
          <w:kern w:val="0"/>
          <w:szCs w:val="21"/>
          <w:highlight w:val="none"/>
          <w:lang w:val="zh-CN"/>
        </w:rPr>
        <w:t xml:space="preserve"> </w:t>
      </w:r>
      <w:r>
        <w:rPr>
          <w:rFonts w:ascii="宋体" w:hAnsi="宋体" w:eastAsia="宋体" w:cs="Times New Roman"/>
          <w:b/>
          <w:bCs/>
          <w:color w:val="auto"/>
          <w:kern w:val="0"/>
          <w:szCs w:val="21"/>
          <w:highlight w:val="none"/>
          <w:lang w:val="zh-CN"/>
        </w:rPr>
        <w:t xml:space="preserve">   </w:t>
      </w:r>
      <w:r>
        <w:rPr>
          <w:rFonts w:hint="eastAsia" w:ascii="宋体" w:hAnsi="宋体" w:eastAsia="宋体" w:cs="Times New Roman"/>
          <w:b/>
          <w:bCs/>
          <w:color w:val="auto"/>
          <w:kern w:val="0"/>
          <w:szCs w:val="21"/>
          <w:highlight w:val="none"/>
          <w:lang w:val="zh-CN"/>
        </w:rPr>
        <w:t>目录：</w:t>
      </w:r>
    </w:p>
    <w:p w14:paraId="3C7E2CD0">
      <w:pPr>
        <w:spacing w:line="360" w:lineRule="auto"/>
        <w:ind w:left="105" w:leftChars="-100" w:hanging="315" w:hangingChars="15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（1）用户需求响应程度（即用户需求偏离表）；</w:t>
      </w:r>
    </w:p>
    <w:p w14:paraId="29D4F2CA">
      <w:pPr>
        <w:numPr>
          <w:ilvl w:val="-1"/>
          <w:numId w:val="0"/>
        </w:numPr>
        <w:spacing w:line="360" w:lineRule="auto"/>
        <w:ind w:left="105" w:leftChars="-100" w:hanging="315" w:hangingChars="15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zh-CN"/>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zh-CN"/>
        </w:rPr>
        <w:t>）半干化泥粉</w:t>
      </w:r>
      <w:r>
        <w:rPr>
          <w:rFonts w:hint="eastAsia" w:ascii="宋体" w:hAnsi="宋体" w:eastAsia="宋体" w:cs="宋体"/>
          <w:color w:val="auto"/>
          <w:kern w:val="0"/>
          <w:sz w:val="21"/>
          <w:szCs w:val="21"/>
          <w:highlight w:val="none"/>
          <w:lang w:val="en-US" w:eastAsia="zh-CN"/>
        </w:rPr>
        <w:t>/污泥处置服务</w:t>
      </w:r>
      <w:r>
        <w:rPr>
          <w:rFonts w:hint="eastAsia" w:ascii="宋体" w:hAnsi="宋体" w:eastAsia="宋体" w:cs="宋体"/>
          <w:color w:val="auto"/>
          <w:kern w:val="0"/>
          <w:sz w:val="21"/>
          <w:szCs w:val="21"/>
          <w:highlight w:val="none"/>
          <w:lang w:val="zh-CN"/>
        </w:rPr>
        <w:t>方案</w:t>
      </w:r>
      <w:r>
        <w:rPr>
          <w:rFonts w:hint="eastAsia" w:ascii="宋体" w:hAnsi="宋体" w:eastAsia="宋体" w:cs="宋体"/>
          <w:color w:val="auto"/>
          <w:kern w:val="0"/>
          <w:sz w:val="21"/>
          <w:szCs w:val="21"/>
          <w:highlight w:val="none"/>
          <w:lang w:val="en-US" w:eastAsia="zh-CN"/>
        </w:rPr>
        <w:t>；</w:t>
      </w:r>
    </w:p>
    <w:p w14:paraId="3B9089EF">
      <w:pPr>
        <w:numPr>
          <w:ilvl w:val="-1"/>
          <w:numId w:val="0"/>
        </w:numPr>
        <w:spacing w:line="360" w:lineRule="auto"/>
        <w:ind w:left="105" w:leftChars="-100" w:hanging="315" w:hangingChars="15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（3）半干化泥粉/污泥处置方式；</w:t>
      </w:r>
    </w:p>
    <w:p w14:paraId="7F15EB9A">
      <w:pPr>
        <w:spacing w:line="360" w:lineRule="auto"/>
        <w:ind w:left="105" w:leftChars="-100" w:hanging="315" w:hangingChars="150"/>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）应急预案和保障措施</w:t>
      </w:r>
      <w:r>
        <w:rPr>
          <w:rFonts w:hint="eastAsia" w:ascii="宋体" w:hAnsi="宋体" w:eastAsia="宋体" w:cs="宋体"/>
          <w:color w:val="auto"/>
          <w:kern w:val="0"/>
          <w:szCs w:val="21"/>
          <w:highlight w:val="none"/>
          <w:lang w:val="en-US" w:eastAsia="zh-CN"/>
        </w:rPr>
        <w:t>；</w:t>
      </w:r>
    </w:p>
    <w:p w14:paraId="224C2676">
      <w:pPr>
        <w:numPr>
          <w:ilvl w:val="-1"/>
          <w:numId w:val="0"/>
        </w:numPr>
        <w:spacing w:line="360" w:lineRule="auto"/>
        <w:ind w:left="105" w:leftChars="-100" w:hanging="315" w:hangingChars="15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投标人</w:t>
      </w:r>
      <w:r>
        <w:rPr>
          <w:rFonts w:hint="eastAsia" w:ascii="宋体" w:hAnsi="宋体" w:eastAsia="宋体" w:cs="宋体"/>
          <w:color w:val="auto"/>
          <w:kern w:val="0"/>
          <w:szCs w:val="21"/>
          <w:highlight w:val="none"/>
        </w:rPr>
        <w:t>认为有必要提供的其它材料（不做强制要求）。</w:t>
      </w:r>
    </w:p>
    <w:p w14:paraId="5F4491D3">
      <w:pPr>
        <w:autoSpaceDE w:val="0"/>
        <w:autoSpaceDN w:val="0"/>
        <w:adjustRightInd w:val="0"/>
        <w:spacing w:line="360" w:lineRule="auto"/>
        <w:ind w:left="422" w:leftChars="-100" w:hanging="632" w:hangingChars="300"/>
        <w:rPr>
          <w:rFonts w:ascii="宋体" w:hAnsi="宋体" w:eastAsia="宋体" w:cs="宋体"/>
          <w:b/>
          <w:bCs/>
          <w:color w:val="auto"/>
          <w:szCs w:val="21"/>
          <w:highlight w:val="none"/>
          <w:lang w:val="zh-CN"/>
        </w:rPr>
      </w:pPr>
      <w:r>
        <w:rPr>
          <w:rFonts w:hint="eastAsia" w:ascii="宋体" w:hAnsi="宋体" w:eastAsia="宋体" w:cs="宋体"/>
          <w:b/>
          <w:bCs/>
          <w:color w:val="auto"/>
          <w:szCs w:val="21"/>
          <w:highlight w:val="none"/>
          <w:lang w:val="zh-CN"/>
        </w:rPr>
        <w:t>9.1.</w:t>
      </w:r>
      <w:r>
        <w:rPr>
          <w:rFonts w:hint="eastAsia" w:ascii="宋体" w:hAnsi="宋体" w:eastAsia="宋体" w:cs="宋体"/>
          <w:b/>
          <w:bCs/>
          <w:color w:val="auto"/>
          <w:szCs w:val="21"/>
          <w:highlight w:val="none"/>
        </w:rPr>
        <w:t>3</w:t>
      </w:r>
      <w:r>
        <w:rPr>
          <w:rFonts w:hint="eastAsia" w:ascii="宋体" w:hAnsi="宋体" w:eastAsia="宋体" w:cs="宋体"/>
          <w:b/>
          <w:bCs/>
          <w:color w:val="auto"/>
          <w:szCs w:val="21"/>
          <w:highlight w:val="none"/>
          <w:lang w:val="zh-CN"/>
        </w:rPr>
        <w:t xml:space="preserve"> 报价信封</w:t>
      </w:r>
    </w:p>
    <w:p w14:paraId="7F6CBF1A">
      <w:pPr>
        <w:autoSpaceDE w:val="0"/>
        <w:autoSpaceDN w:val="0"/>
        <w:adjustRightInd w:val="0"/>
        <w:spacing w:line="360" w:lineRule="auto"/>
        <w:ind w:left="420" w:leftChars="200"/>
        <w:rPr>
          <w:rFonts w:ascii="宋体" w:hAnsi="宋体" w:eastAsia="宋体" w:cs="宋体"/>
          <w:color w:val="auto"/>
          <w:szCs w:val="21"/>
          <w:highlight w:val="none"/>
        </w:rPr>
      </w:pPr>
      <w:r>
        <w:rPr>
          <w:rFonts w:hint="eastAsia" w:ascii="宋体" w:hAnsi="宋体" w:eastAsia="宋体" w:cs="宋体"/>
          <w:color w:val="auto"/>
          <w:szCs w:val="21"/>
          <w:highlight w:val="none"/>
        </w:rPr>
        <w:t>按照</w:t>
      </w:r>
      <w:r>
        <w:rPr>
          <w:rFonts w:hint="eastAsia" w:ascii="宋体" w:hAnsi="宋体" w:eastAsia="宋体" w:cs="宋体"/>
          <w:color w:val="auto"/>
          <w:szCs w:val="21"/>
          <w:highlight w:val="none"/>
          <w:lang w:eastAsia="zh-CN"/>
        </w:rPr>
        <w:t>投标文件</w:t>
      </w:r>
      <w:r>
        <w:rPr>
          <w:rFonts w:hint="eastAsia" w:ascii="宋体" w:hAnsi="宋体" w:eastAsia="宋体" w:cs="宋体"/>
          <w:color w:val="auto"/>
          <w:szCs w:val="21"/>
          <w:highlight w:val="none"/>
        </w:rPr>
        <w:t>格式中的要求进行编制。</w:t>
      </w:r>
    </w:p>
    <w:p w14:paraId="242EAC68">
      <w:pPr>
        <w:autoSpaceDE w:val="0"/>
        <w:autoSpaceDN w:val="0"/>
        <w:adjustRightInd w:val="0"/>
        <w:spacing w:line="360" w:lineRule="auto"/>
        <w:ind w:left="317" w:leftChars="-100" w:hanging="527" w:hangingChars="250"/>
        <w:rPr>
          <w:rFonts w:ascii="宋体" w:hAnsi="宋体" w:eastAsia="宋体" w:cs="宋体"/>
          <w:b/>
          <w:bCs/>
          <w:color w:val="auto"/>
          <w:szCs w:val="21"/>
          <w:highlight w:val="none"/>
        </w:rPr>
      </w:pPr>
      <w:r>
        <w:rPr>
          <w:rFonts w:ascii="宋体" w:hAnsi="宋体" w:eastAsia="宋体" w:cs="宋体"/>
          <w:b/>
          <w:bCs/>
          <w:color w:val="auto"/>
          <w:szCs w:val="21"/>
          <w:highlight w:val="none"/>
        </w:rPr>
        <w:t xml:space="preserve">9.2  </w:t>
      </w:r>
      <w:r>
        <w:rPr>
          <w:rFonts w:hint="eastAsia" w:ascii="宋体" w:hAnsi="宋体" w:eastAsia="宋体" w:cs="宋体"/>
          <w:b/>
          <w:bCs/>
          <w:color w:val="auto"/>
          <w:szCs w:val="21"/>
          <w:highlight w:val="none"/>
          <w:lang w:eastAsia="zh-CN"/>
        </w:rPr>
        <w:t>投标文件</w:t>
      </w:r>
      <w:r>
        <w:rPr>
          <w:rFonts w:hint="eastAsia" w:ascii="宋体" w:hAnsi="宋体" w:eastAsia="宋体" w:cs="宋体"/>
          <w:b/>
          <w:bCs/>
          <w:color w:val="auto"/>
          <w:szCs w:val="21"/>
          <w:highlight w:val="none"/>
        </w:rPr>
        <w:t>格式</w:t>
      </w:r>
      <w:r>
        <w:rPr>
          <w:rFonts w:ascii="宋体" w:hAnsi="宋体" w:eastAsia="宋体" w:cs="宋体"/>
          <w:b/>
          <w:bCs/>
          <w:color w:val="auto"/>
          <w:szCs w:val="21"/>
          <w:highlight w:val="none"/>
        </w:rPr>
        <w:t xml:space="preserve"> </w:t>
      </w:r>
    </w:p>
    <w:p w14:paraId="3A110308">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）商务标必须按招标文件所附的商务标格式编制（参见第</w:t>
      </w:r>
      <w:r>
        <w:rPr>
          <w:rFonts w:hint="eastAsia" w:ascii="宋体" w:hAnsi="宋体" w:eastAsia="宋体" w:cs="宋体"/>
          <w:color w:val="auto"/>
          <w:szCs w:val="21"/>
          <w:highlight w:val="none"/>
          <w:lang w:val="en-US" w:eastAsia="zh-CN"/>
        </w:rPr>
        <w:t>六</w:t>
      </w:r>
      <w:r>
        <w:rPr>
          <w:rFonts w:hint="eastAsia" w:ascii="宋体" w:hAnsi="宋体" w:eastAsia="宋体" w:cs="宋体"/>
          <w:color w:val="auto"/>
          <w:szCs w:val="21"/>
          <w:highlight w:val="none"/>
          <w:lang w:val="zh-CN"/>
        </w:rPr>
        <w:t>篇）。</w:t>
      </w:r>
    </w:p>
    <w:p w14:paraId="600AB8C0">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）技术标必须按招标文件所附的技术标格式编制（参见第</w:t>
      </w:r>
      <w:r>
        <w:rPr>
          <w:rFonts w:hint="eastAsia" w:ascii="宋体" w:hAnsi="宋体" w:eastAsia="宋体" w:cs="宋体"/>
          <w:color w:val="auto"/>
          <w:szCs w:val="21"/>
          <w:highlight w:val="none"/>
          <w:lang w:val="en-US" w:eastAsia="zh-CN"/>
        </w:rPr>
        <w:t>六</w:t>
      </w:r>
      <w:r>
        <w:rPr>
          <w:rFonts w:hint="eastAsia" w:ascii="宋体" w:hAnsi="宋体" w:eastAsia="宋体" w:cs="宋体"/>
          <w:color w:val="auto"/>
          <w:szCs w:val="21"/>
          <w:highlight w:val="none"/>
          <w:lang w:val="zh-CN"/>
        </w:rPr>
        <w:t>篇）。</w:t>
      </w:r>
    </w:p>
    <w:p w14:paraId="52DE5D4B">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）报价信封由投标人使用电子标书制作软件编制（参见第</w:t>
      </w:r>
      <w:r>
        <w:rPr>
          <w:rFonts w:hint="eastAsia" w:ascii="宋体" w:hAnsi="宋体" w:eastAsia="宋体" w:cs="宋体"/>
          <w:color w:val="auto"/>
          <w:szCs w:val="21"/>
          <w:highlight w:val="none"/>
          <w:lang w:val="en-US" w:eastAsia="zh-CN"/>
        </w:rPr>
        <w:t>六</w:t>
      </w:r>
      <w:r>
        <w:rPr>
          <w:rFonts w:hint="eastAsia" w:ascii="宋体" w:hAnsi="宋体" w:eastAsia="宋体" w:cs="宋体"/>
          <w:color w:val="auto"/>
          <w:szCs w:val="21"/>
          <w:highlight w:val="none"/>
          <w:lang w:val="zh-CN"/>
        </w:rPr>
        <w:t>篇）。</w:t>
      </w:r>
    </w:p>
    <w:p w14:paraId="26428F7F">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9.</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 xml:space="preserve">  投标人按照投标文件的组成目录编制投标文件应包括上述内容，但不限于上述内容。招标文件提供了相关格式的，严格按照招标文件的要求编制，投标文件未含格式的，投标人自行编制。投标文件编制中要求的复印件、照片可为该资料扫描件。</w:t>
      </w:r>
    </w:p>
    <w:p w14:paraId="2774445F">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9.</w:t>
      </w: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zh-CN"/>
        </w:rPr>
        <w:t xml:space="preserve">  </w:t>
      </w:r>
      <w:r>
        <w:rPr>
          <w:rFonts w:hint="eastAsia" w:ascii="宋体" w:hAnsi="宋体" w:eastAsia="宋体" w:cs="宋体"/>
          <w:b/>
          <w:color w:val="auto"/>
          <w:szCs w:val="21"/>
          <w:highlight w:val="none"/>
          <w:u w:val="single"/>
          <w:lang w:val="zh-CN"/>
        </w:rPr>
        <w:t>投标文件中相关证件、证书、合同、</w:t>
      </w:r>
      <w:r>
        <w:rPr>
          <w:rFonts w:hint="eastAsia" w:ascii="宋体" w:hAnsi="宋体" w:eastAsia="宋体" w:cs="Times New Roman"/>
          <w:b/>
          <w:color w:val="auto"/>
          <w:szCs w:val="21"/>
          <w:highlight w:val="none"/>
          <w:u w:val="single"/>
          <w:lang w:val="zh-CN"/>
        </w:rPr>
        <w:t>发票、照片</w:t>
      </w:r>
      <w:r>
        <w:rPr>
          <w:rFonts w:hint="eastAsia" w:ascii="宋体" w:hAnsi="宋体" w:eastAsia="宋体" w:cs="宋体"/>
          <w:b/>
          <w:color w:val="auto"/>
          <w:szCs w:val="21"/>
          <w:highlight w:val="none"/>
          <w:u w:val="single"/>
          <w:lang w:val="zh-CN"/>
        </w:rPr>
        <w:t>等证明材料中的原始印章、签名、关键内容必须清晰、可辨认，否则视为无效证明材料；投标文件中存在外文资料的，投标人必须同时提供中文译本，且必须保证中文译本的准确，否则招标人不予认可，视为无效材料；投标人须承担因此对应造成投标无效，或评</w:t>
      </w:r>
      <w:r>
        <w:rPr>
          <w:rFonts w:hint="eastAsia" w:ascii="宋体" w:hAnsi="宋体" w:eastAsia="宋体" w:cs="宋体"/>
          <w:b/>
          <w:color w:val="auto"/>
          <w:szCs w:val="21"/>
          <w:highlight w:val="none"/>
          <w:u w:val="single"/>
          <w:lang w:val="en-US" w:eastAsia="zh-CN"/>
        </w:rPr>
        <w:t>标</w:t>
      </w:r>
      <w:r>
        <w:rPr>
          <w:rFonts w:hint="eastAsia" w:ascii="宋体" w:hAnsi="宋体" w:eastAsia="宋体" w:cs="宋体"/>
          <w:b/>
          <w:color w:val="auto"/>
          <w:szCs w:val="21"/>
          <w:highlight w:val="none"/>
          <w:u w:val="single"/>
          <w:lang w:val="zh-CN"/>
        </w:rPr>
        <w:t>时因无效证明材料不得分，或拒绝接受投标的风险</w:t>
      </w:r>
      <w:r>
        <w:rPr>
          <w:rFonts w:hint="eastAsia" w:ascii="宋体" w:hAnsi="宋体" w:eastAsia="宋体" w:cs="宋体"/>
          <w:color w:val="auto"/>
          <w:szCs w:val="21"/>
          <w:highlight w:val="none"/>
          <w:lang w:val="zh-CN"/>
        </w:rPr>
        <w:t>。</w:t>
      </w:r>
    </w:p>
    <w:p w14:paraId="490557B1">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p>
    <w:p w14:paraId="2065D132">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color w:val="auto"/>
          <w:szCs w:val="21"/>
          <w:highlight w:val="none"/>
          <w:lang w:val="zh-CN" w:eastAsia="zh-CN"/>
        </w:rPr>
      </w:pPr>
      <w:bookmarkStart w:id="178" w:name="_Toc26132"/>
      <w:bookmarkStart w:id="179" w:name="_Toc11170"/>
      <w:bookmarkStart w:id="180" w:name="_Toc13214"/>
      <w:bookmarkStart w:id="181" w:name="_Toc195714228"/>
      <w:bookmarkStart w:id="182" w:name="_Toc27646"/>
      <w:bookmarkStart w:id="183" w:name="_Toc450662860"/>
      <w:bookmarkStart w:id="184" w:name="_Toc486167674"/>
      <w:bookmarkStart w:id="185" w:name="_Toc8675_WPSOffice_Level3"/>
      <w:bookmarkStart w:id="186" w:name="_Toc142508324"/>
      <w:bookmarkStart w:id="187" w:name="_Toc26304"/>
      <w:bookmarkStart w:id="188" w:name="_Toc3920"/>
      <w:bookmarkStart w:id="189" w:name="_Toc15079"/>
      <w:r>
        <w:rPr>
          <w:rFonts w:hint="eastAsia" w:ascii="宋体" w:hAnsi="宋体" w:eastAsia="宋体" w:cs="宋体"/>
          <w:color w:val="auto"/>
          <w:szCs w:val="21"/>
          <w:highlight w:val="none"/>
          <w:lang w:val="zh-CN"/>
        </w:rPr>
        <w:t>10</w:t>
      </w:r>
      <w:r>
        <w:rPr>
          <w:rFonts w:ascii="宋体" w:hAnsi="宋体" w:eastAsia="宋体" w:cs="宋体"/>
          <w:color w:val="auto"/>
          <w:szCs w:val="21"/>
          <w:highlight w:val="none"/>
          <w:lang w:val="zh-CN"/>
        </w:rPr>
        <w:t xml:space="preserve"> </w:t>
      </w:r>
      <w:bookmarkEnd w:id="178"/>
      <w:bookmarkEnd w:id="179"/>
      <w:bookmarkEnd w:id="180"/>
      <w:bookmarkEnd w:id="181"/>
      <w:bookmarkEnd w:id="182"/>
      <w:bookmarkEnd w:id="183"/>
      <w:bookmarkEnd w:id="184"/>
      <w:bookmarkEnd w:id="185"/>
      <w:bookmarkEnd w:id="186"/>
      <w:bookmarkEnd w:id="187"/>
      <w:r>
        <w:rPr>
          <w:rFonts w:hint="eastAsia" w:ascii="宋体" w:hAnsi="宋体" w:eastAsia="宋体" w:cs="宋体"/>
          <w:color w:val="auto"/>
          <w:szCs w:val="21"/>
          <w:highlight w:val="none"/>
          <w:lang w:val="zh-CN"/>
        </w:rPr>
        <w:t>投标</w:t>
      </w:r>
      <w:bookmarkEnd w:id="188"/>
      <w:r>
        <w:rPr>
          <w:rFonts w:hint="eastAsia" w:ascii="宋体" w:hAnsi="宋体" w:eastAsia="宋体" w:cs="宋体"/>
          <w:color w:val="auto"/>
          <w:szCs w:val="21"/>
          <w:highlight w:val="none"/>
          <w:lang w:val="en-US" w:eastAsia="zh-CN"/>
        </w:rPr>
        <w:t>函</w:t>
      </w:r>
      <w:bookmarkEnd w:id="189"/>
    </w:p>
    <w:p w14:paraId="6F45FB7E">
      <w:pPr>
        <w:autoSpaceDE w:val="0"/>
        <w:autoSpaceDN w:val="0"/>
        <w:adjustRightInd w:val="0"/>
        <w:spacing w:line="360" w:lineRule="auto"/>
        <w:ind w:left="265" w:leftChars="119" w:hanging="15"/>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投标人应完整填写投标文件格式中规定的投标</w:t>
      </w:r>
      <w:r>
        <w:rPr>
          <w:rFonts w:hint="eastAsia" w:ascii="宋体" w:hAnsi="宋体" w:eastAsia="宋体" w:cs="宋体"/>
          <w:color w:val="auto"/>
          <w:szCs w:val="21"/>
          <w:highlight w:val="none"/>
          <w:lang w:val="en-US" w:eastAsia="zh-CN"/>
        </w:rPr>
        <w:t>函</w:t>
      </w:r>
      <w:r>
        <w:rPr>
          <w:rFonts w:hint="eastAsia" w:ascii="宋体" w:hAnsi="宋体" w:eastAsia="宋体" w:cs="宋体"/>
          <w:color w:val="auto"/>
          <w:szCs w:val="21"/>
          <w:highlight w:val="none"/>
          <w:lang w:val="zh-CN"/>
        </w:rPr>
        <w:t>。</w:t>
      </w:r>
    </w:p>
    <w:p w14:paraId="43779F03">
      <w:pPr>
        <w:autoSpaceDE w:val="0"/>
        <w:autoSpaceDN w:val="0"/>
        <w:adjustRightInd w:val="0"/>
        <w:spacing w:line="360" w:lineRule="auto"/>
        <w:ind w:left="265" w:leftChars="119" w:hanging="15"/>
        <w:rPr>
          <w:rFonts w:ascii="宋体" w:hAnsi="宋体" w:eastAsia="宋体" w:cs="宋体"/>
          <w:color w:val="auto"/>
          <w:szCs w:val="21"/>
          <w:highlight w:val="none"/>
          <w:lang w:val="zh-CN"/>
        </w:rPr>
      </w:pPr>
    </w:p>
    <w:p w14:paraId="304F5AA0">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190" w:name="_Toc27489"/>
      <w:bookmarkStart w:id="191" w:name="_Toc195714229"/>
      <w:bookmarkStart w:id="192" w:name="_Toc450662861"/>
      <w:bookmarkStart w:id="193" w:name="_Toc8845"/>
      <w:bookmarkStart w:id="194" w:name="_Toc486167675"/>
      <w:bookmarkStart w:id="195" w:name="_Toc11675"/>
      <w:bookmarkStart w:id="196" w:name="_Toc3621"/>
      <w:bookmarkStart w:id="197" w:name="_Toc15427"/>
      <w:bookmarkStart w:id="198" w:name="_Toc24311"/>
      <w:bookmarkStart w:id="199" w:name="_Toc12705"/>
      <w:bookmarkStart w:id="200" w:name="_Toc4385_WPSOffice_Level3"/>
      <w:bookmarkStart w:id="201" w:name="_Toc142508325"/>
      <w:r>
        <w:rPr>
          <w:rFonts w:hint="eastAsia" w:ascii="宋体" w:hAnsi="宋体" w:eastAsia="宋体" w:cs="宋体"/>
          <w:color w:val="auto"/>
          <w:szCs w:val="21"/>
          <w:highlight w:val="none"/>
          <w:lang w:val="zh-CN"/>
        </w:rPr>
        <w:t>11</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投标报价</w:t>
      </w:r>
      <w:bookmarkEnd w:id="190"/>
      <w:bookmarkEnd w:id="191"/>
      <w:bookmarkEnd w:id="192"/>
      <w:bookmarkEnd w:id="193"/>
      <w:bookmarkEnd w:id="194"/>
      <w:bookmarkEnd w:id="195"/>
      <w:bookmarkEnd w:id="196"/>
      <w:bookmarkEnd w:id="197"/>
      <w:bookmarkEnd w:id="198"/>
      <w:bookmarkEnd w:id="199"/>
      <w:bookmarkEnd w:id="200"/>
      <w:bookmarkEnd w:id="201"/>
    </w:p>
    <w:p w14:paraId="455F933E">
      <w:pPr>
        <w:tabs>
          <w:tab w:val="left" w:pos="567"/>
        </w:tabs>
        <w:autoSpaceDE w:val="0"/>
        <w:autoSpaceDN w:val="0"/>
        <w:adjustRightInd w:val="0"/>
        <w:spacing w:line="360" w:lineRule="auto"/>
        <w:ind w:left="357" w:leftChars="-100" w:hanging="567"/>
        <w:rPr>
          <w:rFonts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11.1 本次招标，投标人的投标文件无需填报具体服务价格，但需按投标文件要求使用电子标书制作软件编制并生成报价信封，报价信封的“投标值”不作为确定服务价格的依据，投标人可统一填报“0”。</w:t>
      </w:r>
      <w:r>
        <w:rPr>
          <w:rFonts w:hint="eastAsia" w:ascii="宋体" w:hAnsi="宋体" w:eastAsia="宋体" w:cs="Times New Roman"/>
          <w:b/>
          <w:color w:val="auto"/>
          <w:szCs w:val="21"/>
          <w:highlight w:val="none"/>
          <w:lang w:val="zh-CN"/>
        </w:rPr>
        <w:t>污水处理厂半干化泥粉项目等外运资源化处置的服务价格，在后续投标人库内分配单项项目时，按询价或竞价等竞争性方式确定。</w:t>
      </w:r>
    </w:p>
    <w:p w14:paraId="79BE4B9D">
      <w:pPr>
        <w:autoSpaceDE w:val="0"/>
        <w:autoSpaceDN w:val="0"/>
        <w:adjustRightInd w:val="0"/>
        <w:spacing w:line="360" w:lineRule="auto"/>
        <w:ind w:left="357" w:leftChars="-100" w:hanging="567"/>
        <w:rPr>
          <w:rFonts w:ascii="宋体" w:hAnsi="宋体" w:eastAsia="宋体" w:cs="宋体"/>
          <w:color w:val="auto"/>
          <w:szCs w:val="21"/>
          <w:highlight w:val="none"/>
        </w:rPr>
      </w:pPr>
      <w:r>
        <w:rPr>
          <w:rFonts w:ascii="宋体" w:hAnsi="宋体" w:eastAsia="宋体" w:cs="宋体"/>
          <w:color w:val="auto"/>
          <w:szCs w:val="21"/>
          <w:highlight w:val="none"/>
          <w:lang w:val="zh-CN"/>
        </w:rPr>
        <w:t xml:space="preserve">     </w:t>
      </w:r>
    </w:p>
    <w:p w14:paraId="5784C053">
      <w:pPr>
        <w:autoSpaceDE w:val="0"/>
        <w:autoSpaceDN w:val="0"/>
        <w:adjustRightInd w:val="0"/>
        <w:spacing w:line="360" w:lineRule="auto"/>
        <w:ind w:left="357" w:leftChars="-100" w:hanging="567"/>
        <w:jc w:val="left"/>
        <w:outlineLvl w:val="2"/>
        <w:rPr>
          <w:rFonts w:ascii="宋体" w:hAnsi="宋体" w:eastAsia="宋体" w:cs="宋体"/>
          <w:b/>
          <w:color w:val="auto"/>
          <w:szCs w:val="21"/>
          <w:highlight w:val="none"/>
          <w:lang w:val="zh-CN"/>
        </w:rPr>
      </w:pPr>
      <w:bookmarkStart w:id="202" w:name="_Toc3469"/>
      <w:bookmarkStart w:id="203" w:name="_Toc7012"/>
      <w:bookmarkStart w:id="204" w:name="_Toc195714230"/>
      <w:bookmarkStart w:id="205" w:name="_Toc20312"/>
      <w:bookmarkStart w:id="206" w:name="_Toc30042_WPSOffice_Level3"/>
      <w:bookmarkStart w:id="207" w:name="_Toc142508326"/>
      <w:bookmarkStart w:id="208" w:name="_Toc450662862"/>
      <w:bookmarkStart w:id="209" w:name="_Toc16157"/>
      <w:bookmarkStart w:id="210" w:name="_Toc486167676"/>
      <w:bookmarkStart w:id="211" w:name="_Toc10060"/>
      <w:bookmarkStart w:id="212" w:name="_Toc20827"/>
      <w:bookmarkStart w:id="213" w:name="_Toc22396"/>
      <w:r>
        <w:rPr>
          <w:rFonts w:hint="eastAsia" w:ascii="宋体" w:hAnsi="宋体" w:eastAsia="宋体" w:cs="宋体"/>
          <w:b/>
          <w:color w:val="auto"/>
          <w:szCs w:val="21"/>
          <w:highlight w:val="none"/>
          <w:lang w:val="zh-CN"/>
        </w:rPr>
        <w:t>12</w:t>
      </w:r>
      <w:r>
        <w:rPr>
          <w:rFonts w:ascii="宋体" w:hAnsi="宋体" w:eastAsia="宋体" w:cs="宋体"/>
          <w:b/>
          <w:color w:val="auto"/>
          <w:szCs w:val="21"/>
          <w:highlight w:val="none"/>
          <w:lang w:val="zh-CN"/>
        </w:rPr>
        <w:t xml:space="preserve"> </w:t>
      </w:r>
      <w:r>
        <w:rPr>
          <w:rFonts w:hint="eastAsia" w:ascii="宋体" w:hAnsi="宋体" w:eastAsia="宋体" w:cs="宋体"/>
          <w:b/>
          <w:color w:val="auto"/>
          <w:szCs w:val="21"/>
          <w:highlight w:val="none"/>
          <w:lang w:val="zh-CN"/>
        </w:rPr>
        <w:t>报价货币</w:t>
      </w:r>
      <w:bookmarkEnd w:id="202"/>
      <w:bookmarkEnd w:id="203"/>
      <w:bookmarkEnd w:id="204"/>
      <w:bookmarkEnd w:id="205"/>
      <w:bookmarkEnd w:id="206"/>
      <w:bookmarkEnd w:id="207"/>
      <w:bookmarkEnd w:id="208"/>
      <w:bookmarkEnd w:id="209"/>
      <w:bookmarkEnd w:id="210"/>
      <w:bookmarkEnd w:id="211"/>
      <w:bookmarkEnd w:id="212"/>
      <w:bookmarkEnd w:id="213"/>
    </w:p>
    <w:p w14:paraId="51925CE5">
      <w:pPr>
        <w:autoSpaceDE w:val="0"/>
        <w:autoSpaceDN w:val="0"/>
        <w:adjustRightInd w:val="0"/>
        <w:spacing w:line="360" w:lineRule="auto"/>
        <w:ind w:left="265" w:leftChars="119" w:hanging="15"/>
        <w:rPr>
          <w:rFonts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本项目所涉及费用均以人民币结算。</w:t>
      </w:r>
    </w:p>
    <w:p w14:paraId="49BC89EE">
      <w:pPr>
        <w:autoSpaceDE w:val="0"/>
        <w:autoSpaceDN w:val="0"/>
        <w:adjustRightInd w:val="0"/>
        <w:spacing w:line="360" w:lineRule="auto"/>
        <w:ind w:left="265" w:leftChars="119" w:hanging="15"/>
        <w:rPr>
          <w:rFonts w:ascii="宋体" w:hAnsi="宋体" w:eastAsia="宋体" w:cs="宋体"/>
          <w:color w:val="auto"/>
          <w:szCs w:val="21"/>
          <w:highlight w:val="none"/>
        </w:rPr>
      </w:pPr>
    </w:p>
    <w:p w14:paraId="0B9E18AD">
      <w:pPr>
        <w:tabs>
          <w:tab w:val="left" w:pos="570"/>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14" w:name="_Toc142508327"/>
      <w:bookmarkStart w:id="215" w:name="_Toc9411_WPSOffice_Level3"/>
      <w:bookmarkStart w:id="216" w:name="_Toc30651"/>
      <w:bookmarkStart w:id="217" w:name="_Toc486167677"/>
      <w:bookmarkStart w:id="218" w:name="_Toc1216"/>
      <w:bookmarkStart w:id="219" w:name="_Toc28951"/>
      <w:bookmarkStart w:id="220" w:name="_Toc22116"/>
      <w:bookmarkStart w:id="221" w:name="_Toc450662863"/>
      <w:bookmarkStart w:id="222" w:name="_Toc195714231"/>
      <w:bookmarkStart w:id="223" w:name="_Toc20031"/>
      <w:bookmarkStart w:id="224" w:name="_Toc3961"/>
      <w:bookmarkStart w:id="225" w:name="_Toc10342"/>
      <w:r>
        <w:rPr>
          <w:rFonts w:hint="eastAsia" w:ascii="宋体" w:hAnsi="宋体" w:eastAsia="宋体" w:cs="宋体"/>
          <w:color w:val="auto"/>
          <w:szCs w:val="21"/>
          <w:highlight w:val="none"/>
          <w:lang w:val="zh-CN"/>
        </w:rPr>
        <w:t>13</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证明投标人的合格性和资格的声明文件</w:t>
      </w:r>
      <w:bookmarkEnd w:id="214"/>
      <w:bookmarkEnd w:id="215"/>
      <w:bookmarkEnd w:id="216"/>
      <w:bookmarkEnd w:id="217"/>
      <w:bookmarkEnd w:id="218"/>
      <w:bookmarkEnd w:id="219"/>
      <w:bookmarkEnd w:id="220"/>
      <w:bookmarkEnd w:id="221"/>
      <w:bookmarkEnd w:id="222"/>
      <w:bookmarkEnd w:id="223"/>
      <w:bookmarkEnd w:id="224"/>
      <w:bookmarkEnd w:id="225"/>
    </w:p>
    <w:p w14:paraId="4278526C">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13.1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根据第2条、第13.2款规定，投标人须提交证明其有资格进行投标和有能力履行合同的文件，作为投标文件的一部分。</w:t>
      </w:r>
    </w:p>
    <w:p w14:paraId="041E46F2">
      <w:pPr>
        <w:autoSpaceDE w:val="0"/>
        <w:autoSpaceDN w:val="0"/>
        <w:adjustRightInd w:val="0"/>
        <w:spacing w:line="360" w:lineRule="auto"/>
        <w:ind w:left="357" w:leftChars="-100" w:hanging="567"/>
        <w:rPr>
          <w:rFonts w:hint="eastAsia" w:ascii="宋体" w:hAnsi="宋体" w:eastAsia="宋体" w:cs="宋体"/>
          <w:color w:val="auto"/>
          <w:szCs w:val="21"/>
          <w:highlight w:val="none"/>
          <w:vertAlign w:val="baseline"/>
          <w:lang w:val="zh-CN"/>
        </w:rPr>
      </w:pPr>
      <w:r>
        <w:rPr>
          <w:rFonts w:hint="eastAsia" w:ascii="宋体" w:hAnsi="宋体" w:eastAsia="宋体" w:cs="宋体"/>
          <w:color w:val="auto"/>
          <w:szCs w:val="21"/>
          <w:highlight w:val="none"/>
          <w:lang w:val="zh-CN"/>
        </w:rPr>
        <w:t>13.2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投标人提供的履行合同的资格声明文件应符合：</w:t>
      </w:r>
    </w:p>
    <w:p w14:paraId="65B59E9F">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（1）符合《中华人民共和国招标投标法》《中华人民共和国招标投标法实施条例》投标人应当具备的条件；</w:t>
      </w:r>
    </w:p>
    <w:p w14:paraId="518D5D75">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（2）投标人具有履行本项目所必须的证明文件；</w:t>
      </w:r>
    </w:p>
    <w:p w14:paraId="2CB2D325">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（3）投标人证明其相应资格符合或优于招标文件要求的其它文件。</w:t>
      </w:r>
    </w:p>
    <w:p w14:paraId="0ECB7E9E">
      <w:pPr>
        <w:spacing w:line="360" w:lineRule="auto"/>
        <w:ind w:left="315" w:leftChars="-100" w:hanging="525" w:hangingChars="2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13.3 投标人根据招标文件载明的相关服务要求的实际情况，拟在中标后将中标项目的非主体、非关键性专业工作交由他人完成的，应当在投标文件中载明，并提供他人的资质、能力证明材料。</w:t>
      </w:r>
    </w:p>
    <w:p w14:paraId="6C1863CF">
      <w:pPr>
        <w:autoSpaceDE w:val="0"/>
        <w:autoSpaceDN w:val="0"/>
        <w:adjustRightInd w:val="0"/>
        <w:spacing w:line="360" w:lineRule="auto"/>
        <w:ind w:left="560" w:leftChars="128" w:hanging="291" w:hangingChars="139"/>
        <w:rPr>
          <w:rFonts w:ascii="宋体" w:hAnsi="宋体" w:eastAsia="宋体" w:cs="宋体"/>
          <w:color w:val="auto"/>
          <w:szCs w:val="21"/>
          <w:highlight w:val="none"/>
        </w:rPr>
      </w:pPr>
    </w:p>
    <w:p w14:paraId="02327F77">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26" w:name="_Toc195714232"/>
      <w:bookmarkStart w:id="227" w:name="_Toc450662864"/>
      <w:bookmarkStart w:id="228" w:name="_Toc27771_WPSOffice_Level3"/>
      <w:bookmarkStart w:id="229" w:name="_Toc66"/>
      <w:bookmarkStart w:id="230" w:name="_Toc8615"/>
      <w:bookmarkStart w:id="231" w:name="_Toc142508328"/>
      <w:bookmarkStart w:id="232" w:name="_Toc486167678"/>
      <w:bookmarkStart w:id="233" w:name="_Toc29754"/>
      <w:bookmarkStart w:id="234" w:name="_Toc14349"/>
      <w:bookmarkStart w:id="235" w:name="_Toc4551"/>
      <w:bookmarkStart w:id="236" w:name="_Toc10286"/>
      <w:bookmarkStart w:id="237" w:name="_Toc15674"/>
      <w:r>
        <w:rPr>
          <w:rFonts w:hint="eastAsia" w:ascii="宋体" w:hAnsi="宋体" w:eastAsia="宋体" w:cs="宋体"/>
          <w:color w:val="auto"/>
          <w:szCs w:val="21"/>
          <w:highlight w:val="none"/>
          <w:lang w:val="zh-CN"/>
        </w:rPr>
        <w:t>14</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证明</w:t>
      </w:r>
      <w:r>
        <w:rPr>
          <w:rFonts w:hint="eastAsia" w:ascii="宋体" w:hAnsi="宋体" w:eastAsia="宋体" w:cs="宋体"/>
          <w:color w:val="auto"/>
          <w:szCs w:val="21"/>
          <w:highlight w:val="none"/>
          <w:lang w:val="en-US" w:eastAsia="zh-CN"/>
        </w:rPr>
        <w:t>服务</w:t>
      </w:r>
      <w:r>
        <w:rPr>
          <w:rFonts w:hint="eastAsia" w:ascii="宋体" w:hAnsi="宋体" w:eastAsia="宋体" w:cs="宋体"/>
          <w:color w:val="auto"/>
          <w:szCs w:val="21"/>
          <w:highlight w:val="none"/>
          <w:lang w:val="zh-CN"/>
        </w:rPr>
        <w:t>的合格性并符合招标文件规定的声明文件</w:t>
      </w:r>
      <w:bookmarkEnd w:id="226"/>
      <w:bookmarkEnd w:id="227"/>
      <w:bookmarkEnd w:id="228"/>
      <w:bookmarkEnd w:id="229"/>
      <w:bookmarkEnd w:id="230"/>
      <w:bookmarkEnd w:id="231"/>
      <w:bookmarkEnd w:id="232"/>
      <w:bookmarkEnd w:id="233"/>
      <w:bookmarkEnd w:id="234"/>
      <w:bookmarkEnd w:id="235"/>
      <w:bookmarkEnd w:id="236"/>
      <w:bookmarkEnd w:id="237"/>
    </w:p>
    <w:p w14:paraId="35B2C72F">
      <w:pPr>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14.1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根据</w:t>
      </w:r>
      <w:r>
        <w:rPr>
          <w:rFonts w:hint="eastAsia" w:ascii="宋体" w:hAnsi="宋体" w:eastAsia="宋体" w:cs="宋体"/>
          <w:color w:val="auto"/>
          <w:kern w:val="0"/>
          <w:szCs w:val="21"/>
          <w:highlight w:val="none"/>
        </w:rPr>
        <w:t>第9</w:t>
      </w:r>
      <w:r>
        <w:rPr>
          <w:rFonts w:hint="eastAsia" w:ascii="宋体" w:hAnsi="宋体" w:eastAsia="宋体" w:cs="宋体"/>
          <w:color w:val="auto"/>
          <w:szCs w:val="21"/>
          <w:highlight w:val="none"/>
          <w:lang w:val="zh-CN"/>
        </w:rPr>
        <w:t>条规定，投标人须提交证明其拟供</w:t>
      </w:r>
      <w:r>
        <w:rPr>
          <w:rFonts w:hint="eastAsia" w:ascii="宋体" w:hAnsi="宋体" w:eastAsia="宋体" w:cs="宋体"/>
          <w:color w:val="auto"/>
          <w:szCs w:val="21"/>
          <w:highlight w:val="none"/>
          <w:lang w:val="en-US" w:eastAsia="zh-CN"/>
        </w:rPr>
        <w:t>服务</w:t>
      </w:r>
      <w:r>
        <w:rPr>
          <w:rFonts w:hint="eastAsia" w:ascii="宋体" w:hAnsi="宋体" w:eastAsia="宋体" w:cs="宋体"/>
          <w:color w:val="auto"/>
          <w:szCs w:val="21"/>
          <w:highlight w:val="none"/>
          <w:lang w:val="zh-CN"/>
        </w:rPr>
        <w:t>的合格性并符合招标文件规定的声明文件，作为投标文件的一部分。</w:t>
      </w:r>
    </w:p>
    <w:p w14:paraId="31486DA7">
      <w:pPr>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14.2  证明</w:t>
      </w:r>
      <w:r>
        <w:rPr>
          <w:rFonts w:hint="eastAsia" w:ascii="宋体" w:hAnsi="宋体" w:eastAsia="宋体" w:cs="宋体"/>
          <w:color w:val="auto"/>
          <w:szCs w:val="21"/>
          <w:highlight w:val="none"/>
          <w:lang w:val="en-US" w:eastAsia="zh-CN"/>
        </w:rPr>
        <w:t>相</w:t>
      </w:r>
      <w:r>
        <w:rPr>
          <w:rFonts w:hint="eastAsia" w:ascii="宋体" w:hAnsi="宋体" w:eastAsia="宋体" w:cs="宋体"/>
          <w:color w:val="auto"/>
          <w:kern w:val="0"/>
          <w:szCs w:val="21"/>
          <w:highlight w:val="none"/>
        </w:rPr>
        <w:t>关服务</w:t>
      </w:r>
      <w:r>
        <w:rPr>
          <w:rFonts w:hint="eastAsia" w:ascii="宋体" w:hAnsi="宋体" w:eastAsia="宋体" w:cs="宋体"/>
          <w:color w:val="auto"/>
          <w:szCs w:val="21"/>
          <w:highlight w:val="none"/>
          <w:lang w:val="zh-CN"/>
        </w:rPr>
        <w:t>与招标文件的要求相一致的文件可以是文字资料、图纸和数据资料。</w:t>
      </w:r>
    </w:p>
    <w:p w14:paraId="12802704">
      <w:pPr>
        <w:autoSpaceDE w:val="0"/>
        <w:autoSpaceDN w:val="0"/>
        <w:adjustRightInd w:val="0"/>
        <w:spacing w:line="360" w:lineRule="auto"/>
        <w:ind w:left="317" w:leftChars="-100" w:hanging="527" w:hangingChars="251"/>
        <w:rPr>
          <w:rFonts w:ascii="宋体" w:hAnsi="宋体" w:eastAsia="宋体" w:cs="宋体"/>
          <w:b/>
          <w:color w:val="auto"/>
          <w:szCs w:val="21"/>
          <w:highlight w:val="none"/>
          <w:lang w:val="zh-CN"/>
        </w:rPr>
      </w:pPr>
      <w:r>
        <w:rPr>
          <w:rFonts w:hint="eastAsia" w:ascii="宋体" w:hAnsi="宋体" w:eastAsia="宋体" w:cs="宋体"/>
          <w:color w:val="auto"/>
          <w:szCs w:val="21"/>
          <w:highlight w:val="none"/>
          <w:lang w:val="zh-CN"/>
        </w:rPr>
        <w:t xml:space="preserve">14.3 </w:t>
      </w:r>
      <w:r>
        <w:rPr>
          <w:rFonts w:hint="eastAsia" w:ascii="宋体" w:hAnsi="宋体" w:eastAsia="宋体" w:cs="宋体"/>
          <w:b/>
          <w:color w:val="auto"/>
          <w:szCs w:val="21"/>
          <w:highlight w:val="none"/>
          <w:u w:val="single"/>
          <w:lang w:val="zh-CN"/>
        </w:rPr>
        <w:t>为说明第14.2款的规定，投标人应注意本招标文件在《用户需求书》中对服务要求的说明只是概括性的，不能理解为所需要的全部服务的要求，投标人应按国家、行业相关技术标准、规范和以往的服务经验，合格优质的完成项目内容和包含的全部服务。凡标有“★”的地方均被视为重要的技术指标要求或性能要求。投标人要特别加以注意，必须对此回答并完全满足这些要求，否则若有一项带“★”的指标未响应或不满足，将按无效投标处理</w:t>
      </w:r>
      <w:r>
        <w:rPr>
          <w:rFonts w:hint="eastAsia" w:ascii="宋体" w:hAnsi="宋体" w:eastAsia="宋体" w:cs="宋体"/>
          <w:b/>
          <w:color w:val="auto"/>
          <w:szCs w:val="21"/>
          <w:highlight w:val="none"/>
          <w:lang w:val="zh-CN"/>
        </w:rPr>
        <w:t>。</w:t>
      </w:r>
    </w:p>
    <w:p w14:paraId="23CF47D5">
      <w:pPr>
        <w:autoSpaceDE w:val="0"/>
        <w:autoSpaceDN w:val="0"/>
        <w:adjustRightInd w:val="0"/>
        <w:spacing w:line="360" w:lineRule="auto"/>
        <w:rPr>
          <w:rFonts w:ascii="宋体" w:hAnsi="宋体" w:eastAsia="宋体" w:cs="Times New Roman"/>
          <w:color w:val="auto"/>
          <w:kern w:val="0"/>
          <w:sz w:val="24"/>
          <w:szCs w:val="24"/>
          <w:highlight w:val="none"/>
        </w:rPr>
      </w:pPr>
    </w:p>
    <w:p w14:paraId="3EEB7D07">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38" w:name="_Toc32548"/>
      <w:bookmarkStart w:id="239" w:name="_Toc142508329"/>
      <w:bookmarkStart w:id="240" w:name="_Toc23381"/>
      <w:bookmarkStart w:id="241" w:name="_Toc486167679"/>
      <w:bookmarkStart w:id="242" w:name="_Toc195714233"/>
      <w:bookmarkStart w:id="243" w:name="_Toc27513"/>
      <w:bookmarkStart w:id="244" w:name="_Toc8644"/>
      <w:bookmarkStart w:id="245" w:name="_Toc9548"/>
      <w:bookmarkStart w:id="246" w:name="_Toc30555"/>
      <w:bookmarkStart w:id="247" w:name="_Toc15276"/>
      <w:bookmarkStart w:id="248" w:name="_Toc5356_WPSOffice_Level3"/>
      <w:r>
        <w:rPr>
          <w:rFonts w:hint="eastAsia" w:ascii="宋体" w:hAnsi="宋体" w:eastAsia="宋体" w:cs="宋体"/>
          <w:color w:val="auto"/>
          <w:szCs w:val="21"/>
          <w:highlight w:val="none"/>
          <w:lang w:val="zh-CN"/>
        </w:rPr>
        <w:t>15</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投标保证金</w:t>
      </w:r>
      <w:bookmarkEnd w:id="238"/>
      <w:bookmarkEnd w:id="239"/>
      <w:bookmarkEnd w:id="240"/>
      <w:bookmarkEnd w:id="241"/>
      <w:bookmarkEnd w:id="242"/>
      <w:bookmarkEnd w:id="243"/>
      <w:bookmarkEnd w:id="244"/>
      <w:bookmarkEnd w:id="245"/>
      <w:bookmarkEnd w:id="246"/>
      <w:bookmarkEnd w:id="247"/>
      <w:bookmarkEnd w:id="248"/>
    </w:p>
    <w:p w14:paraId="3284E1B4">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 xml:space="preserve">.1 </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在</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截止时间前，应按第一篇《招标公告》中规定的形式和金额提交</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保证金到账时间应为</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保证金的关联时间。</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保证金数据超过</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截止时间后到达交易系统的，无法关联。</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应提前办理</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保证金手续，自行承担数据延误风险。</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如发现到账异常情况，须在</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截止时间前向东莞市公共资源交易中心（以下简称交易中心）工作人员提出</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保证金到账异常处理申请。</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必须在</w:t>
      </w:r>
      <w:r>
        <w:rPr>
          <w:rFonts w:hint="eastAsia" w:ascii="宋体" w:hAnsi="宋体" w:eastAsia="宋体" w:cs="宋体"/>
          <w:bCs/>
          <w:color w:val="auto"/>
          <w:kern w:val="0"/>
          <w:szCs w:val="21"/>
          <w:highlight w:val="none"/>
          <w:lang w:val="en-US" w:eastAsia="zh-CN"/>
        </w:rPr>
        <w:t>招标</w:t>
      </w:r>
      <w:r>
        <w:rPr>
          <w:rFonts w:hint="eastAsia" w:ascii="宋体" w:hAnsi="宋体" w:eastAsia="宋体" w:cs="宋体"/>
          <w:bCs/>
          <w:color w:val="auto"/>
          <w:kern w:val="0"/>
          <w:szCs w:val="21"/>
          <w:highlight w:val="none"/>
          <w:lang w:val="zh-CN"/>
        </w:rPr>
        <w:t>人接受的方式中任选一种提交</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保证金。对应于各种方式的</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保证金的提交要求如下：</w:t>
      </w:r>
    </w:p>
    <w:p w14:paraId="6768AC72">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（1）若采用单项</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必须按全国公共资源交易平台（广东省·东莞市）办事指南的规定及时向交易中心缴存单项</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保证金，并确保上述款项在</w:t>
      </w:r>
      <w:r>
        <w:rPr>
          <w:rFonts w:hint="eastAsia" w:ascii="宋体" w:hAnsi="宋体" w:eastAsia="宋体" w:cs="宋体"/>
          <w:bCs/>
          <w:color w:val="auto"/>
          <w:kern w:val="0"/>
          <w:szCs w:val="21"/>
          <w:highlight w:val="none"/>
          <w:lang w:val="en-US" w:eastAsia="zh-CN"/>
        </w:rPr>
        <w:t>投标文件</w:t>
      </w:r>
      <w:r>
        <w:rPr>
          <w:rFonts w:hint="eastAsia" w:ascii="宋体" w:hAnsi="宋体" w:eastAsia="宋体" w:cs="宋体"/>
          <w:bCs/>
          <w:color w:val="auto"/>
          <w:kern w:val="0"/>
          <w:szCs w:val="21"/>
          <w:highlight w:val="none"/>
          <w:lang w:val="zh-CN"/>
        </w:rPr>
        <w:t>提交截止时间前匹配到本</w:t>
      </w:r>
      <w:r>
        <w:rPr>
          <w:rFonts w:hint="eastAsia" w:ascii="宋体" w:hAnsi="宋体" w:eastAsia="宋体" w:cs="宋体"/>
          <w:bCs/>
          <w:color w:val="auto"/>
          <w:kern w:val="0"/>
          <w:szCs w:val="21"/>
          <w:highlight w:val="none"/>
          <w:lang w:val="en-US" w:eastAsia="zh-CN"/>
        </w:rPr>
        <w:t>项目</w:t>
      </w:r>
      <w:r>
        <w:rPr>
          <w:rFonts w:hint="eastAsia" w:ascii="宋体" w:hAnsi="宋体" w:eastAsia="宋体" w:cs="宋体"/>
          <w:bCs/>
          <w:color w:val="auto"/>
          <w:kern w:val="0"/>
          <w:szCs w:val="21"/>
          <w:highlight w:val="none"/>
          <w:lang w:val="zh-CN"/>
        </w:rPr>
        <w:t>，否则，其</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保证金视为无效。</w:t>
      </w:r>
    </w:p>
    <w:p w14:paraId="2BE8D05C">
      <w:pPr>
        <w:autoSpaceDE w:val="0"/>
        <w:autoSpaceDN w:val="0"/>
        <w:adjustRightInd w:val="0"/>
        <w:spacing w:line="360" w:lineRule="auto"/>
        <w:ind w:left="225" w:leftChars="107" w:firstLine="489" w:firstLineChars="233"/>
        <w:jc w:val="left"/>
        <w:rPr>
          <w:rFonts w:hint="eastAsia" w:ascii="宋体" w:hAnsi="宋体" w:eastAsia="宋体" w:cs="Times New Roman"/>
          <w:bCs w:val="0"/>
          <w:color w:val="auto"/>
          <w:kern w:val="0"/>
          <w:szCs w:val="21"/>
          <w:highlight w:val="none"/>
          <w:lang w:val="zh-CN"/>
        </w:rPr>
      </w:pPr>
      <w:r>
        <w:rPr>
          <w:rFonts w:hint="eastAsia" w:ascii="宋体" w:hAnsi="宋体" w:eastAsia="宋体" w:cs="宋体"/>
          <w:bCs/>
          <w:color w:val="auto"/>
          <w:kern w:val="0"/>
          <w:szCs w:val="21"/>
          <w:highlight w:val="none"/>
          <w:lang w:val="en-US" w:eastAsia="zh-CN"/>
        </w:rPr>
        <w:t>投标</w:t>
      </w:r>
      <w:r>
        <w:rPr>
          <w:rFonts w:hint="eastAsia" w:ascii="宋体" w:hAnsi="宋体" w:eastAsia="宋体" w:cs="Times New Roman"/>
          <w:bCs w:val="0"/>
          <w:color w:val="auto"/>
          <w:kern w:val="0"/>
          <w:szCs w:val="21"/>
          <w:highlight w:val="none"/>
          <w:lang w:val="zh-CN"/>
        </w:rPr>
        <w:t>截止时间前，已在公共资源交易企业库建档的</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Times New Roman"/>
          <w:bCs w:val="0"/>
          <w:color w:val="auto"/>
          <w:kern w:val="0"/>
          <w:szCs w:val="21"/>
          <w:highlight w:val="none"/>
          <w:lang w:val="zh-CN"/>
        </w:rPr>
        <w:t>应将保证金关联至本</w:t>
      </w:r>
      <w:r>
        <w:rPr>
          <w:rFonts w:hint="eastAsia" w:ascii="宋体" w:hAnsi="宋体" w:eastAsia="宋体" w:cs="Times New Roman"/>
          <w:bCs w:val="0"/>
          <w:color w:val="auto"/>
          <w:kern w:val="0"/>
          <w:szCs w:val="21"/>
          <w:highlight w:val="none"/>
          <w:lang w:val="en-US" w:eastAsia="zh-CN"/>
        </w:rPr>
        <w:t>项目</w:t>
      </w:r>
      <w:r>
        <w:rPr>
          <w:rFonts w:hint="eastAsia" w:ascii="宋体" w:hAnsi="宋体" w:eastAsia="宋体" w:cs="Times New Roman"/>
          <w:bCs w:val="0"/>
          <w:color w:val="auto"/>
          <w:kern w:val="0"/>
          <w:szCs w:val="21"/>
          <w:highlight w:val="none"/>
          <w:lang w:val="zh-CN"/>
        </w:rPr>
        <w:t>。具体要求详见全国公共资源交易平台（广东省·东莞市）（网址：https://ygp.gdzwfw.gov.cn/#/441900/index）办事指南中的相关规定。</w:t>
      </w:r>
    </w:p>
    <w:p w14:paraId="09D6BF93">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（2）按《关于实行投标保证金企业基本账户备案制度的通知》(东建市〔2014〕18号)要求，缴纳的</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保证金须由</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基本账户转出。</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开具银行电子保函或保险电子保单存入的保证金（如有）及相关费用须从基本账户转出。</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保证金或相关费用不由其基本账户转入的，交易中心一律不予认定，无法参与</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的相关责任由</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自行承担。</w:t>
      </w:r>
    </w:p>
    <w:p w14:paraId="5F9DF566">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（3）若采用银行电子保函或保险电子保单，</w:t>
      </w:r>
      <w:r>
        <w:rPr>
          <w:rFonts w:hint="eastAsia" w:ascii="宋体" w:hAnsi="宋体" w:eastAsia="宋体" w:cs="宋体"/>
          <w:bCs/>
          <w:color w:val="auto"/>
          <w:kern w:val="0"/>
          <w:szCs w:val="21"/>
          <w:highlight w:val="none"/>
          <w:lang w:val="en-US" w:eastAsia="zh-CN"/>
        </w:rPr>
        <w:t>投标人参照</w:t>
      </w:r>
      <w:r>
        <w:rPr>
          <w:rFonts w:hint="eastAsia" w:ascii="宋体" w:hAnsi="宋体" w:eastAsia="宋体" w:cs="宋体"/>
          <w:bCs/>
          <w:color w:val="auto"/>
          <w:kern w:val="0"/>
          <w:szCs w:val="21"/>
          <w:highlight w:val="none"/>
          <w:lang w:val="zh-CN"/>
        </w:rPr>
        <w:t>《东莞市住房和城乡建设局关于我市房屋建筑和市政基础设施工程建设项目投标保证金使用银行电子保函及保险电子保单的通知》(东建市〔2022〕6号)规定办理，保证出具的保函或保单有效。保函或保单在</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签到时关联。</w:t>
      </w:r>
    </w:p>
    <w:p w14:paraId="2D96717E">
      <w:pPr>
        <w:autoSpaceDE w:val="0"/>
        <w:autoSpaceDN w:val="0"/>
        <w:adjustRightInd w:val="0"/>
        <w:spacing w:line="360" w:lineRule="auto"/>
        <w:ind w:left="225" w:leftChars="107" w:firstLine="489" w:firstLineChars="233"/>
        <w:jc w:val="left"/>
        <w:rPr>
          <w:rFonts w:hint="eastAsia" w:ascii="宋体" w:hAnsi="宋体" w:eastAsia="宋体" w:cs="Times New Roman"/>
          <w:bCs w:val="0"/>
          <w:color w:val="auto"/>
          <w:kern w:val="0"/>
          <w:szCs w:val="21"/>
          <w:highlight w:val="none"/>
          <w:lang w:val="zh-CN"/>
        </w:rPr>
      </w:pPr>
      <w:r>
        <w:rPr>
          <w:rFonts w:hint="eastAsia" w:ascii="宋体" w:hAnsi="宋体" w:eastAsia="宋体" w:cs="Times New Roman"/>
          <w:bCs w:val="0"/>
          <w:color w:val="auto"/>
          <w:kern w:val="0"/>
          <w:szCs w:val="21"/>
          <w:highlight w:val="none"/>
          <w:lang w:val="zh-CN"/>
        </w:rPr>
        <w:t>银行电子保函参考样式按照《住房和城乡建设部关于印发工程保函示范文本的通知》（建市〔2021〕11号）执行。保险公司所提供的保证保险条款应当经国家金融监督管理总局批准、备案或注册，并在本公司门户网站主动公开单位信息、投保单（范本）以及保险合同含条款（范本）。</w:t>
      </w:r>
    </w:p>
    <w:p w14:paraId="491DE5E8">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 xml:space="preserve">.2 </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签到时应按本</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须知第</w:t>
      </w: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.1</w:t>
      </w:r>
      <w:r>
        <w:rPr>
          <w:rFonts w:hint="eastAsia" w:ascii="宋体" w:hAnsi="宋体" w:eastAsia="宋体" w:cs="宋体"/>
          <w:bCs/>
          <w:color w:val="auto"/>
          <w:kern w:val="0"/>
          <w:szCs w:val="21"/>
          <w:highlight w:val="none"/>
          <w:lang w:val="en-US" w:eastAsia="zh-CN"/>
        </w:rPr>
        <w:t>款</w:t>
      </w:r>
      <w:r>
        <w:rPr>
          <w:rFonts w:hint="eastAsia" w:ascii="宋体" w:hAnsi="宋体" w:eastAsia="宋体" w:cs="宋体"/>
          <w:bCs/>
          <w:color w:val="auto"/>
          <w:kern w:val="0"/>
          <w:szCs w:val="21"/>
          <w:highlight w:val="none"/>
          <w:lang w:val="zh-CN"/>
        </w:rPr>
        <w:t>要求提交</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截止时间前，</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如果撤销签到，已关联的投标保证金同步取消关联；撤销签到的</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可以重新签到并关联保证金。</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截止后，已关联的</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保证金不能取消关联。</w:t>
      </w:r>
    </w:p>
    <w:p w14:paraId="35394B8D">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 xml:space="preserve">.3 </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保证金退还程序。</w:t>
      </w:r>
    </w:p>
    <w:p w14:paraId="2EFE3589">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（1）对未通过资格</w:t>
      </w:r>
      <w:r>
        <w:rPr>
          <w:rFonts w:hint="eastAsia" w:ascii="宋体" w:hAnsi="宋体" w:eastAsia="宋体" w:cs="宋体"/>
          <w:bCs/>
          <w:color w:val="auto"/>
          <w:kern w:val="0"/>
          <w:szCs w:val="21"/>
          <w:highlight w:val="none"/>
          <w:lang w:val="en-US" w:eastAsia="zh-CN"/>
        </w:rPr>
        <w:t>性</w:t>
      </w:r>
      <w:r>
        <w:rPr>
          <w:rFonts w:hint="eastAsia" w:ascii="宋体" w:hAnsi="宋体" w:eastAsia="宋体" w:cs="宋体"/>
          <w:bCs/>
          <w:color w:val="auto"/>
          <w:kern w:val="0"/>
          <w:szCs w:val="21"/>
          <w:highlight w:val="none"/>
          <w:lang w:val="zh-CN"/>
        </w:rPr>
        <w:t>审查或未通过</w:t>
      </w:r>
      <w:r>
        <w:rPr>
          <w:rFonts w:hint="eastAsia" w:ascii="宋体" w:hAnsi="宋体" w:eastAsia="宋体" w:cs="宋体"/>
          <w:bCs/>
          <w:color w:val="auto"/>
          <w:kern w:val="0"/>
          <w:szCs w:val="21"/>
          <w:highlight w:val="none"/>
          <w:lang w:val="en-US" w:eastAsia="zh-CN"/>
        </w:rPr>
        <w:t>符合性检查</w:t>
      </w:r>
      <w:r>
        <w:rPr>
          <w:rFonts w:hint="eastAsia" w:ascii="宋体" w:hAnsi="宋体" w:eastAsia="宋体" w:cs="宋体"/>
          <w:bCs/>
          <w:color w:val="auto"/>
          <w:kern w:val="0"/>
          <w:szCs w:val="21"/>
          <w:highlight w:val="none"/>
          <w:lang w:val="zh-CN"/>
        </w:rPr>
        <w:t>的</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w:t>
      </w:r>
      <w:r>
        <w:rPr>
          <w:rFonts w:hint="eastAsia" w:ascii="宋体" w:hAnsi="宋体" w:eastAsia="宋体" w:cs="宋体"/>
          <w:bCs/>
          <w:color w:val="auto"/>
          <w:kern w:val="0"/>
          <w:szCs w:val="21"/>
          <w:highlight w:val="none"/>
          <w:lang w:val="en-US" w:eastAsia="zh-CN"/>
        </w:rPr>
        <w:t>招标</w:t>
      </w:r>
      <w:r>
        <w:rPr>
          <w:rFonts w:hint="eastAsia" w:ascii="宋体" w:hAnsi="宋体" w:eastAsia="宋体" w:cs="宋体"/>
          <w:bCs/>
          <w:color w:val="auto"/>
          <w:kern w:val="0"/>
          <w:szCs w:val="21"/>
          <w:highlight w:val="none"/>
          <w:lang w:val="zh-CN"/>
        </w:rPr>
        <w:t>人在</w:t>
      </w:r>
      <w:r>
        <w:rPr>
          <w:rFonts w:hint="eastAsia" w:ascii="宋体" w:hAnsi="宋体" w:eastAsia="宋体" w:cs="宋体"/>
          <w:color w:val="auto"/>
          <w:kern w:val="0"/>
          <w:szCs w:val="24"/>
          <w:highlight w:val="none"/>
          <w:lang w:val="en-US" w:eastAsia="zh-CN"/>
        </w:rPr>
        <w:t>评标</w:t>
      </w:r>
      <w:r>
        <w:rPr>
          <w:rFonts w:hint="eastAsia" w:ascii="宋体" w:hAnsi="宋体" w:eastAsia="宋体" w:cs="宋体"/>
          <w:bCs/>
          <w:color w:val="auto"/>
          <w:kern w:val="0"/>
          <w:szCs w:val="21"/>
          <w:highlight w:val="none"/>
          <w:lang w:val="zh-CN"/>
        </w:rPr>
        <w:t>结束后第一个工作日向交易中心发送退还指令；</w:t>
      </w:r>
    </w:p>
    <w:p w14:paraId="704C3C10">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（2）对除中标</w:t>
      </w:r>
      <w:r>
        <w:rPr>
          <w:rFonts w:hint="eastAsia" w:ascii="宋体" w:hAnsi="宋体" w:eastAsia="宋体" w:cs="Times New Roman"/>
          <w:color w:val="auto"/>
          <w:kern w:val="0"/>
          <w:szCs w:val="21"/>
          <w:highlight w:val="none"/>
          <w:lang w:eastAsia="zh-CN"/>
        </w:rPr>
        <w:t>候选人</w:t>
      </w:r>
      <w:r>
        <w:rPr>
          <w:rFonts w:hint="eastAsia" w:ascii="宋体" w:hAnsi="宋体" w:eastAsia="宋体" w:cs="宋体"/>
          <w:bCs/>
          <w:color w:val="auto"/>
          <w:kern w:val="0"/>
          <w:szCs w:val="21"/>
          <w:highlight w:val="none"/>
          <w:lang w:val="zh-CN"/>
        </w:rPr>
        <w:t>外的</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w:t>
      </w:r>
      <w:r>
        <w:rPr>
          <w:rFonts w:hint="eastAsia" w:ascii="宋体" w:hAnsi="宋体" w:eastAsia="宋体" w:cs="宋体"/>
          <w:bCs/>
          <w:color w:val="auto"/>
          <w:kern w:val="0"/>
          <w:szCs w:val="21"/>
          <w:highlight w:val="none"/>
          <w:lang w:val="en-US" w:eastAsia="zh-CN"/>
        </w:rPr>
        <w:t>招标</w:t>
      </w:r>
      <w:r>
        <w:rPr>
          <w:rFonts w:hint="eastAsia" w:ascii="宋体" w:hAnsi="宋体" w:eastAsia="宋体" w:cs="宋体"/>
          <w:bCs/>
          <w:color w:val="auto"/>
          <w:kern w:val="0"/>
          <w:szCs w:val="21"/>
          <w:highlight w:val="none"/>
          <w:lang w:val="zh-CN"/>
        </w:rPr>
        <w:t>人在发布</w:t>
      </w:r>
      <w:r>
        <w:rPr>
          <w:rFonts w:hint="eastAsia" w:ascii="宋体" w:hAnsi="宋体" w:eastAsia="宋体" w:cs="宋体"/>
          <w:color w:val="auto"/>
          <w:szCs w:val="21"/>
          <w:highlight w:val="none"/>
          <w:lang w:val="zh-CN"/>
        </w:rPr>
        <w:t>评</w:t>
      </w:r>
      <w:r>
        <w:rPr>
          <w:rFonts w:hint="eastAsia" w:ascii="宋体" w:hAnsi="宋体" w:eastAsia="宋体" w:cs="宋体"/>
          <w:color w:val="auto"/>
          <w:szCs w:val="21"/>
          <w:highlight w:val="none"/>
          <w:lang w:val="en-US" w:eastAsia="zh-CN"/>
        </w:rPr>
        <w:t>标</w:t>
      </w:r>
      <w:r>
        <w:rPr>
          <w:rFonts w:hint="eastAsia" w:ascii="宋体" w:hAnsi="宋体" w:eastAsia="宋体" w:cs="宋体"/>
          <w:color w:val="auto"/>
          <w:szCs w:val="21"/>
          <w:highlight w:val="none"/>
          <w:lang w:val="zh-CN"/>
        </w:rPr>
        <w:t>结果</w:t>
      </w:r>
      <w:r>
        <w:rPr>
          <w:rFonts w:hint="eastAsia" w:ascii="宋体" w:hAnsi="宋体" w:eastAsia="宋体" w:cs="宋体"/>
          <w:bCs/>
          <w:color w:val="auto"/>
          <w:kern w:val="0"/>
          <w:szCs w:val="21"/>
          <w:highlight w:val="none"/>
          <w:lang w:val="zh-CN"/>
        </w:rPr>
        <w:t>公示后3个工作日内向交易中心发送退还指令；</w:t>
      </w:r>
    </w:p>
    <w:p w14:paraId="0F65AA65">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（3）</w:t>
      </w:r>
      <w:r>
        <w:rPr>
          <w:rFonts w:hint="eastAsia" w:ascii="宋体" w:hAnsi="宋体" w:eastAsia="宋体" w:cs="宋体"/>
          <w:bCs/>
          <w:color w:val="auto"/>
          <w:kern w:val="0"/>
          <w:szCs w:val="21"/>
          <w:highlight w:val="none"/>
          <w:lang w:val="en-US" w:eastAsia="zh-CN"/>
        </w:rPr>
        <w:t>招标</w:t>
      </w:r>
      <w:r>
        <w:rPr>
          <w:rFonts w:hint="eastAsia" w:ascii="宋体" w:hAnsi="宋体" w:eastAsia="宋体" w:cs="宋体"/>
          <w:bCs/>
          <w:color w:val="auto"/>
          <w:kern w:val="0"/>
          <w:szCs w:val="21"/>
          <w:highlight w:val="none"/>
          <w:lang w:val="zh-CN"/>
        </w:rPr>
        <w:t>人与中标人在签订书面合同后3个工作日内向交易中心对中标人及其余中标候选人</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保证金发送退还指令。</w:t>
      </w:r>
    </w:p>
    <w:p w14:paraId="1215A474">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（4）若</w:t>
      </w:r>
      <w:r>
        <w:rPr>
          <w:rFonts w:hint="eastAsia" w:ascii="宋体" w:hAnsi="宋体" w:eastAsia="宋体" w:cs="宋体"/>
          <w:bCs/>
          <w:color w:val="auto"/>
          <w:kern w:val="0"/>
          <w:szCs w:val="21"/>
          <w:highlight w:val="none"/>
          <w:lang w:val="en-US" w:eastAsia="zh-CN"/>
        </w:rPr>
        <w:t>项目</w:t>
      </w:r>
      <w:r>
        <w:rPr>
          <w:rFonts w:hint="eastAsia" w:ascii="宋体" w:hAnsi="宋体" w:eastAsia="宋体" w:cs="宋体"/>
          <w:bCs/>
          <w:color w:val="auto"/>
          <w:kern w:val="0"/>
          <w:szCs w:val="21"/>
          <w:highlight w:val="none"/>
          <w:lang w:val="zh-CN"/>
        </w:rPr>
        <w:t>受到监督部门调查时，</w:t>
      </w:r>
      <w:r>
        <w:rPr>
          <w:rFonts w:hint="eastAsia" w:ascii="宋体" w:hAnsi="宋体" w:eastAsia="宋体" w:cs="宋体"/>
          <w:bCs/>
          <w:color w:val="auto"/>
          <w:kern w:val="0"/>
          <w:szCs w:val="21"/>
          <w:highlight w:val="none"/>
          <w:lang w:val="en-US" w:eastAsia="zh-CN"/>
        </w:rPr>
        <w:t>招标</w:t>
      </w:r>
      <w:r>
        <w:rPr>
          <w:rFonts w:hint="eastAsia" w:ascii="宋体" w:hAnsi="宋体" w:eastAsia="宋体" w:cs="宋体"/>
          <w:bCs/>
          <w:color w:val="auto"/>
          <w:kern w:val="0"/>
          <w:szCs w:val="21"/>
          <w:highlight w:val="none"/>
          <w:lang w:val="zh-CN"/>
        </w:rPr>
        <w:t>人根据实际情况处理</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保证金退回有关工作。</w:t>
      </w:r>
      <w:r>
        <w:rPr>
          <w:rFonts w:hint="eastAsia" w:ascii="宋体" w:hAnsi="宋体" w:eastAsia="宋体" w:cs="宋体"/>
          <w:bCs/>
          <w:color w:val="auto"/>
          <w:kern w:val="0"/>
          <w:szCs w:val="21"/>
          <w:highlight w:val="none"/>
          <w:lang w:val="en-US" w:eastAsia="zh-CN"/>
        </w:rPr>
        <w:t>招标</w:t>
      </w:r>
      <w:r>
        <w:rPr>
          <w:rFonts w:hint="eastAsia" w:ascii="宋体" w:hAnsi="宋体" w:eastAsia="宋体" w:cs="宋体"/>
          <w:bCs/>
          <w:color w:val="auto"/>
          <w:kern w:val="0"/>
          <w:szCs w:val="21"/>
          <w:highlight w:val="none"/>
          <w:lang w:val="zh-CN"/>
        </w:rPr>
        <w:t>人将按调查结果处理涉事</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w:t>
      </w:r>
    </w:p>
    <w:p w14:paraId="67C2CFEB">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（5）如因投诉等异常情况不能正常签发</w:t>
      </w:r>
      <w:r>
        <w:rPr>
          <w:rFonts w:hint="eastAsia" w:ascii="宋体" w:hAnsi="宋体" w:eastAsia="宋体" w:cs="宋体"/>
          <w:color w:val="auto"/>
          <w:szCs w:val="21"/>
          <w:highlight w:val="none"/>
          <w:lang w:val="zh-CN"/>
        </w:rPr>
        <w:t>入库</w:t>
      </w:r>
      <w:r>
        <w:rPr>
          <w:rFonts w:hint="eastAsia" w:ascii="宋体" w:hAnsi="宋体" w:eastAsia="宋体" w:cs="宋体"/>
          <w:color w:val="auto"/>
          <w:szCs w:val="21"/>
          <w:highlight w:val="none"/>
          <w:lang w:val="en-US" w:eastAsia="zh-CN"/>
        </w:rPr>
        <w:t>结果</w:t>
      </w:r>
      <w:r>
        <w:rPr>
          <w:rFonts w:hint="eastAsia" w:ascii="宋体" w:hAnsi="宋体" w:eastAsia="宋体" w:cs="宋体"/>
          <w:color w:val="auto"/>
          <w:szCs w:val="21"/>
          <w:highlight w:val="none"/>
          <w:lang w:val="zh-CN"/>
        </w:rPr>
        <w:t>通知书</w:t>
      </w:r>
      <w:r>
        <w:rPr>
          <w:rFonts w:hint="eastAsia" w:ascii="宋体" w:hAnsi="宋体" w:eastAsia="宋体" w:cs="宋体"/>
          <w:bCs/>
          <w:color w:val="auto"/>
          <w:kern w:val="0"/>
          <w:szCs w:val="21"/>
          <w:highlight w:val="none"/>
          <w:lang w:val="zh-CN"/>
        </w:rPr>
        <w:t>，</w:t>
      </w:r>
      <w:r>
        <w:rPr>
          <w:rFonts w:hint="eastAsia" w:ascii="宋体" w:hAnsi="宋体" w:eastAsia="宋体" w:cs="宋体"/>
          <w:bCs/>
          <w:color w:val="auto"/>
          <w:kern w:val="0"/>
          <w:szCs w:val="21"/>
          <w:highlight w:val="none"/>
          <w:lang w:val="en-US" w:eastAsia="zh-CN"/>
        </w:rPr>
        <w:t>招标</w:t>
      </w:r>
      <w:r>
        <w:rPr>
          <w:rFonts w:hint="eastAsia" w:ascii="宋体" w:hAnsi="宋体" w:eastAsia="宋体" w:cs="宋体"/>
          <w:bCs/>
          <w:color w:val="auto"/>
          <w:kern w:val="0"/>
          <w:szCs w:val="21"/>
          <w:highlight w:val="none"/>
          <w:lang w:val="zh-CN"/>
        </w:rPr>
        <w:t>人可以退回未中标的且不涉及异常情况处理</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的</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保证金发送退还指令。</w:t>
      </w:r>
    </w:p>
    <w:p w14:paraId="081A692C">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 xml:space="preserve">.4 </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保证金有效期应当与</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有效期一致。</w:t>
      </w:r>
      <w:r>
        <w:rPr>
          <w:rFonts w:hint="eastAsia" w:ascii="宋体" w:hAnsi="宋体" w:eastAsia="宋体" w:cs="宋体"/>
          <w:bCs/>
          <w:color w:val="auto"/>
          <w:kern w:val="0"/>
          <w:szCs w:val="21"/>
          <w:highlight w:val="none"/>
          <w:lang w:val="en-US" w:eastAsia="zh-CN"/>
        </w:rPr>
        <w:t>招标</w:t>
      </w:r>
      <w:r>
        <w:rPr>
          <w:rFonts w:hint="eastAsia" w:ascii="宋体" w:hAnsi="宋体" w:eastAsia="宋体" w:cs="宋体"/>
          <w:bCs/>
          <w:color w:val="auto"/>
          <w:kern w:val="0"/>
          <w:szCs w:val="21"/>
          <w:highlight w:val="none"/>
          <w:lang w:val="zh-CN"/>
        </w:rPr>
        <w:t>人如果按本</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须知第</w:t>
      </w:r>
      <w:r>
        <w:rPr>
          <w:rFonts w:hint="eastAsia" w:ascii="宋体" w:hAnsi="宋体" w:eastAsia="宋体" w:cs="宋体"/>
          <w:bCs/>
          <w:color w:val="auto"/>
          <w:kern w:val="0"/>
          <w:szCs w:val="21"/>
          <w:highlight w:val="none"/>
          <w:lang w:val="en-US" w:eastAsia="zh-CN"/>
        </w:rPr>
        <w:t>16.3款</w:t>
      </w:r>
      <w:r>
        <w:rPr>
          <w:rFonts w:hint="eastAsia" w:ascii="宋体" w:hAnsi="宋体" w:eastAsia="宋体" w:cs="宋体"/>
          <w:bCs/>
          <w:color w:val="auto"/>
          <w:kern w:val="0"/>
          <w:szCs w:val="21"/>
          <w:highlight w:val="none"/>
          <w:lang w:val="zh-CN"/>
        </w:rPr>
        <w:t>的规定延长了</w:t>
      </w:r>
      <w:r>
        <w:rPr>
          <w:rFonts w:hint="eastAsia" w:ascii="宋体" w:hAnsi="宋体" w:eastAsia="宋体" w:cs="宋体"/>
          <w:bCs/>
          <w:color w:val="auto"/>
          <w:kern w:val="0"/>
          <w:szCs w:val="21"/>
          <w:highlight w:val="none"/>
          <w:lang w:val="en-US" w:eastAsia="zh-CN"/>
        </w:rPr>
        <w:t>投标文件</w:t>
      </w:r>
      <w:r>
        <w:rPr>
          <w:rFonts w:hint="eastAsia" w:ascii="宋体" w:hAnsi="宋体" w:eastAsia="宋体" w:cs="宋体"/>
          <w:bCs/>
          <w:color w:val="auto"/>
          <w:kern w:val="0"/>
          <w:szCs w:val="21"/>
          <w:highlight w:val="none"/>
          <w:lang w:val="zh-CN"/>
        </w:rPr>
        <w:t>有效期，则</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保证金的有效期也相应延长。</w:t>
      </w:r>
    </w:p>
    <w:p w14:paraId="19E55400">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.5 若发生下列情况，</w:t>
      </w:r>
      <w:r>
        <w:rPr>
          <w:rFonts w:hint="eastAsia" w:ascii="宋体" w:hAnsi="宋体" w:eastAsia="宋体" w:cs="宋体"/>
          <w:bCs/>
          <w:color w:val="auto"/>
          <w:kern w:val="0"/>
          <w:szCs w:val="21"/>
          <w:highlight w:val="none"/>
          <w:lang w:val="en-US" w:eastAsia="zh-CN"/>
        </w:rPr>
        <w:t>招标</w:t>
      </w:r>
      <w:r>
        <w:rPr>
          <w:rFonts w:hint="eastAsia" w:ascii="宋体" w:hAnsi="宋体" w:eastAsia="宋体" w:cs="宋体"/>
          <w:bCs/>
          <w:color w:val="auto"/>
          <w:kern w:val="0"/>
          <w:szCs w:val="21"/>
          <w:highlight w:val="none"/>
          <w:lang w:val="zh-CN"/>
        </w:rPr>
        <w:t>人在书面通知</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（或中标人）后有权不予退还</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 xml:space="preserve">保证金： </w:t>
      </w:r>
    </w:p>
    <w:p w14:paraId="1DC8BB39">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（1）</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在规定的</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截止时间后至</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有效期满之前撤销或修改其</w:t>
      </w:r>
      <w:r>
        <w:rPr>
          <w:rFonts w:hint="eastAsia" w:ascii="宋体" w:hAnsi="宋体" w:eastAsia="宋体" w:cs="宋体"/>
          <w:bCs/>
          <w:color w:val="auto"/>
          <w:kern w:val="0"/>
          <w:szCs w:val="21"/>
          <w:highlight w:val="none"/>
          <w:lang w:val="en-US" w:eastAsia="zh-CN"/>
        </w:rPr>
        <w:t>投标文件</w:t>
      </w:r>
      <w:r>
        <w:rPr>
          <w:rFonts w:hint="eastAsia" w:ascii="宋体" w:hAnsi="宋体" w:eastAsia="宋体" w:cs="宋体"/>
          <w:bCs/>
          <w:color w:val="auto"/>
          <w:kern w:val="0"/>
          <w:szCs w:val="21"/>
          <w:highlight w:val="none"/>
          <w:lang w:val="zh-CN"/>
        </w:rPr>
        <w:t>；</w:t>
      </w:r>
    </w:p>
    <w:p w14:paraId="2D107A1C">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（2）中标人未能在规定期限内提交</w:t>
      </w:r>
      <w:r>
        <w:rPr>
          <w:rFonts w:hint="eastAsia" w:ascii="宋体" w:hAnsi="宋体" w:eastAsia="宋体" w:cs="宋体"/>
          <w:bCs/>
          <w:color w:val="auto"/>
          <w:kern w:val="0"/>
          <w:szCs w:val="21"/>
          <w:highlight w:val="none"/>
          <w:lang w:val="en-US" w:eastAsia="zh-CN"/>
        </w:rPr>
        <w:t>入库</w:t>
      </w:r>
      <w:r>
        <w:rPr>
          <w:rFonts w:hint="eastAsia" w:ascii="宋体" w:hAnsi="宋体" w:eastAsia="宋体" w:cs="宋体"/>
          <w:bCs/>
          <w:color w:val="auto"/>
          <w:kern w:val="0"/>
          <w:szCs w:val="21"/>
          <w:highlight w:val="none"/>
          <w:lang w:val="zh-CN"/>
        </w:rPr>
        <w:t>履约担保；</w:t>
      </w:r>
    </w:p>
    <w:p w14:paraId="435866B9">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（3）未根据</w:t>
      </w:r>
      <w:r>
        <w:rPr>
          <w:rFonts w:hint="eastAsia" w:ascii="宋体" w:hAnsi="宋体" w:eastAsia="宋体" w:cs="宋体"/>
          <w:bCs/>
          <w:color w:val="auto"/>
          <w:kern w:val="0"/>
          <w:szCs w:val="21"/>
          <w:highlight w:val="none"/>
          <w:lang w:val="en-US" w:eastAsia="zh-CN"/>
        </w:rPr>
        <w:t>本投标人须知</w:t>
      </w:r>
      <w:r>
        <w:rPr>
          <w:rFonts w:hint="eastAsia" w:ascii="宋体" w:hAnsi="宋体" w:eastAsia="宋体" w:cs="宋体"/>
          <w:bCs/>
          <w:color w:val="auto"/>
          <w:kern w:val="0"/>
          <w:szCs w:val="21"/>
          <w:highlight w:val="none"/>
          <w:lang w:val="zh-CN"/>
        </w:rPr>
        <w:t>第</w:t>
      </w:r>
      <w:r>
        <w:rPr>
          <w:rFonts w:hint="eastAsia" w:ascii="宋体" w:hAnsi="宋体" w:eastAsia="宋体" w:cs="宋体"/>
          <w:bCs/>
          <w:color w:val="auto"/>
          <w:kern w:val="0"/>
          <w:szCs w:val="21"/>
          <w:highlight w:val="none"/>
          <w:lang w:val="en-US" w:eastAsia="zh-CN"/>
        </w:rPr>
        <w:t>36</w:t>
      </w:r>
      <w:r>
        <w:rPr>
          <w:rFonts w:hint="eastAsia" w:ascii="宋体" w:hAnsi="宋体" w:eastAsia="宋体" w:cs="宋体"/>
          <w:bCs/>
          <w:color w:val="auto"/>
          <w:kern w:val="0"/>
          <w:szCs w:val="21"/>
          <w:highlight w:val="none"/>
          <w:lang w:val="zh-CN"/>
        </w:rPr>
        <w:t>条规定签署合同；</w:t>
      </w:r>
    </w:p>
    <w:p w14:paraId="2DF34E7F">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（4）将中标项目转让给他人，或者在</w:t>
      </w:r>
      <w:r>
        <w:rPr>
          <w:rFonts w:hint="eastAsia" w:ascii="宋体" w:hAnsi="宋体" w:eastAsia="宋体" w:cs="宋体"/>
          <w:bCs/>
          <w:color w:val="auto"/>
          <w:kern w:val="0"/>
          <w:szCs w:val="21"/>
          <w:highlight w:val="none"/>
          <w:lang w:val="en-US" w:eastAsia="zh-CN"/>
        </w:rPr>
        <w:t>投标文件</w:t>
      </w:r>
      <w:r>
        <w:rPr>
          <w:rFonts w:hint="eastAsia" w:ascii="宋体" w:hAnsi="宋体" w:eastAsia="宋体" w:cs="宋体"/>
          <w:bCs/>
          <w:color w:val="auto"/>
          <w:kern w:val="0"/>
          <w:szCs w:val="21"/>
          <w:highlight w:val="none"/>
          <w:lang w:val="zh-CN"/>
        </w:rPr>
        <w:t>中未说明，且未经</w:t>
      </w:r>
      <w:r>
        <w:rPr>
          <w:rFonts w:hint="eastAsia" w:ascii="宋体" w:hAnsi="宋体" w:eastAsia="宋体" w:cs="宋体"/>
          <w:bCs/>
          <w:color w:val="auto"/>
          <w:kern w:val="0"/>
          <w:szCs w:val="21"/>
          <w:highlight w:val="none"/>
          <w:lang w:val="en-US" w:eastAsia="zh-CN"/>
        </w:rPr>
        <w:t>招标</w:t>
      </w:r>
      <w:r>
        <w:rPr>
          <w:rFonts w:hint="eastAsia" w:ascii="宋体" w:hAnsi="宋体" w:eastAsia="宋体" w:cs="宋体"/>
          <w:bCs/>
          <w:color w:val="auto"/>
          <w:kern w:val="0"/>
          <w:szCs w:val="21"/>
          <w:highlight w:val="none"/>
          <w:lang w:val="zh-CN"/>
        </w:rPr>
        <w:t>人同意，将中标项目的合同的权利义务转让给第三方的；</w:t>
      </w:r>
    </w:p>
    <w:p w14:paraId="3FFFE11D">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（5）提供虚假</w:t>
      </w:r>
      <w:r>
        <w:rPr>
          <w:rFonts w:hint="eastAsia" w:ascii="宋体" w:hAnsi="宋体" w:eastAsia="宋体" w:cs="宋体"/>
          <w:bCs/>
          <w:color w:val="auto"/>
          <w:kern w:val="0"/>
          <w:szCs w:val="21"/>
          <w:highlight w:val="none"/>
          <w:lang w:val="en-US" w:eastAsia="zh-CN"/>
        </w:rPr>
        <w:t>投标文件</w:t>
      </w:r>
      <w:r>
        <w:rPr>
          <w:rFonts w:hint="eastAsia" w:ascii="宋体" w:hAnsi="宋体" w:eastAsia="宋体" w:cs="宋体"/>
          <w:bCs/>
          <w:color w:val="auto"/>
          <w:kern w:val="0"/>
          <w:szCs w:val="21"/>
          <w:highlight w:val="none"/>
          <w:lang w:val="zh-CN"/>
        </w:rPr>
        <w:t>或虚假补充文件的，或违反《中华人民共和国招标投标法》等有关法律、法规、规章及招标投标相关规定的行为。</w:t>
      </w:r>
    </w:p>
    <w:p w14:paraId="7ECAA3C5">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en-US"/>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en-US"/>
        </w:rPr>
        <w:t>.6</w:t>
      </w:r>
      <w:r>
        <w:rPr>
          <w:rFonts w:hint="eastAsia" w:ascii="宋体" w:hAnsi="宋体" w:eastAsia="宋体" w:cs="宋体"/>
          <w:bCs/>
          <w:color w:val="auto"/>
          <w:kern w:val="0"/>
          <w:szCs w:val="21"/>
          <w:highlight w:val="none"/>
          <w:lang w:val="en-US" w:eastAsia="zh-CN"/>
        </w:rPr>
        <w:t xml:space="preserve"> </w:t>
      </w:r>
      <w:r>
        <w:rPr>
          <w:rFonts w:hint="eastAsia" w:ascii="宋体" w:hAnsi="宋体" w:eastAsia="宋体" w:cs="宋体"/>
          <w:bCs/>
          <w:color w:val="auto"/>
          <w:kern w:val="0"/>
          <w:szCs w:val="21"/>
          <w:highlight w:val="none"/>
          <w:lang w:val="en-US"/>
        </w:rPr>
        <w:t>对于提交银行电子保函（保险电子保单）的有关注意事项：</w:t>
      </w:r>
    </w:p>
    <w:p w14:paraId="6E984607">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6.1</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所提交的银行电子保函（保险电子保单）经核实出现以下情况的，作自动弃权处理：①担保的有效期或金额不符合要求的；②出现不符合</w:t>
      </w:r>
      <w:r>
        <w:rPr>
          <w:rFonts w:hint="eastAsia" w:ascii="宋体" w:hAnsi="宋体" w:eastAsia="宋体" w:cs="宋体"/>
          <w:bCs/>
          <w:color w:val="auto"/>
          <w:kern w:val="0"/>
          <w:szCs w:val="21"/>
          <w:highlight w:val="none"/>
          <w:lang w:val="en-US" w:eastAsia="zh-CN"/>
        </w:rPr>
        <w:t>招标</w:t>
      </w:r>
      <w:r>
        <w:rPr>
          <w:rFonts w:hint="eastAsia" w:ascii="宋体" w:hAnsi="宋体" w:eastAsia="宋体" w:cs="宋体"/>
          <w:bCs/>
          <w:color w:val="auto"/>
          <w:kern w:val="0"/>
          <w:szCs w:val="21"/>
          <w:highlight w:val="none"/>
          <w:lang w:val="zh-CN"/>
        </w:rPr>
        <w:t>文件要求或</w:t>
      </w:r>
      <w:r>
        <w:rPr>
          <w:rFonts w:hint="eastAsia" w:ascii="宋体" w:hAnsi="宋体" w:eastAsia="宋体" w:cs="宋体"/>
          <w:bCs/>
          <w:color w:val="auto"/>
          <w:kern w:val="0"/>
          <w:szCs w:val="21"/>
          <w:highlight w:val="none"/>
          <w:lang w:val="en-US" w:eastAsia="zh-CN"/>
        </w:rPr>
        <w:t>招标</w:t>
      </w:r>
      <w:r>
        <w:rPr>
          <w:rFonts w:hint="eastAsia" w:ascii="宋体" w:hAnsi="宋体" w:eastAsia="宋体" w:cs="宋体"/>
          <w:bCs/>
          <w:color w:val="auto"/>
          <w:kern w:val="0"/>
          <w:szCs w:val="21"/>
          <w:highlight w:val="none"/>
          <w:lang w:val="zh-CN"/>
        </w:rPr>
        <w:t>人不能接受的条款。</w:t>
      </w:r>
    </w:p>
    <w:p w14:paraId="08C7D362">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.6.2</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应当选择具备银行电子保函（保险电子保单）相关业务的银行（保险公司）开具投标保函（保单）。具备相关业务的银行（保险公司）应满足能与交易中心端口对接、关联基本账户、退款等条件，以保证电子指令的正常发送与接收。</w:t>
      </w:r>
    </w:p>
    <w:p w14:paraId="0E0EBAF6">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.6.3银行电子保函采用“电子保函+电子指令”模式，保险电子保单采用“电子保单+电子指令”模式，即银行（保险公司）向</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开具电子保函（保单）的同时向交易中心发送经加密的电子指令，</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自行登录交易系统进行确认。</w:t>
      </w:r>
    </w:p>
    <w:p w14:paraId="0899262B">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.6.4</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需预留足够的时间，提前办理好银行电子保函或保险电子保单，自行查询确认电子指令是否已经送到交易中心，并核对相关资料和信息的准确性。</w:t>
      </w:r>
      <w:r>
        <w:rPr>
          <w:rFonts w:hint="eastAsia" w:ascii="宋体" w:hAnsi="宋体" w:eastAsia="宋体" w:cs="宋体"/>
          <w:bCs/>
          <w:color w:val="auto"/>
          <w:kern w:val="0"/>
          <w:szCs w:val="21"/>
          <w:highlight w:val="none"/>
          <w:lang w:val="en-US" w:eastAsia="zh-CN"/>
        </w:rPr>
        <w:t>若投标人</w:t>
      </w:r>
      <w:r>
        <w:rPr>
          <w:rFonts w:hint="eastAsia" w:ascii="宋体" w:hAnsi="宋体" w:eastAsia="宋体" w:cs="宋体"/>
          <w:bCs/>
          <w:color w:val="auto"/>
          <w:kern w:val="0"/>
          <w:szCs w:val="21"/>
          <w:highlight w:val="none"/>
          <w:lang w:val="zh-CN"/>
        </w:rPr>
        <w:t>未预留足够的时间办理相关手续，因网络或系统等原因导致电子指令超过</w:t>
      </w:r>
      <w:r>
        <w:rPr>
          <w:rFonts w:hint="eastAsia" w:ascii="宋体" w:hAnsi="宋体" w:eastAsia="宋体" w:cs="宋体"/>
          <w:bCs/>
          <w:color w:val="auto"/>
          <w:kern w:val="0"/>
          <w:szCs w:val="21"/>
          <w:highlight w:val="none"/>
          <w:lang w:val="en-US" w:eastAsia="zh-CN"/>
        </w:rPr>
        <w:t>投标文件</w:t>
      </w:r>
      <w:r>
        <w:rPr>
          <w:rFonts w:hint="eastAsia" w:ascii="宋体" w:hAnsi="宋体" w:eastAsia="宋体" w:cs="宋体"/>
          <w:bCs/>
          <w:color w:val="auto"/>
          <w:kern w:val="0"/>
          <w:szCs w:val="21"/>
          <w:highlight w:val="none"/>
          <w:lang w:val="zh-CN"/>
        </w:rPr>
        <w:t>递交截止时间未能到达交易系统导致</w:t>
      </w:r>
      <w:r>
        <w:rPr>
          <w:rFonts w:hint="eastAsia" w:ascii="宋体" w:hAnsi="宋体" w:eastAsia="宋体" w:cs="宋体"/>
          <w:bCs/>
          <w:color w:val="auto"/>
          <w:kern w:val="0"/>
          <w:szCs w:val="21"/>
          <w:highlight w:val="none"/>
          <w:lang w:val="en-US" w:eastAsia="zh-CN"/>
        </w:rPr>
        <w:t>招标</w:t>
      </w:r>
      <w:r>
        <w:rPr>
          <w:rFonts w:hint="eastAsia" w:ascii="宋体" w:hAnsi="宋体" w:eastAsia="宋体" w:cs="宋体"/>
          <w:bCs/>
          <w:color w:val="auto"/>
          <w:kern w:val="0"/>
          <w:szCs w:val="21"/>
          <w:highlight w:val="none"/>
          <w:lang w:val="zh-CN"/>
        </w:rPr>
        <w:t>人拒绝其</w:t>
      </w:r>
      <w:r>
        <w:rPr>
          <w:rFonts w:hint="eastAsia" w:ascii="宋体" w:hAnsi="宋体" w:eastAsia="宋体" w:cs="宋体"/>
          <w:bCs/>
          <w:color w:val="auto"/>
          <w:kern w:val="0"/>
          <w:szCs w:val="21"/>
          <w:highlight w:val="none"/>
          <w:lang w:val="en-US" w:eastAsia="zh-CN"/>
        </w:rPr>
        <w:t>投标</w:t>
      </w:r>
      <w:r>
        <w:rPr>
          <w:rFonts w:hint="eastAsia" w:ascii="宋体" w:hAnsi="宋体" w:eastAsia="宋体" w:cs="宋体"/>
          <w:bCs/>
          <w:color w:val="auto"/>
          <w:kern w:val="0"/>
          <w:szCs w:val="21"/>
          <w:highlight w:val="none"/>
          <w:lang w:val="zh-CN"/>
        </w:rPr>
        <w:t>的，其后果由</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自行负责。</w:t>
      </w:r>
    </w:p>
    <w:p w14:paraId="52655244">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7</w:t>
      </w:r>
      <w:r>
        <w:rPr>
          <w:rFonts w:hint="eastAsia" w:ascii="宋体" w:hAnsi="宋体" w:eastAsia="宋体" w:cs="宋体"/>
          <w:bCs/>
          <w:color w:val="auto"/>
          <w:kern w:val="0"/>
          <w:szCs w:val="21"/>
          <w:highlight w:val="none"/>
          <w:lang w:val="en-US" w:eastAsia="zh-CN"/>
        </w:rPr>
        <w:t xml:space="preserve"> 投标</w:t>
      </w:r>
      <w:r>
        <w:rPr>
          <w:rFonts w:hint="eastAsia" w:ascii="宋体" w:hAnsi="宋体" w:eastAsia="宋体" w:cs="宋体"/>
          <w:bCs/>
          <w:color w:val="auto"/>
          <w:kern w:val="0"/>
          <w:szCs w:val="21"/>
          <w:highlight w:val="none"/>
          <w:lang w:val="zh-CN"/>
        </w:rPr>
        <w:t>保证金缴存银行</w:t>
      </w:r>
      <w:r>
        <w:rPr>
          <w:rFonts w:hint="eastAsia" w:ascii="宋体" w:hAnsi="宋体" w:eastAsia="宋体" w:cs="宋体"/>
          <w:bCs/>
          <w:color w:val="auto"/>
          <w:kern w:val="0"/>
          <w:szCs w:val="21"/>
          <w:highlight w:val="none"/>
          <w:lang w:val="en-US" w:eastAsia="zh-CN"/>
        </w:rPr>
        <w:t>账</w:t>
      </w:r>
      <w:r>
        <w:rPr>
          <w:rFonts w:hint="eastAsia" w:ascii="宋体" w:hAnsi="宋体" w:eastAsia="宋体" w:cs="宋体"/>
          <w:bCs/>
          <w:color w:val="auto"/>
          <w:kern w:val="0"/>
          <w:szCs w:val="21"/>
          <w:highlight w:val="none"/>
          <w:lang w:val="zh-CN"/>
        </w:rPr>
        <w:t>户见全国公共资源交易平台（广东省·东莞市）办事指南。</w:t>
      </w:r>
    </w:p>
    <w:p w14:paraId="02F1118B">
      <w:pPr>
        <w:tabs>
          <w:tab w:val="left" w:pos="1134"/>
        </w:tabs>
        <w:autoSpaceDE w:val="0"/>
        <w:autoSpaceDN w:val="0"/>
        <w:adjustRightInd w:val="0"/>
        <w:spacing w:line="360" w:lineRule="auto"/>
        <w:ind w:left="840" w:leftChars="150" w:hanging="525" w:hangingChars="250"/>
        <w:jc w:val="left"/>
        <w:rPr>
          <w:rFonts w:ascii="宋体" w:hAnsi="宋体" w:eastAsia="宋体" w:cs="宋体"/>
          <w:color w:val="auto"/>
          <w:kern w:val="0"/>
          <w:szCs w:val="21"/>
          <w:highlight w:val="none"/>
        </w:rPr>
      </w:pPr>
    </w:p>
    <w:p w14:paraId="416E5163">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49" w:name="_Toc1458"/>
      <w:bookmarkStart w:id="250" w:name="_Toc23637"/>
      <w:bookmarkStart w:id="251" w:name="_Toc22274"/>
      <w:bookmarkStart w:id="252" w:name="_Toc1553"/>
      <w:bookmarkStart w:id="253" w:name="_Toc486167680"/>
      <w:bookmarkStart w:id="254" w:name="_Toc142508330"/>
      <w:bookmarkStart w:id="255" w:name="_Toc450662865"/>
      <w:bookmarkStart w:id="256" w:name="_Toc29607"/>
      <w:bookmarkStart w:id="257" w:name="_Toc195714234"/>
      <w:bookmarkStart w:id="258" w:name="_Toc6514"/>
      <w:bookmarkStart w:id="259" w:name="_Toc22649_WPSOffice_Level3"/>
      <w:bookmarkStart w:id="260" w:name="_Toc24142"/>
      <w:r>
        <w:rPr>
          <w:rFonts w:hint="eastAsia" w:ascii="宋体" w:hAnsi="宋体" w:eastAsia="宋体" w:cs="宋体"/>
          <w:color w:val="auto"/>
          <w:szCs w:val="21"/>
          <w:highlight w:val="none"/>
          <w:lang w:val="zh-CN"/>
        </w:rPr>
        <w:t>16</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投标有效期</w:t>
      </w:r>
      <w:bookmarkEnd w:id="249"/>
      <w:bookmarkEnd w:id="250"/>
      <w:bookmarkEnd w:id="251"/>
      <w:bookmarkEnd w:id="252"/>
      <w:bookmarkEnd w:id="253"/>
      <w:bookmarkEnd w:id="254"/>
      <w:bookmarkEnd w:id="255"/>
      <w:bookmarkEnd w:id="256"/>
      <w:bookmarkEnd w:id="257"/>
      <w:bookmarkEnd w:id="258"/>
      <w:bookmarkEnd w:id="259"/>
      <w:bookmarkEnd w:id="260"/>
    </w:p>
    <w:p w14:paraId="1A5C0510">
      <w:pPr>
        <w:tabs>
          <w:tab w:val="left" w:pos="567"/>
        </w:tabs>
        <w:autoSpaceDE w:val="0"/>
        <w:autoSpaceDN w:val="0"/>
        <w:adjustRightInd w:val="0"/>
        <w:spacing w:line="360" w:lineRule="auto"/>
        <w:ind w:left="357" w:leftChars="-100" w:hanging="567"/>
        <w:rPr>
          <w:rFonts w:ascii="宋体" w:hAnsi="宋体" w:eastAsia="宋体" w:cs="宋体"/>
          <w:b/>
          <w:bCs/>
          <w:color w:val="auto"/>
          <w:szCs w:val="21"/>
          <w:highlight w:val="none"/>
          <w:lang w:val="zh-CN"/>
        </w:rPr>
      </w:pPr>
      <w:r>
        <w:rPr>
          <w:rFonts w:hint="eastAsia" w:ascii="宋体" w:hAnsi="宋体" w:eastAsia="宋体" w:cs="宋体"/>
          <w:color w:val="auto"/>
          <w:szCs w:val="21"/>
          <w:highlight w:val="none"/>
          <w:lang w:val="zh-CN"/>
        </w:rPr>
        <w:t>16.1</w:t>
      </w:r>
      <w:r>
        <w:rPr>
          <w:rFonts w:hint="eastAsia" w:ascii="宋体" w:hAnsi="宋体" w:eastAsia="宋体" w:cs="宋体"/>
          <w:color w:val="auto"/>
          <w:szCs w:val="21"/>
          <w:highlight w:val="none"/>
          <w:lang w:val="zh-CN"/>
        </w:rPr>
        <w:tab/>
      </w:r>
      <w:r>
        <w:rPr>
          <w:rFonts w:hint="eastAsia" w:ascii="宋体" w:hAnsi="宋体" w:eastAsia="宋体" w:cs="宋体"/>
          <w:b/>
          <w:bCs/>
          <w:color w:val="auto"/>
          <w:szCs w:val="21"/>
          <w:highlight w:val="none"/>
          <w:u w:val="single"/>
          <w:lang w:val="zh-CN"/>
        </w:rPr>
        <w:t>投标文件将在递交投标文件截止时间届满后90日内有效。投标有效期比规定时间短的按无效投标文件处理</w:t>
      </w:r>
      <w:r>
        <w:rPr>
          <w:rFonts w:hint="eastAsia" w:ascii="宋体" w:hAnsi="宋体" w:eastAsia="宋体" w:cs="宋体"/>
          <w:b/>
          <w:bCs/>
          <w:color w:val="auto"/>
          <w:szCs w:val="21"/>
          <w:highlight w:val="none"/>
          <w:lang w:val="zh-CN"/>
        </w:rPr>
        <w:t>。</w:t>
      </w:r>
    </w:p>
    <w:p w14:paraId="58C8B6C7">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16.2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中标人的投标文件作为合同附件，合同失效时同时失效。</w:t>
      </w:r>
    </w:p>
    <w:p w14:paraId="13218B35">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16.3</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在特殊情况下，招标代理机构可于投标有效期满之前要求投标人同意延长投标有效期。要求与答复均应为书面形式往来。投标人可以拒绝上述要求</w:t>
      </w:r>
      <w:r>
        <w:rPr>
          <w:rFonts w:hint="eastAsia" w:ascii="宋体" w:hAnsi="宋体" w:eastAsia="宋体" w:cs="Times New Roman"/>
          <w:szCs w:val="21"/>
          <w:highlight w:val="none"/>
          <w:lang w:val="zh-CN"/>
        </w:rPr>
        <w:t>，</w:t>
      </w:r>
      <w:r>
        <w:rPr>
          <w:rFonts w:hint="eastAsia" w:ascii="宋体" w:hAnsi="宋体" w:eastAsia="宋体" w:cs="Times New Roman"/>
          <w:szCs w:val="21"/>
          <w:highlight w:val="none"/>
          <w:lang w:val="en-US" w:eastAsia="zh-CN"/>
        </w:rPr>
        <w:t>招标</w:t>
      </w:r>
      <w:r>
        <w:rPr>
          <w:rFonts w:hint="eastAsia" w:ascii="宋体" w:hAnsi="宋体" w:eastAsia="宋体" w:cs="Times New Roman"/>
          <w:szCs w:val="21"/>
          <w:highlight w:val="none"/>
        </w:rPr>
        <w:t>人</w:t>
      </w:r>
      <w:r>
        <w:rPr>
          <w:rFonts w:hint="eastAsia" w:ascii="宋体" w:hAnsi="宋体" w:eastAsia="宋体" w:cs="Times New Roman"/>
          <w:szCs w:val="21"/>
          <w:highlight w:val="none"/>
          <w:lang w:val="zh-CN"/>
        </w:rPr>
        <w:t>将退还</w:t>
      </w:r>
      <w:r>
        <w:rPr>
          <w:rFonts w:hint="eastAsia" w:ascii="宋体" w:hAnsi="宋体" w:eastAsia="宋体" w:cs="宋体"/>
          <w:szCs w:val="21"/>
          <w:highlight w:val="none"/>
          <w:lang w:val="zh-CN"/>
        </w:rPr>
        <w:t>其</w:t>
      </w:r>
      <w:r>
        <w:rPr>
          <w:rFonts w:hint="eastAsia" w:ascii="宋体" w:hAnsi="宋体" w:eastAsia="宋体" w:cs="宋体"/>
          <w:szCs w:val="21"/>
          <w:highlight w:val="none"/>
          <w:lang w:val="en-US" w:eastAsia="zh-CN"/>
        </w:rPr>
        <w:t>投标</w:t>
      </w:r>
      <w:r>
        <w:rPr>
          <w:rFonts w:hint="eastAsia" w:ascii="宋体" w:hAnsi="宋体" w:eastAsia="宋体" w:cs="宋体"/>
          <w:szCs w:val="21"/>
          <w:highlight w:val="none"/>
          <w:lang w:val="zh-CN"/>
        </w:rPr>
        <w:t>保证金</w:t>
      </w:r>
      <w:r>
        <w:rPr>
          <w:rFonts w:hint="eastAsia" w:ascii="宋体" w:hAnsi="宋体" w:eastAsia="宋体" w:cs="宋体"/>
          <w:color w:val="auto"/>
          <w:szCs w:val="21"/>
          <w:highlight w:val="none"/>
          <w:lang w:val="zh-CN"/>
        </w:rPr>
        <w:t>。对于同意该要求的投标人，既不要求也不允许其修改投标文件</w:t>
      </w:r>
      <w:r>
        <w:rPr>
          <w:rFonts w:hint="eastAsia" w:ascii="宋体" w:hAnsi="宋体" w:eastAsia="宋体" w:cs="宋体"/>
          <w:szCs w:val="21"/>
          <w:highlight w:val="none"/>
          <w:lang w:val="zh-CN"/>
        </w:rPr>
        <w:t>，但将要求其相应延长</w:t>
      </w:r>
      <w:r>
        <w:rPr>
          <w:rFonts w:hint="eastAsia" w:ascii="宋体" w:hAnsi="宋体" w:eastAsia="宋体" w:cs="宋体"/>
          <w:szCs w:val="21"/>
          <w:highlight w:val="none"/>
          <w:lang w:val="en-US" w:eastAsia="zh-CN"/>
        </w:rPr>
        <w:t>投标</w:t>
      </w:r>
      <w:r>
        <w:rPr>
          <w:rFonts w:hint="eastAsia" w:ascii="宋体" w:hAnsi="宋体" w:eastAsia="宋体" w:cs="宋体"/>
          <w:szCs w:val="21"/>
          <w:highlight w:val="none"/>
          <w:lang w:val="zh-CN"/>
        </w:rPr>
        <w:t>保证金的有效期。第15条</w:t>
      </w:r>
      <w:r>
        <w:rPr>
          <w:rFonts w:hint="eastAsia" w:ascii="宋体" w:hAnsi="宋体" w:eastAsia="宋体" w:cs="宋体"/>
          <w:szCs w:val="21"/>
          <w:highlight w:val="none"/>
          <w:lang w:val="en-US" w:eastAsia="zh-CN"/>
        </w:rPr>
        <w:t>投标</w:t>
      </w:r>
      <w:r>
        <w:rPr>
          <w:rFonts w:hint="eastAsia" w:ascii="宋体" w:hAnsi="宋体" w:eastAsia="宋体" w:cs="宋体"/>
          <w:szCs w:val="21"/>
          <w:highlight w:val="none"/>
          <w:lang w:val="zh-CN"/>
        </w:rPr>
        <w:t>保证金的有关规定在</w:t>
      </w:r>
      <w:r>
        <w:rPr>
          <w:rFonts w:hint="eastAsia" w:ascii="宋体" w:hAnsi="宋体" w:eastAsia="宋体" w:cs="宋体"/>
          <w:szCs w:val="21"/>
          <w:highlight w:val="none"/>
          <w:lang w:val="en-US" w:eastAsia="zh-CN"/>
        </w:rPr>
        <w:t>投标</w:t>
      </w:r>
      <w:r>
        <w:rPr>
          <w:rFonts w:hint="eastAsia" w:ascii="宋体" w:hAnsi="宋体" w:eastAsia="宋体" w:cs="宋体"/>
          <w:szCs w:val="21"/>
          <w:highlight w:val="none"/>
          <w:lang w:val="zh-CN"/>
        </w:rPr>
        <w:t>保证金延长期内仍适用</w:t>
      </w:r>
      <w:r>
        <w:rPr>
          <w:rFonts w:hint="eastAsia" w:ascii="宋体" w:hAnsi="宋体" w:eastAsia="宋体" w:cs="宋体"/>
          <w:color w:val="auto"/>
          <w:szCs w:val="21"/>
          <w:highlight w:val="none"/>
          <w:lang w:val="zh-CN"/>
        </w:rPr>
        <w:t>。</w:t>
      </w:r>
    </w:p>
    <w:p w14:paraId="07AD58E2">
      <w:pPr>
        <w:autoSpaceDE w:val="0"/>
        <w:autoSpaceDN w:val="0"/>
        <w:adjustRightInd w:val="0"/>
        <w:spacing w:line="360" w:lineRule="auto"/>
        <w:ind w:left="357" w:leftChars="-100" w:hanging="567"/>
        <w:rPr>
          <w:rFonts w:ascii="宋体" w:hAnsi="宋体" w:eastAsia="宋体" w:cs="宋体"/>
          <w:color w:val="auto"/>
          <w:szCs w:val="21"/>
          <w:highlight w:val="none"/>
          <w:lang w:val="zh-CN"/>
        </w:rPr>
      </w:pPr>
    </w:p>
    <w:p w14:paraId="04F56EB8">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61" w:name="_Toc486167681"/>
      <w:bookmarkStart w:id="262" w:name="_Toc195714235"/>
      <w:bookmarkStart w:id="263" w:name="_Toc25637_WPSOffice_Level3"/>
      <w:bookmarkStart w:id="264" w:name="_Toc24510"/>
      <w:bookmarkStart w:id="265" w:name="_Toc23975"/>
      <w:bookmarkStart w:id="266" w:name="_Toc2412"/>
      <w:bookmarkStart w:id="267" w:name="_Toc450662866"/>
      <w:bookmarkStart w:id="268" w:name="_Toc11099"/>
      <w:bookmarkStart w:id="269" w:name="_Toc142508331"/>
      <w:bookmarkStart w:id="270" w:name="_Toc20422"/>
      <w:bookmarkStart w:id="271" w:name="_Toc30192"/>
      <w:bookmarkStart w:id="272" w:name="_Toc932"/>
      <w:r>
        <w:rPr>
          <w:rFonts w:hint="eastAsia" w:ascii="宋体" w:hAnsi="宋体" w:eastAsia="宋体" w:cs="宋体"/>
          <w:color w:val="auto"/>
          <w:szCs w:val="21"/>
          <w:highlight w:val="none"/>
          <w:lang w:val="zh-CN"/>
        </w:rPr>
        <w:t>17</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投标文件的编制和签署</w:t>
      </w:r>
      <w:bookmarkEnd w:id="261"/>
      <w:bookmarkEnd w:id="262"/>
      <w:bookmarkEnd w:id="263"/>
      <w:bookmarkEnd w:id="264"/>
      <w:bookmarkEnd w:id="265"/>
      <w:bookmarkEnd w:id="266"/>
      <w:bookmarkEnd w:id="267"/>
      <w:bookmarkEnd w:id="268"/>
      <w:bookmarkEnd w:id="269"/>
      <w:bookmarkEnd w:id="270"/>
      <w:bookmarkEnd w:id="271"/>
      <w:bookmarkEnd w:id="272"/>
    </w:p>
    <w:p w14:paraId="37E7D403">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投标文件采用电子标书形式编制。投标人使用网络上传投标文件。</w:t>
      </w:r>
    </w:p>
    <w:p w14:paraId="4AF80E1C">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投标人应使用全国公共资源交易平台（广东省·东莞市）发布的投标文件电子标书制作软件（以下简称“电子标书制作软件”）进行投标文件的合成、电子</w:t>
      </w:r>
      <w:r>
        <w:rPr>
          <w:rFonts w:hint="default" w:ascii="宋体" w:hAnsi="宋体" w:eastAsia="宋体" w:cs="宋体"/>
          <w:color w:val="auto"/>
          <w:szCs w:val="21"/>
          <w:highlight w:val="none"/>
          <w:lang w:val="en-US"/>
        </w:rPr>
        <w:t>签名</w:t>
      </w:r>
      <w:r>
        <w:rPr>
          <w:rFonts w:hint="eastAsia" w:ascii="宋体" w:hAnsi="宋体" w:eastAsia="宋体" w:cs="宋体"/>
          <w:color w:val="auto"/>
          <w:szCs w:val="21"/>
          <w:highlight w:val="none"/>
          <w:lang w:val="zh-CN"/>
        </w:rPr>
        <w:t>工作。</w:t>
      </w:r>
    </w:p>
    <w:p w14:paraId="7EDA7B0A">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投标人应使用依法设立的电子认证服务提供者签发的电子签名认证证书对电子投标文件进行电子签名。该电子</w:t>
      </w:r>
      <w:r>
        <w:rPr>
          <w:rFonts w:hint="default" w:ascii="宋体" w:hAnsi="宋体" w:eastAsia="宋体" w:cs="宋体"/>
          <w:color w:val="auto"/>
          <w:szCs w:val="21"/>
          <w:highlight w:val="none"/>
          <w:lang w:val="en-US"/>
        </w:rPr>
        <w:t>签名</w:t>
      </w:r>
      <w:r>
        <w:rPr>
          <w:rFonts w:hint="eastAsia" w:ascii="宋体" w:hAnsi="宋体" w:eastAsia="宋体" w:cs="宋体"/>
          <w:color w:val="auto"/>
          <w:szCs w:val="21"/>
          <w:highlight w:val="none"/>
          <w:lang w:val="zh-CN"/>
        </w:rPr>
        <w:t>与手写签名或者盖章具有同等的法律效力。</w:t>
      </w:r>
    </w:p>
    <w:p w14:paraId="401DAD3A">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.4</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投标人使用电子标书制作软件编制电子投标文件时必须按招标文件相关条款及投标文件格式中的要求进行编制。</w:t>
      </w:r>
    </w:p>
    <w:p w14:paraId="6A30ECD0">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.5</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投标文件应按上述编制的要求编制电子标书。如投标文件未按上述编制要求编制的，所引起交易系统无法检索、读取相关信息时，其结果将由投标人自行承担。</w:t>
      </w:r>
    </w:p>
    <w:p w14:paraId="4C1BD62F">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.6</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投标文件必须按下列要求编制、使用数字证书电子</w:t>
      </w:r>
      <w:r>
        <w:rPr>
          <w:rFonts w:hint="default" w:ascii="宋体" w:hAnsi="宋体" w:eastAsia="宋体" w:cs="宋体"/>
          <w:color w:val="auto"/>
          <w:szCs w:val="21"/>
          <w:highlight w:val="none"/>
          <w:lang w:val="en-US"/>
        </w:rPr>
        <w:t>签名</w:t>
      </w:r>
      <w:r>
        <w:rPr>
          <w:rFonts w:hint="eastAsia" w:ascii="宋体" w:hAnsi="宋体" w:eastAsia="宋体" w:cs="宋体"/>
          <w:color w:val="auto"/>
          <w:szCs w:val="21"/>
          <w:highlight w:val="none"/>
          <w:lang w:val="en-US" w:eastAsia="zh-CN"/>
        </w:rPr>
        <w:t>：</w:t>
      </w:r>
    </w:p>
    <w:p w14:paraId="04E7FBE3">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.6.1按本投标人须知第</w:t>
      </w:r>
      <w:r>
        <w:rPr>
          <w:rFonts w:hint="eastAsia" w:ascii="宋体" w:hAnsi="宋体" w:eastAsia="宋体" w:cs="宋体"/>
          <w:color w:val="auto"/>
          <w:szCs w:val="21"/>
          <w:highlight w:val="none"/>
        </w:rPr>
        <w:t>8</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0</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14</w:t>
      </w:r>
      <w:r>
        <w:rPr>
          <w:rFonts w:hint="eastAsia" w:ascii="宋体" w:hAnsi="宋体" w:eastAsia="宋体" w:cs="宋体"/>
          <w:color w:val="auto"/>
          <w:szCs w:val="21"/>
          <w:highlight w:val="none"/>
          <w:lang w:val="zh-CN"/>
        </w:rPr>
        <w:t>条的规定编制，“投标文件的组成”中列明的内容在投标文件中不能有漏缺。</w:t>
      </w:r>
    </w:p>
    <w:p w14:paraId="3B83B3A7">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.6.2投标文件商务标、技术标编制要求：</w:t>
      </w:r>
    </w:p>
    <w:p w14:paraId="5C492856">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（1）投标文件必须按招标文件中规定的投标文件格式编制，并转换成PDF格式合成到电子投标文件中；</w:t>
      </w:r>
    </w:p>
    <w:p w14:paraId="5D7B6838">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（2）投标文件商务标、技术标必须按招标文件的规定填写； </w:t>
      </w:r>
    </w:p>
    <w:p w14:paraId="4284F5C9">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val="zh-CN"/>
        </w:rPr>
        <w:t>）投标文件商务标、技术标应按其格式要求由投标人的法定代表人或其授权代表电子签名、企业数字证书电子签名；</w:t>
      </w:r>
    </w:p>
    <w:p w14:paraId="0A0FA9E4">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val="zh-CN"/>
        </w:rPr>
        <w:t>）严格按照第</w:t>
      </w:r>
      <w:r>
        <w:rPr>
          <w:rFonts w:hint="eastAsia" w:ascii="宋体" w:hAnsi="宋体" w:eastAsia="宋体" w:cs="宋体"/>
          <w:color w:val="auto"/>
          <w:szCs w:val="21"/>
          <w:highlight w:val="none"/>
          <w:lang w:val="en-US" w:eastAsia="zh-CN"/>
        </w:rPr>
        <w:t>六</w:t>
      </w:r>
      <w:r>
        <w:rPr>
          <w:rFonts w:hint="eastAsia" w:ascii="宋体" w:hAnsi="宋体" w:eastAsia="宋体" w:cs="宋体"/>
          <w:color w:val="auto"/>
          <w:szCs w:val="21"/>
          <w:highlight w:val="none"/>
          <w:lang w:val="zh-CN"/>
        </w:rPr>
        <w:t>篇投标文件格式内的要求完整、真实的填写《合同条款偏离表》《用户需求偏离表》；</w:t>
      </w:r>
    </w:p>
    <w:p w14:paraId="2BDF95F5">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val="zh-CN"/>
        </w:rPr>
        <w:t>）投标文件技术标部分必须按招标文件第</w:t>
      </w:r>
      <w:r>
        <w:rPr>
          <w:rFonts w:hint="eastAsia" w:ascii="宋体" w:hAnsi="宋体" w:eastAsia="宋体" w:cs="宋体"/>
          <w:color w:val="auto"/>
          <w:szCs w:val="21"/>
          <w:highlight w:val="none"/>
          <w:lang w:val="en-US" w:eastAsia="zh-CN"/>
        </w:rPr>
        <w:t>六</w:t>
      </w:r>
      <w:r>
        <w:rPr>
          <w:rFonts w:hint="eastAsia" w:ascii="宋体" w:hAnsi="宋体" w:eastAsia="宋体" w:cs="宋体"/>
          <w:color w:val="auto"/>
          <w:szCs w:val="21"/>
          <w:highlight w:val="none"/>
          <w:lang w:val="zh-CN"/>
        </w:rPr>
        <w:t>篇“技术标格式”编制。</w:t>
      </w:r>
    </w:p>
    <w:p w14:paraId="26E4B9D6">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.6.3投标文件报价信封编制要求：</w:t>
      </w:r>
    </w:p>
    <w:p w14:paraId="4EBC2753">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（1）投标人应使用电子标书制作软件编制并生成报价信封</w:t>
      </w:r>
      <w:r>
        <w:rPr>
          <w:rFonts w:hint="eastAsia"/>
          <w:highlight w:val="none"/>
          <w:lang w:eastAsia="zh-CN"/>
        </w:rPr>
        <w:t>。</w:t>
      </w:r>
    </w:p>
    <w:p w14:paraId="310E130A">
      <w:pPr>
        <w:numPr>
          <w:ilvl w:val="0"/>
          <w:numId w:val="0"/>
        </w:numPr>
        <w:tabs>
          <w:tab w:val="left" w:pos="567"/>
        </w:tabs>
        <w:spacing w:line="360" w:lineRule="auto"/>
        <w:ind w:left="357" w:leftChars="-100" w:hanging="567"/>
        <w:rPr>
          <w:rFonts w:hint="eastAsia" w:ascii="宋体" w:hAnsi="宋体" w:eastAsia="宋体" w:cs="宋体"/>
          <w:highlight w:val="none"/>
          <w:lang w:val="zh-CN"/>
        </w:rPr>
      </w:pPr>
      <w:r>
        <w:rPr>
          <w:rFonts w:hint="eastAsia" w:ascii="宋体" w:hAnsi="宋体" w:eastAsia="宋体" w:cs="宋体"/>
          <w:kern w:val="2"/>
          <w:sz w:val="21"/>
          <w:szCs w:val="22"/>
          <w:highlight w:val="none"/>
          <w:lang w:val="zh-CN" w:eastAsia="zh-CN" w:bidi="ar-SA"/>
        </w:rPr>
        <w:t>（</w:t>
      </w:r>
      <w:r>
        <w:rPr>
          <w:rFonts w:hint="eastAsia" w:ascii="宋体" w:hAnsi="宋体" w:eastAsia="宋体" w:cs="宋体"/>
          <w:kern w:val="2"/>
          <w:sz w:val="21"/>
          <w:szCs w:val="22"/>
          <w:highlight w:val="none"/>
          <w:lang w:val="en-US" w:eastAsia="zh-CN" w:bidi="ar-SA"/>
        </w:rPr>
        <w:t>2</w:t>
      </w:r>
      <w:r>
        <w:rPr>
          <w:rFonts w:hint="eastAsia" w:ascii="宋体" w:hAnsi="宋体" w:eastAsia="宋体" w:cs="宋体"/>
          <w:kern w:val="2"/>
          <w:sz w:val="21"/>
          <w:szCs w:val="22"/>
          <w:highlight w:val="none"/>
          <w:lang w:val="zh-CN" w:eastAsia="zh-CN" w:bidi="ar-SA"/>
        </w:rPr>
        <w:t>）</w:t>
      </w:r>
      <w:r>
        <w:rPr>
          <w:rFonts w:hint="eastAsia" w:ascii="宋体" w:hAnsi="宋体" w:eastAsia="宋体" w:cs="宋体"/>
          <w:color w:val="auto"/>
          <w:szCs w:val="21"/>
          <w:highlight w:val="none"/>
          <w:lang w:val="zh-CN"/>
        </w:rPr>
        <w:t>投标文件</w:t>
      </w:r>
      <w:r>
        <w:rPr>
          <w:rFonts w:hint="eastAsia" w:ascii="宋体" w:hAnsi="宋体" w:eastAsia="宋体" w:cs="宋体"/>
          <w:szCs w:val="21"/>
          <w:highlight w:val="none"/>
          <w:lang w:val="zh-CN"/>
        </w:rPr>
        <w:t>报价信封</w:t>
      </w:r>
      <w:r>
        <w:rPr>
          <w:rFonts w:hint="eastAsia" w:ascii="宋体" w:hAnsi="宋体" w:eastAsia="宋体" w:cs="宋体"/>
          <w:color w:val="auto"/>
          <w:szCs w:val="21"/>
          <w:highlight w:val="none"/>
          <w:lang w:val="zh-CN"/>
        </w:rPr>
        <w:t>应按其格式要求使用依法设立的电子认证服务提供者签发的电子签名认证证书对电子投标文件进行电子签名。该电子签名与手写签名或者盖章具有同等的法律效力。</w:t>
      </w:r>
    </w:p>
    <w:p w14:paraId="2CB44038">
      <w:pPr>
        <w:tabs>
          <w:tab w:val="left" w:pos="567"/>
        </w:tabs>
        <w:autoSpaceDE w:val="0"/>
        <w:autoSpaceDN w:val="0"/>
        <w:adjustRightInd w:val="0"/>
        <w:spacing w:line="360" w:lineRule="auto"/>
        <w:ind w:left="357" w:leftChars="-100" w:hanging="567"/>
        <w:rPr>
          <w:rFonts w:hint="eastAsia" w:ascii="宋体" w:hAnsi="宋体" w:eastAsia="宋体" w:cs="宋体"/>
          <w:szCs w:val="21"/>
          <w:highlight w:val="none"/>
        </w:rPr>
      </w:pPr>
      <w:r>
        <w:rPr>
          <w:rFonts w:hint="eastAsia" w:ascii="宋体" w:hAnsi="宋体" w:eastAsia="宋体" w:cs="宋体"/>
          <w:szCs w:val="21"/>
          <w:highlight w:val="none"/>
        </w:rPr>
        <w:t>17.6.4对于电子</w:t>
      </w:r>
      <w:r>
        <w:rPr>
          <w:rFonts w:hint="eastAsia" w:ascii="宋体" w:hAnsi="宋体" w:eastAsia="宋体" w:cs="宋体"/>
          <w:szCs w:val="21"/>
          <w:highlight w:val="none"/>
          <w:lang w:val="en-US" w:eastAsia="zh-CN"/>
        </w:rPr>
        <w:t>投标文件</w:t>
      </w:r>
      <w:r>
        <w:rPr>
          <w:rFonts w:hint="eastAsia" w:ascii="宋体" w:hAnsi="宋体" w:eastAsia="宋体" w:cs="宋体"/>
          <w:szCs w:val="21"/>
          <w:highlight w:val="none"/>
        </w:rPr>
        <w:t>中的“法定代表人委代理人”节点，如</w:t>
      </w:r>
      <w:r>
        <w:rPr>
          <w:rFonts w:hint="eastAsia" w:ascii="宋体" w:hAnsi="宋体" w:eastAsia="宋体" w:cs="宋体"/>
          <w:szCs w:val="21"/>
          <w:highlight w:val="none"/>
          <w:lang w:eastAsia="zh-CN"/>
        </w:rPr>
        <w:t>投标人</w:t>
      </w:r>
      <w:r>
        <w:rPr>
          <w:rFonts w:hint="eastAsia" w:ascii="宋体" w:hAnsi="宋体" w:eastAsia="宋体" w:cs="宋体"/>
          <w:szCs w:val="21"/>
          <w:highlight w:val="none"/>
        </w:rPr>
        <w:t>的法定代表人授权被授权人</w:t>
      </w:r>
      <w:r>
        <w:rPr>
          <w:rFonts w:hint="eastAsia" w:ascii="宋体" w:hAnsi="宋体" w:eastAsia="宋体" w:cs="宋体"/>
          <w:szCs w:val="21"/>
          <w:highlight w:val="none"/>
          <w:lang w:val="en-US" w:eastAsia="zh-CN"/>
        </w:rPr>
        <w:t>投标</w:t>
      </w:r>
      <w:r>
        <w:rPr>
          <w:rFonts w:hint="eastAsia" w:ascii="宋体" w:hAnsi="宋体" w:eastAsia="宋体" w:cs="宋体"/>
          <w:szCs w:val="21"/>
          <w:highlight w:val="none"/>
        </w:rPr>
        <w:t>的，则应按“法定代表人委代理人”节点格式要求进行填报</w:t>
      </w:r>
      <w:r>
        <w:rPr>
          <w:rFonts w:hint="eastAsia" w:ascii="宋体" w:hAnsi="宋体" w:eastAsia="宋体" w:cs="宋体"/>
          <w:szCs w:val="21"/>
          <w:highlight w:val="none"/>
          <w:lang w:val="en-US" w:eastAsia="zh-CN"/>
        </w:rPr>
        <w:t>及电子签名</w:t>
      </w:r>
      <w:r>
        <w:rPr>
          <w:rFonts w:hint="eastAsia" w:ascii="宋体" w:hAnsi="宋体" w:eastAsia="宋体" w:cs="宋体"/>
          <w:szCs w:val="21"/>
          <w:highlight w:val="none"/>
        </w:rPr>
        <w:t>；如</w:t>
      </w:r>
      <w:r>
        <w:rPr>
          <w:rFonts w:hint="eastAsia" w:ascii="宋体" w:hAnsi="宋体" w:eastAsia="宋体" w:cs="宋体"/>
          <w:szCs w:val="21"/>
          <w:highlight w:val="none"/>
          <w:lang w:eastAsia="zh-CN"/>
        </w:rPr>
        <w:t>投标人</w:t>
      </w:r>
      <w:r>
        <w:rPr>
          <w:rFonts w:hint="eastAsia" w:ascii="宋体" w:hAnsi="宋体" w:eastAsia="宋体" w:cs="宋体"/>
          <w:szCs w:val="21"/>
          <w:highlight w:val="none"/>
        </w:rPr>
        <w:t>的法定代表人</w:t>
      </w:r>
      <w:r>
        <w:rPr>
          <w:rFonts w:hint="eastAsia" w:ascii="宋体" w:hAnsi="宋体" w:eastAsia="宋体" w:cs="宋体"/>
          <w:szCs w:val="21"/>
          <w:highlight w:val="none"/>
          <w:lang w:val="en-US" w:eastAsia="zh-CN"/>
        </w:rPr>
        <w:t>投标</w:t>
      </w:r>
      <w:r>
        <w:rPr>
          <w:rFonts w:hint="eastAsia" w:ascii="宋体" w:hAnsi="宋体" w:eastAsia="宋体" w:cs="宋体"/>
          <w:szCs w:val="21"/>
          <w:highlight w:val="none"/>
        </w:rPr>
        <w:t>的，则无需填写“法定代表人委代理人”节点。</w:t>
      </w:r>
    </w:p>
    <w:p w14:paraId="5911DB22">
      <w:pPr>
        <w:autoSpaceDE w:val="0"/>
        <w:autoSpaceDN w:val="0"/>
        <w:adjustRightInd w:val="0"/>
        <w:jc w:val="left"/>
        <w:rPr>
          <w:rFonts w:ascii="宋体" w:hAnsi="宋体" w:eastAsia="宋体" w:cs="宋体"/>
          <w:color w:val="auto"/>
          <w:kern w:val="0"/>
          <w:sz w:val="24"/>
          <w:szCs w:val="24"/>
          <w:highlight w:val="none"/>
        </w:rPr>
      </w:pPr>
      <w:bookmarkStart w:id="273" w:name="_Toc450662867"/>
    </w:p>
    <w:p w14:paraId="73F23EEC">
      <w:pPr>
        <w:keepNext/>
        <w:keepLines/>
        <w:tabs>
          <w:tab w:val="left" w:pos="509"/>
        </w:tabs>
        <w:autoSpaceDE w:val="0"/>
        <w:autoSpaceDN w:val="0"/>
        <w:adjustRightInd w:val="0"/>
        <w:spacing w:line="360" w:lineRule="auto"/>
        <w:jc w:val="left"/>
        <w:outlineLvl w:val="0"/>
        <w:rPr>
          <w:rFonts w:ascii="宋体" w:hAnsi="宋体" w:eastAsia="宋体" w:cs="宋体"/>
          <w:color w:val="auto"/>
          <w:kern w:val="0"/>
          <w:sz w:val="24"/>
          <w:szCs w:val="24"/>
          <w:highlight w:val="none"/>
        </w:rPr>
      </w:pPr>
      <w:bookmarkStart w:id="274" w:name="_Toc22356_WPSOffice_Level2"/>
      <w:bookmarkStart w:id="275" w:name="_Toc142508332"/>
      <w:bookmarkStart w:id="276" w:name="_Toc17199"/>
      <w:bookmarkStart w:id="277" w:name="_Toc974"/>
      <w:bookmarkStart w:id="278" w:name="_Toc26605"/>
      <w:bookmarkStart w:id="279" w:name="_Toc195714236"/>
      <w:bookmarkStart w:id="280" w:name="_Toc486167682"/>
      <w:bookmarkStart w:id="281" w:name="_Toc140596891"/>
      <w:bookmarkStart w:id="282" w:name="_Toc143"/>
      <w:bookmarkStart w:id="283" w:name="_Toc12265"/>
      <w:bookmarkStart w:id="284" w:name="_Toc27607"/>
      <w:bookmarkStart w:id="285" w:name="_Toc27779"/>
      <w:r>
        <w:rPr>
          <w:rFonts w:hint="eastAsia" w:ascii="宋体" w:hAnsi="宋体" w:eastAsia="宋体" w:cs="宋体"/>
          <w:b/>
          <w:bCs/>
          <w:color w:val="auto"/>
          <w:kern w:val="44"/>
          <w:szCs w:val="21"/>
          <w:highlight w:val="none"/>
          <w:lang w:val="zh-CN"/>
        </w:rPr>
        <w:t>四、</w:t>
      </w:r>
      <w:bookmarkEnd w:id="273"/>
      <w:bookmarkEnd w:id="274"/>
      <w:bookmarkEnd w:id="275"/>
      <w:bookmarkEnd w:id="276"/>
      <w:bookmarkEnd w:id="277"/>
      <w:bookmarkEnd w:id="278"/>
      <w:bookmarkEnd w:id="279"/>
      <w:bookmarkEnd w:id="280"/>
      <w:bookmarkEnd w:id="281"/>
      <w:r>
        <w:rPr>
          <w:rFonts w:hint="eastAsia" w:ascii="宋体" w:hAnsi="宋体" w:eastAsia="宋体" w:cs="宋体"/>
          <w:b/>
          <w:bCs/>
          <w:color w:val="auto"/>
          <w:kern w:val="44"/>
          <w:szCs w:val="21"/>
          <w:highlight w:val="none"/>
          <w:lang w:val="zh-CN"/>
        </w:rPr>
        <w:t>投标</w:t>
      </w:r>
      <w:bookmarkEnd w:id="282"/>
      <w:bookmarkEnd w:id="283"/>
      <w:bookmarkEnd w:id="284"/>
      <w:bookmarkEnd w:id="285"/>
    </w:p>
    <w:p w14:paraId="4A71604D">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86" w:name="_Toc29885"/>
      <w:bookmarkStart w:id="287" w:name="_Toc450662868"/>
      <w:bookmarkStart w:id="288" w:name="_Toc31551"/>
      <w:bookmarkStart w:id="289" w:name="_Toc486167683"/>
      <w:bookmarkStart w:id="290" w:name="_Toc12192_WPSOffice_Level3"/>
      <w:bookmarkStart w:id="291" w:name="_Toc1072"/>
      <w:bookmarkStart w:id="292" w:name="_Toc195714237"/>
      <w:bookmarkStart w:id="293" w:name="_Toc142508333"/>
      <w:bookmarkStart w:id="294" w:name="_Toc21997"/>
      <w:bookmarkStart w:id="295" w:name="_Toc4420"/>
      <w:bookmarkStart w:id="296" w:name="_Toc8305"/>
      <w:bookmarkStart w:id="297" w:name="_Toc6098"/>
      <w:r>
        <w:rPr>
          <w:rFonts w:hint="eastAsia" w:ascii="宋体" w:hAnsi="宋体" w:eastAsia="宋体" w:cs="宋体"/>
          <w:color w:val="auto"/>
          <w:szCs w:val="21"/>
          <w:highlight w:val="none"/>
          <w:lang w:val="zh-CN"/>
        </w:rPr>
        <w:t>18</w:t>
      </w:r>
      <w:r>
        <w:rPr>
          <w:rFonts w:ascii="宋体" w:hAnsi="宋体" w:eastAsia="宋体" w:cs="宋体"/>
          <w:color w:val="auto"/>
          <w:szCs w:val="21"/>
          <w:highlight w:val="none"/>
          <w:lang w:val="zh-CN"/>
        </w:rPr>
        <w:t xml:space="preserve"> </w:t>
      </w:r>
      <w:bookmarkEnd w:id="286"/>
      <w:bookmarkEnd w:id="287"/>
      <w:bookmarkEnd w:id="288"/>
      <w:bookmarkEnd w:id="289"/>
      <w:bookmarkEnd w:id="290"/>
      <w:bookmarkEnd w:id="291"/>
      <w:bookmarkEnd w:id="292"/>
      <w:bookmarkEnd w:id="293"/>
      <w:r>
        <w:rPr>
          <w:rFonts w:hint="eastAsia" w:ascii="宋体" w:hAnsi="宋体" w:eastAsia="宋体" w:cs="宋体"/>
          <w:color w:val="auto"/>
          <w:szCs w:val="21"/>
          <w:highlight w:val="none"/>
          <w:lang w:val="zh-CN"/>
        </w:rPr>
        <w:t>投标文件的加密</w:t>
      </w:r>
      <w:bookmarkEnd w:id="294"/>
      <w:bookmarkEnd w:id="295"/>
      <w:bookmarkEnd w:id="296"/>
      <w:bookmarkEnd w:id="297"/>
    </w:p>
    <w:p w14:paraId="04AF696B">
      <w:pPr>
        <w:tabs>
          <w:tab w:val="left" w:pos="567"/>
        </w:tabs>
        <w:adjustRightInd w:val="0"/>
        <w:spacing w:line="360" w:lineRule="auto"/>
        <w:ind w:firstLine="144" w:firstLineChars="69"/>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投标人应使用依法设立的电子认证服务提供者签发的电子签章认证证书对电子投标文件进行电子签章并加密。</w:t>
      </w:r>
    </w:p>
    <w:p w14:paraId="0FBDD7A0">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rPr>
      </w:pPr>
    </w:p>
    <w:p w14:paraId="02F4F6A6">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98" w:name="_Toc30931"/>
      <w:bookmarkStart w:id="299" w:name="_Toc25665"/>
      <w:bookmarkStart w:id="300" w:name="_Toc195714238"/>
      <w:bookmarkStart w:id="301" w:name="_Toc20998"/>
      <w:bookmarkStart w:id="302" w:name="_Toc14455"/>
      <w:bookmarkStart w:id="303" w:name="_Toc1869"/>
      <w:r>
        <w:rPr>
          <w:rFonts w:hint="eastAsia" w:ascii="宋体" w:hAnsi="宋体" w:eastAsia="宋体" w:cs="宋体"/>
          <w:color w:val="auto"/>
          <w:szCs w:val="21"/>
          <w:highlight w:val="none"/>
        </w:rPr>
        <w:t xml:space="preserve">19 </w:t>
      </w:r>
      <w:r>
        <w:rPr>
          <w:rFonts w:hint="eastAsia" w:ascii="宋体" w:hAnsi="宋体" w:eastAsia="宋体" w:cs="宋体"/>
          <w:color w:val="auto"/>
          <w:szCs w:val="21"/>
          <w:highlight w:val="none"/>
          <w:lang w:val="zh-CN"/>
        </w:rPr>
        <w:t>投标文件的提交</w:t>
      </w:r>
      <w:bookmarkEnd w:id="298"/>
      <w:bookmarkEnd w:id="299"/>
      <w:bookmarkEnd w:id="300"/>
      <w:bookmarkEnd w:id="301"/>
      <w:bookmarkEnd w:id="302"/>
      <w:bookmarkEnd w:id="303"/>
    </w:p>
    <w:p w14:paraId="3709DFDA">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投标人应在本</w:t>
      </w:r>
      <w:r>
        <w:rPr>
          <w:rFonts w:hint="eastAsia" w:ascii="宋体" w:hAnsi="宋体" w:eastAsia="宋体" w:cs="宋体"/>
          <w:color w:val="auto"/>
          <w:szCs w:val="21"/>
          <w:highlight w:val="none"/>
          <w:lang w:val="en-US" w:eastAsia="zh-CN"/>
        </w:rPr>
        <w:t>招标</w:t>
      </w:r>
      <w:r>
        <w:rPr>
          <w:rFonts w:hint="eastAsia" w:ascii="宋体" w:hAnsi="宋体" w:eastAsia="宋体" w:cs="宋体"/>
          <w:color w:val="auto"/>
          <w:szCs w:val="21"/>
          <w:highlight w:val="none"/>
          <w:lang w:val="zh-CN"/>
        </w:rPr>
        <w:t>公告规定的投标截止时间前通过交易系统在线上传投标文件。上述方式外提交的投标文件，招标人将不予受理。</w:t>
      </w:r>
    </w:p>
    <w:p w14:paraId="177B25D2">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在通过交易系统在线上传投标文件时，需设置投标文件查询密码（用于查询投标文件递交情况、撤销投标文件及签到时匹配对应的招标文件）。上传成功后，投标人应打印“电子标书网站上传回执”作为成功上传的凭证。</w:t>
      </w:r>
    </w:p>
    <w:p w14:paraId="39269106">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投标文件成功上传后，交易系统将生成投标文件识别码。本识别码是投标人提交投标文件的唯一凭证，投标人须妥善保管。识别码丢失后，投标人将无法找回投标文件，需重新上传提交。</w:t>
      </w:r>
    </w:p>
    <w:p w14:paraId="12AE701F">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.4</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投标会议</w:t>
      </w:r>
      <w:r>
        <w:rPr>
          <w:rFonts w:hint="eastAsia" w:ascii="宋体" w:hAnsi="宋体" w:eastAsia="宋体" w:cs="宋体"/>
          <w:color w:val="auto"/>
          <w:szCs w:val="21"/>
          <w:highlight w:val="none"/>
          <w:lang w:val="en-US" w:eastAsia="zh-CN"/>
        </w:rPr>
        <w:t>时间及</w:t>
      </w:r>
      <w:r>
        <w:rPr>
          <w:rFonts w:hint="eastAsia" w:ascii="宋体" w:hAnsi="宋体" w:eastAsia="宋体" w:cs="宋体"/>
          <w:color w:val="auto"/>
          <w:szCs w:val="21"/>
          <w:highlight w:val="none"/>
          <w:lang w:val="zh-CN"/>
        </w:rPr>
        <w:t>地点：见招标公告。</w:t>
      </w:r>
    </w:p>
    <w:p w14:paraId="25D04EB4">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w:t>
      </w:r>
      <w:r>
        <w:rPr>
          <w:rFonts w:hint="default" w:ascii="宋体" w:hAnsi="宋体" w:eastAsia="宋体" w:cs="宋体"/>
          <w:color w:val="auto"/>
          <w:szCs w:val="21"/>
          <w:highlight w:val="none"/>
          <w:lang w:val="en-US"/>
        </w:rPr>
        <w:t>5</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逾期送达的或者未按指定方式提交的投标文件，招标人不予受理。</w:t>
      </w:r>
    </w:p>
    <w:p w14:paraId="0818CEC6">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rPr>
      </w:pPr>
    </w:p>
    <w:p w14:paraId="0533B8C3">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04" w:name="_Toc1999"/>
      <w:bookmarkStart w:id="305" w:name="_Toc19676"/>
      <w:bookmarkStart w:id="306" w:name="_Toc29520"/>
      <w:bookmarkStart w:id="307" w:name="_Toc21608"/>
      <w:bookmarkStart w:id="308" w:name="_Toc195714239"/>
      <w:bookmarkStart w:id="309" w:name="_Toc9774"/>
      <w:r>
        <w:rPr>
          <w:rFonts w:hint="eastAsia" w:ascii="宋体" w:hAnsi="宋体" w:eastAsia="宋体" w:cs="宋体"/>
          <w:color w:val="auto"/>
          <w:szCs w:val="21"/>
          <w:highlight w:val="none"/>
        </w:rPr>
        <w:t xml:space="preserve">20 </w:t>
      </w:r>
      <w:r>
        <w:rPr>
          <w:rFonts w:hint="eastAsia" w:ascii="宋体" w:hAnsi="宋体" w:eastAsia="宋体" w:cs="宋体"/>
          <w:color w:val="auto"/>
          <w:szCs w:val="21"/>
          <w:highlight w:val="none"/>
          <w:lang w:val="zh-CN"/>
        </w:rPr>
        <w:t>投标会时间、地点及投标文件提交的截止时间</w:t>
      </w:r>
      <w:bookmarkEnd w:id="304"/>
      <w:bookmarkEnd w:id="305"/>
      <w:bookmarkEnd w:id="306"/>
      <w:bookmarkEnd w:id="307"/>
      <w:bookmarkEnd w:id="308"/>
      <w:bookmarkEnd w:id="309"/>
    </w:p>
    <w:p w14:paraId="73A68D11">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20</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投标人应按招标公告的时间、地点，或根据本投标人须知第</w:t>
      </w:r>
      <w:r>
        <w:rPr>
          <w:rFonts w:hint="eastAsia" w:ascii="宋体" w:hAnsi="宋体" w:eastAsia="宋体" w:cs="宋体"/>
          <w:color w:val="auto"/>
          <w:szCs w:val="21"/>
          <w:highlight w:val="none"/>
        </w:rPr>
        <w:t>7.2</w:t>
      </w:r>
      <w:r>
        <w:rPr>
          <w:rFonts w:hint="eastAsia" w:ascii="宋体" w:hAnsi="宋体" w:eastAsia="宋体" w:cs="宋体"/>
          <w:color w:val="auto"/>
          <w:szCs w:val="21"/>
          <w:highlight w:val="none"/>
          <w:lang w:val="zh-CN"/>
        </w:rPr>
        <w:t xml:space="preserve">款规定所延长的日期和时间之前通过交易系统在线上传投标文件。 </w:t>
      </w:r>
    </w:p>
    <w:p w14:paraId="775447AD">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20</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招标人有权按本投标人须知第</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条的规定发出补充通知书，延长投标文件递交的截止时间。这时，原截止时间前，招标人与投标人的权利和义务相应延长至新的投标截止时间。</w:t>
      </w:r>
    </w:p>
    <w:p w14:paraId="4973E86F">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p>
    <w:p w14:paraId="523F15E2">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10" w:name="_Toc2056"/>
      <w:bookmarkStart w:id="311" w:name="_Toc15468"/>
      <w:bookmarkStart w:id="312" w:name="_Toc28635"/>
      <w:bookmarkStart w:id="313" w:name="_Toc195714240"/>
      <w:bookmarkStart w:id="314" w:name="_Toc28334"/>
      <w:bookmarkStart w:id="315" w:name="_Toc4543"/>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1 </w:t>
      </w:r>
      <w:r>
        <w:rPr>
          <w:rFonts w:hint="eastAsia" w:ascii="宋体" w:hAnsi="宋体" w:eastAsia="宋体" w:cs="宋体"/>
          <w:color w:val="auto"/>
          <w:szCs w:val="21"/>
          <w:highlight w:val="none"/>
          <w:lang w:val="zh-CN"/>
        </w:rPr>
        <w:t>投标文件的拒绝</w:t>
      </w:r>
      <w:bookmarkEnd w:id="310"/>
      <w:bookmarkEnd w:id="311"/>
      <w:bookmarkEnd w:id="312"/>
      <w:bookmarkEnd w:id="313"/>
      <w:bookmarkEnd w:id="314"/>
      <w:bookmarkEnd w:id="315"/>
    </w:p>
    <w:p w14:paraId="0983F831">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投标会上，出现下列情形之一的投标文件，将被招标人拒绝：</w:t>
      </w:r>
    </w:p>
    <w:p w14:paraId="37C598A6">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.1.1招标人在本投标人须知第</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.4款规定的投标截止时间以后或指定方式以外收到的投标文件。</w:t>
      </w:r>
    </w:p>
    <w:p w14:paraId="66545BC0">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.1.2投标人未按本投标人须知第</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.4款规定提交的投标文件。</w:t>
      </w:r>
    </w:p>
    <w:p w14:paraId="1C97A85A">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p>
    <w:p w14:paraId="7AA93048">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16" w:name="_Toc12818"/>
      <w:bookmarkStart w:id="317" w:name="_Toc13684"/>
      <w:bookmarkStart w:id="318" w:name="_Toc195714241"/>
      <w:bookmarkStart w:id="319" w:name="_Toc8877"/>
      <w:bookmarkStart w:id="320" w:name="_Toc15801"/>
      <w:bookmarkStart w:id="321" w:name="_Toc26167"/>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2 </w:t>
      </w:r>
      <w:r>
        <w:rPr>
          <w:rFonts w:hint="eastAsia" w:ascii="宋体" w:hAnsi="宋体" w:eastAsia="宋体" w:cs="宋体"/>
          <w:color w:val="auto"/>
          <w:szCs w:val="21"/>
          <w:highlight w:val="none"/>
          <w:lang w:val="zh-CN"/>
        </w:rPr>
        <w:t>投标文件的补充、修改与撤回</w:t>
      </w:r>
      <w:bookmarkEnd w:id="316"/>
      <w:bookmarkEnd w:id="317"/>
      <w:bookmarkEnd w:id="318"/>
      <w:bookmarkEnd w:id="319"/>
      <w:bookmarkEnd w:id="320"/>
      <w:bookmarkEnd w:id="321"/>
    </w:p>
    <w:p w14:paraId="613C2CF5">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在本投标人须知第</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.1款规定的投标截止时间前，投标人可以修改或撤回已递交的投标文件。在投标截止时间之后，投标人不得补充、修改投标文件。</w:t>
      </w:r>
    </w:p>
    <w:p w14:paraId="27A23B32">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投标人应使用企业数字证书、投标文件识别码及投标文件查询密码通过网络撤回已递交投标文件。</w:t>
      </w:r>
    </w:p>
    <w:p w14:paraId="1E35FA4C">
      <w:pPr>
        <w:autoSpaceDE w:val="0"/>
        <w:autoSpaceDN w:val="0"/>
        <w:adjustRightInd w:val="0"/>
        <w:spacing w:line="360" w:lineRule="auto"/>
        <w:ind w:left="355" w:leftChars="-101" w:right="15" w:rightChars="7" w:hanging="567" w:hangingChars="27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在投标截止时间至投标有效期满之前，投标人不得撤销其投标文件。投标截止后投标人撤销投标文件的，招标人没收其投标保证金（逾期未解密投标文件的除外）。</w:t>
      </w:r>
    </w:p>
    <w:p w14:paraId="0F2BD75C">
      <w:pPr>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p>
    <w:p w14:paraId="68E24080">
      <w:pPr>
        <w:keepNext/>
        <w:keepLines/>
        <w:tabs>
          <w:tab w:val="left" w:pos="509"/>
        </w:tabs>
        <w:autoSpaceDE w:val="0"/>
        <w:autoSpaceDN w:val="0"/>
        <w:adjustRightInd w:val="0"/>
        <w:spacing w:line="360" w:lineRule="auto"/>
        <w:jc w:val="left"/>
        <w:outlineLvl w:val="0"/>
        <w:rPr>
          <w:rFonts w:hint="default" w:ascii="宋体" w:hAnsi="宋体" w:eastAsia="宋体" w:cs="宋体"/>
          <w:b/>
          <w:bCs/>
          <w:color w:val="auto"/>
          <w:kern w:val="44"/>
          <w:szCs w:val="21"/>
          <w:highlight w:val="none"/>
          <w:lang w:val="en-US"/>
        </w:rPr>
      </w:pPr>
      <w:bookmarkStart w:id="322" w:name="_Toc140596896"/>
      <w:bookmarkStart w:id="323" w:name="_Toc28824"/>
      <w:bookmarkStart w:id="324" w:name="_Toc195714242"/>
      <w:bookmarkStart w:id="325" w:name="_Toc30428"/>
      <w:bookmarkStart w:id="326" w:name="_Toc142508337"/>
      <w:bookmarkStart w:id="327" w:name="_Toc486167687"/>
      <w:bookmarkStart w:id="328" w:name="_Toc1049_WPSOffice_Level2"/>
      <w:bookmarkStart w:id="329" w:name="_Toc450662872"/>
      <w:bookmarkStart w:id="330" w:name="_Toc5078"/>
      <w:bookmarkStart w:id="331" w:name="_Toc1962"/>
      <w:bookmarkStart w:id="332" w:name="_Toc3729"/>
      <w:bookmarkStart w:id="333" w:name="_Toc4920"/>
      <w:bookmarkStart w:id="334" w:name="_Toc3545"/>
      <w:r>
        <w:rPr>
          <w:rFonts w:hint="eastAsia" w:ascii="宋体" w:hAnsi="宋体" w:eastAsia="宋体" w:cs="宋体"/>
          <w:b/>
          <w:bCs/>
          <w:color w:val="auto"/>
          <w:kern w:val="44"/>
          <w:szCs w:val="21"/>
          <w:highlight w:val="none"/>
          <w:lang w:val="zh-CN"/>
        </w:rPr>
        <w:t>五、</w:t>
      </w:r>
      <w:bookmarkEnd w:id="322"/>
      <w:bookmarkEnd w:id="323"/>
      <w:bookmarkEnd w:id="324"/>
      <w:bookmarkEnd w:id="325"/>
      <w:bookmarkEnd w:id="326"/>
      <w:bookmarkEnd w:id="327"/>
      <w:bookmarkEnd w:id="328"/>
      <w:bookmarkEnd w:id="329"/>
      <w:bookmarkEnd w:id="330"/>
      <w:r>
        <w:rPr>
          <w:rFonts w:hint="eastAsia" w:ascii="宋体" w:hAnsi="宋体" w:eastAsia="宋体" w:cs="宋体"/>
          <w:b/>
          <w:bCs/>
          <w:color w:val="auto"/>
          <w:kern w:val="44"/>
          <w:szCs w:val="21"/>
          <w:highlight w:val="none"/>
          <w:lang w:val="zh-CN"/>
        </w:rPr>
        <w:t>开标与评标</w:t>
      </w:r>
      <w:bookmarkEnd w:id="331"/>
      <w:bookmarkEnd w:id="332"/>
      <w:bookmarkEnd w:id="333"/>
      <w:bookmarkEnd w:id="334"/>
    </w:p>
    <w:p w14:paraId="4BAD5EE6">
      <w:pPr>
        <w:tabs>
          <w:tab w:val="left" w:pos="567"/>
        </w:tabs>
        <w:autoSpaceDE w:val="0"/>
        <w:autoSpaceDN w:val="0"/>
        <w:adjustRightInd w:val="0"/>
        <w:spacing w:line="360" w:lineRule="auto"/>
        <w:ind w:left="357" w:leftChars="-100" w:right="15" w:rightChars="7" w:hanging="567"/>
        <w:outlineLvl w:val="2"/>
        <w:rPr>
          <w:rFonts w:hint="default" w:ascii="宋体" w:hAnsi="宋体" w:eastAsia="宋体" w:cs="宋体"/>
          <w:color w:val="auto"/>
          <w:szCs w:val="21"/>
          <w:highlight w:val="none"/>
          <w:lang w:val="en-US" w:eastAsia="zh-CN"/>
        </w:rPr>
      </w:pPr>
      <w:bookmarkStart w:id="335" w:name="_Toc3237"/>
      <w:bookmarkStart w:id="336" w:name="_Toc195714243"/>
      <w:bookmarkStart w:id="337" w:name="_Toc14069"/>
      <w:bookmarkStart w:id="338" w:name="_Toc4777"/>
      <w:bookmarkStart w:id="339" w:name="_Toc25117"/>
      <w:bookmarkStart w:id="340" w:name="_Toc30042"/>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3 </w:t>
      </w:r>
      <w:bookmarkEnd w:id="335"/>
      <w:bookmarkEnd w:id="336"/>
      <w:r>
        <w:rPr>
          <w:rFonts w:hint="eastAsia" w:ascii="宋体" w:hAnsi="宋体" w:eastAsia="宋体" w:cs="宋体"/>
          <w:color w:val="auto"/>
          <w:szCs w:val="21"/>
          <w:highlight w:val="none"/>
          <w:lang w:val="zh-CN"/>
        </w:rPr>
        <w:t>开标</w:t>
      </w:r>
      <w:bookmarkEnd w:id="337"/>
      <w:bookmarkEnd w:id="338"/>
      <w:bookmarkEnd w:id="339"/>
      <w:bookmarkEnd w:id="340"/>
    </w:p>
    <w:p w14:paraId="539EBCFA">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招标人在19.1款规定的投标截止时间（开标时间）和19.4款规定的地点召开投标会并公开开标，投标人可在规定的时间和地点参加投标会或通过登录交易系统在线查看开标过程相关信息。</w:t>
      </w:r>
    </w:p>
    <w:p w14:paraId="093B4B80">
      <w:pPr>
        <w:tabs>
          <w:tab w:val="left" w:pos="567"/>
        </w:tabs>
        <w:autoSpaceDE w:val="0"/>
        <w:autoSpaceDN w:val="0"/>
        <w:adjustRightInd w:val="0"/>
        <w:spacing w:line="360" w:lineRule="auto"/>
        <w:ind w:left="357" w:leftChars="-100" w:right="15" w:rightChars="7" w:hanging="567"/>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 xml:space="preserve">23.2 </w:t>
      </w:r>
      <w:r>
        <w:rPr>
          <w:rFonts w:hint="eastAsia" w:ascii="宋体" w:hAnsi="宋体" w:eastAsia="宋体" w:cs="宋体"/>
          <w:b/>
          <w:bCs/>
          <w:color w:val="auto"/>
          <w:szCs w:val="21"/>
          <w:highlight w:val="none"/>
          <w:lang w:val="en-US" w:eastAsia="zh-CN"/>
        </w:rPr>
        <w:t>投标人网上签到时间为开标当天上午6时至投标截止时间</w:t>
      </w:r>
      <w:r>
        <w:rPr>
          <w:rFonts w:hint="eastAsia" w:ascii="宋体" w:hAnsi="宋体" w:eastAsia="宋体" w:cs="宋体"/>
          <w:color w:val="auto"/>
          <w:szCs w:val="21"/>
          <w:highlight w:val="none"/>
          <w:lang w:val="en-US" w:eastAsia="zh-CN"/>
        </w:rPr>
        <w:t>，使用企业数字证书（机构证书或业务证书）登录交易系统在线完成投标保证金关联及电子投标文件关联等的网上签到手续。招标人在投标会现场不受理投标人签到事项，因投标人原因造成投标人签到失败、关联相关投标信息错误及不完整的，视为其投标文件无效，招标人将否决其投标。</w:t>
      </w:r>
    </w:p>
    <w:p w14:paraId="3465A416">
      <w:pPr>
        <w:tabs>
          <w:tab w:val="left" w:pos="567"/>
        </w:tabs>
        <w:autoSpaceDE w:val="0"/>
        <w:autoSpaceDN w:val="0"/>
        <w:adjustRightInd w:val="0"/>
        <w:spacing w:line="360" w:lineRule="auto"/>
        <w:ind w:left="357" w:leftChars="-100" w:right="15" w:rightChars="7" w:hanging="567"/>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23.3 投标人网上签到需要由法定代表人或</w:t>
      </w:r>
      <w:r>
        <w:rPr>
          <w:rFonts w:hint="eastAsia" w:ascii="宋体" w:hAnsi="宋体" w:eastAsia="宋体" w:cs="宋体"/>
          <w:color w:val="auto"/>
          <w:szCs w:val="21"/>
          <w:highlight w:val="none"/>
          <w:lang w:val="zh-CN"/>
        </w:rPr>
        <w:t>其授权代表</w:t>
      </w:r>
      <w:r>
        <w:rPr>
          <w:rFonts w:hint="eastAsia" w:ascii="宋体" w:hAnsi="宋体" w:eastAsia="宋体" w:cs="宋体"/>
          <w:color w:val="auto"/>
          <w:szCs w:val="21"/>
          <w:highlight w:val="none"/>
          <w:lang w:val="en-US" w:eastAsia="zh-CN"/>
        </w:rPr>
        <w:t>进行人脸识别完成签到。（注：投标人在网上签到时须关联的法定代表人</w:t>
      </w:r>
      <w:r>
        <w:rPr>
          <w:rFonts w:hint="eastAsia" w:ascii="宋体" w:hAnsi="宋体" w:eastAsia="宋体" w:cs="宋体"/>
          <w:color w:val="auto"/>
          <w:szCs w:val="21"/>
          <w:highlight w:val="none"/>
          <w:lang w:val="zh-CN"/>
        </w:rPr>
        <w:t>授权代表</w:t>
      </w:r>
      <w:r>
        <w:rPr>
          <w:rFonts w:hint="eastAsia" w:ascii="宋体" w:hAnsi="宋体" w:eastAsia="宋体" w:cs="宋体"/>
          <w:color w:val="auto"/>
          <w:szCs w:val="21"/>
          <w:highlight w:val="none"/>
          <w:lang w:val="en-US" w:eastAsia="zh-CN"/>
        </w:rPr>
        <w:t>为本项目法定代表人授权书列明的被授权人。）</w:t>
      </w:r>
    </w:p>
    <w:p w14:paraId="5AC9D614">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投标文件提交截止时间后，招标人按本投标人须知第2</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.1款规定拒绝不符合要求的投标文件。</w:t>
      </w:r>
    </w:p>
    <w:p w14:paraId="189E3540">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 xml:space="preserve"> </w:t>
      </w:r>
      <w:r>
        <w:rPr>
          <w:rFonts w:hint="eastAsia" w:ascii="宋体" w:hAnsi="宋体" w:eastAsia="宋体" w:cs="宋体"/>
          <w:b/>
          <w:bCs/>
          <w:color w:val="auto"/>
          <w:szCs w:val="21"/>
          <w:highlight w:val="none"/>
          <w:lang w:val="zh-CN"/>
        </w:rPr>
        <w:t>解密投标文件的时间：投标文件提交截止时间后60分钟内</w:t>
      </w:r>
      <w:r>
        <w:rPr>
          <w:rFonts w:hint="eastAsia" w:ascii="宋体" w:hAnsi="宋体" w:eastAsia="宋体" w:cs="宋体"/>
          <w:b w:val="0"/>
          <w:bCs w:val="0"/>
          <w:color w:val="auto"/>
          <w:szCs w:val="21"/>
          <w:highlight w:val="none"/>
          <w:lang w:val="zh-CN"/>
        </w:rPr>
        <w:t>。</w:t>
      </w:r>
      <w:r>
        <w:rPr>
          <w:rFonts w:hint="eastAsia" w:ascii="宋体" w:hAnsi="宋体" w:eastAsia="宋体" w:cs="宋体"/>
          <w:color w:val="auto"/>
          <w:szCs w:val="21"/>
          <w:highlight w:val="none"/>
          <w:lang w:val="zh-CN"/>
        </w:rPr>
        <w:t>若全部投标文件均在解密时间内完成解密，经招标人确认，可以提前进入下一环节。投标会现场不受理投标人的投标文件解密等事项。因投标人原因造成投标文件未解密的，视为撤销其投标文件；因投标人</w:t>
      </w:r>
      <w:r>
        <w:rPr>
          <w:rFonts w:hint="eastAsia" w:ascii="宋体" w:hAnsi="宋体" w:eastAsia="宋体" w:cs="宋体"/>
          <w:color w:val="auto"/>
          <w:szCs w:val="21"/>
          <w:highlight w:val="none"/>
          <w:lang w:val="en-US" w:eastAsia="zh-CN"/>
        </w:rPr>
        <w:t>之外的</w:t>
      </w:r>
      <w:r>
        <w:rPr>
          <w:rFonts w:hint="eastAsia" w:ascii="宋体" w:hAnsi="宋体" w:eastAsia="宋体" w:cs="宋体"/>
          <w:color w:val="auto"/>
          <w:szCs w:val="21"/>
          <w:highlight w:val="none"/>
          <w:lang w:val="zh-CN"/>
        </w:rPr>
        <w:t>原因造成投标文件未解密的，视为撤回其投标文件。投标文件解密需要由法定代表人或其授权代表进行人脸识别完成解密。</w:t>
      </w:r>
      <w:r>
        <w:rPr>
          <w:rFonts w:hint="eastAsia" w:ascii="宋体" w:hAnsi="宋体" w:eastAsia="宋体" w:cs="宋体"/>
          <w:color w:val="auto"/>
          <w:szCs w:val="21"/>
          <w:highlight w:val="none"/>
          <w:lang w:val="en-US" w:eastAsia="zh-CN"/>
        </w:rPr>
        <w:t>（注：投标人在网上签到时须关联的法定代表人</w:t>
      </w:r>
      <w:r>
        <w:rPr>
          <w:rFonts w:hint="eastAsia" w:ascii="宋体" w:hAnsi="宋体" w:eastAsia="宋体" w:cs="宋体"/>
          <w:color w:val="auto"/>
          <w:szCs w:val="21"/>
          <w:highlight w:val="none"/>
          <w:lang w:val="zh-CN"/>
        </w:rPr>
        <w:t>授权代表</w:t>
      </w:r>
      <w:r>
        <w:rPr>
          <w:rFonts w:hint="eastAsia" w:ascii="宋体" w:hAnsi="宋体" w:eastAsia="宋体" w:cs="宋体"/>
          <w:color w:val="auto"/>
          <w:szCs w:val="21"/>
          <w:highlight w:val="none"/>
          <w:lang w:val="en-US" w:eastAsia="zh-CN"/>
        </w:rPr>
        <w:t>为本项目法定代表人授权书列明的被授权人。）</w:t>
      </w:r>
    </w:p>
    <w:p w14:paraId="0BF8D827">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 xml:space="preserve">6 </w:t>
      </w:r>
      <w:r>
        <w:rPr>
          <w:rFonts w:hint="eastAsia" w:ascii="宋体" w:hAnsi="宋体" w:eastAsia="宋体" w:cs="宋体"/>
          <w:color w:val="auto"/>
          <w:szCs w:val="21"/>
          <w:highlight w:val="none"/>
          <w:lang w:val="zh-CN"/>
        </w:rPr>
        <w:t>招标人将所有已解密的电子投标文件，按要求通过开标系统将进入评标环节的投标文件打包并导入</w:t>
      </w:r>
      <w:r>
        <w:rPr>
          <w:rFonts w:hint="eastAsia" w:ascii="宋体" w:hAnsi="宋体" w:eastAsia="宋体" w:cs="宋体"/>
          <w:color w:val="auto"/>
          <w:szCs w:val="21"/>
          <w:highlight w:val="none"/>
          <w:lang w:val="en-US" w:eastAsia="zh-CN"/>
        </w:rPr>
        <w:t>评标</w:t>
      </w:r>
      <w:r>
        <w:rPr>
          <w:rFonts w:hint="eastAsia" w:ascii="宋体" w:hAnsi="宋体" w:eastAsia="宋体" w:cs="宋体"/>
          <w:color w:val="auto"/>
          <w:szCs w:val="21"/>
          <w:highlight w:val="none"/>
          <w:lang w:val="zh-CN"/>
        </w:rPr>
        <w:t>系统。</w:t>
      </w:r>
    </w:p>
    <w:p w14:paraId="58A2EE35">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招标人、</w:t>
      </w:r>
      <w:r>
        <w:rPr>
          <w:rFonts w:hint="eastAsia" w:ascii="宋体" w:hAnsi="宋体" w:eastAsia="宋体" w:cs="宋体"/>
          <w:color w:val="auto"/>
          <w:szCs w:val="21"/>
          <w:highlight w:val="none"/>
          <w:lang w:val="en-US" w:eastAsia="zh-CN"/>
        </w:rPr>
        <w:t>招标</w:t>
      </w:r>
      <w:r>
        <w:rPr>
          <w:rFonts w:hint="eastAsia" w:ascii="宋体" w:hAnsi="宋体" w:eastAsia="宋体" w:cs="宋体"/>
          <w:color w:val="auto"/>
          <w:szCs w:val="21"/>
          <w:highlight w:val="none"/>
          <w:lang w:val="zh-CN"/>
        </w:rPr>
        <w:t>代理工作人员、监督部门（如有）等有关人员在开标记录上签字确认，</w:t>
      </w:r>
      <w:r>
        <w:rPr>
          <w:rFonts w:hint="eastAsia" w:ascii="宋体" w:hAnsi="宋体" w:eastAsia="宋体" w:cs="宋体"/>
          <w:color w:val="auto"/>
          <w:szCs w:val="21"/>
          <w:highlight w:val="none"/>
          <w:lang w:val="en-US" w:eastAsia="zh-CN"/>
        </w:rPr>
        <w:t>投标会</w:t>
      </w:r>
      <w:r>
        <w:rPr>
          <w:rFonts w:hint="eastAsia" w:ascii="宋体" w:hAnsi="宋体" w:eastAsia="宋体" w:cs="宋体"/>
          <w:color w:val="auto"/>
          <w:szCs w:val="21"/>
          <w:highlight w:val="none"/>
          <w:lang w:val="zh-CN"/>
        </w:rPr>
        <w:t>记录封存。</w:t>
      </w:r>
    </w:p>
    <w:p w14:paraId="68F42152">
      <w:pPr>
        <w:tabs>
          <w:tab w:val="left" w:pos="567"/>
        </w:tabs>
        <w:autoSpaceDE w:val="0"/>
        <w:autoSpaceDN w:val="0"/>
        <w:adjustRightInd w:val="0"/>
        <w:spacing w:line="360" w:lineRule="auto"/>
        <w:ind w:left="357" w:leftChars="-100" w:right="15" w:rightChars="7" w:hanging="567"/>
        <w:rPr>
          <w:rFonts w:ascii="宋体" w:hAnsi="宋体" w:eastAsia="宋体" w:cs="宋体"/>
          <w:color w:val="auto"/>
          <w:kern w:val="0"/>
          <w:szCs w:val="21"/>
          <w:highlight w:val="none"/>
        </w:rPr>
      </w:pPr>
    </w:p>
    <w:p w14:paraId="5C021BAB">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41" w:name="_Toc450662874"/>
      <w:bookmarkStart w:id="342" w:name="_Toc142508339"/>
      <w:bookmarkStart w:id="343" w:name="_Toc27878"/>
      <w:bookmarkStart w:id="344" w:name="_Toc3475"/>
      <w:bookmarkStart w:id="345" w:name="_Toc450"/>
      <w:bookmarkStart w:id="346" w:name="_Toc21794"/>
      <w:bookmarkStart w:id="347" w:name="_Toc486167689"/>
      <w:bookmarkStart w:id="348" w:name="_Toc195714244"/>
      <w:bookmarkStart w:id="349" w:name="_Toc12165_WPSOffice_Level3"/>
      <w:bookmarkStart w:id="350" w:name="_Toc23059"/>
      <w:bookmarkStart w:id="351" w:name="_Toc32534"/>
      <w:bookmarkStart w:id="352" w:name="_Toc18502"/>
      <w:r>
        <w:rPr>
          <w:rFonts w:hint="eastAsia" w:ascii="宋体" w:hAnsi="宋体" w:eastAsia="宋体" w:cs="宋体"/>
          <w:color w:val="auto"/>
          <w:szCs w:val="21"/>
          <w:highlight w:val="none"/>
        </w:rPr>
        <w:t>24</w:t>
      </w:r>
      <w:r>
        <w:rPr>
          <w:rFonts w:ascii="宋体" w:hAnsi="宋体" w:eastAsia="宋体" w:cs="宋体"/>
          <w:color w:val="auto"/>
          <w:szCs w:val="21"/>
          <w:highlight w:val="none"/>
          <w:lang w:val="zh-CN"/>
        </w:rPr>
        <w:t xml:space="preserve"> </w:t>
      </w:r>
      <w:r>
        <w:rPr>
          <w:rFonts w:hint="eastAsia" w:ascii="宋体" w:hAnsi="宋体" w:eastAsia="宋体" w:cs="宋体"/>
          <w:color w:val="auto"/>
          <w:kern w:val="0"/>
          <w:szCs w:val="24"/>
          <w:highlight w:val="none"/>
          <w:lang w:val="en-US" w:eastAsia="zh-CN"/>
        </w:rPr>
        <w:t>评审</w:t>
      </w:r>
      <w:r>
        <w:rPr>
          <w:rFonts w:hint="eastAsia" w:ascii="宋体" w:hAnsi="宋体" w:eastAsia="宋体" w:cs="宋体"/>
          <w:color w:val="auto"/>
          <w:kern w:val="0"/>
          <w:szCs w:val="24"/>
          <w:highlight w:val="none"/>
        </w:rPr>
        <w:t>过程的保密性</w:t>
      </w:r>
      <w:bookmarkEnd w:id="341"/>
      <w:bookmarkEnd w:id="342"/>
      <w:bookmarkEnd w:id="343"/>
      <w:bookmarkEnd w:id="344"/>
      <w:bookmarkEnd w:id="345"/>
      <w:bookmarkEnd w:id="346"/>
      <w:bookmarkEnd w:id="347"/>
      <w:bookmarkEnd w:id="348"/>
      <w:bookmarkEnd w:id="349"/>
      <w:bookmarkEnd w:id="350"/>
      <w:bookmarkEnd w:id="351"/>
      <w:bookmarkEnd w:id="352"/>
    </w:p>
    <w:p w14:paraId="0C21907F">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24</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递交投标文件后，</w:t>
      </w:r>
      <w:r>
        <w:rPr>
          <w:rFonts w:hint="eastAsia" w:ascii="宋体" w:hAnsi="宋体" w:eastAsia="宋体" w:cs="Times New Roman"/>
          <w:color w:val="auto"/>
          <w:szCs w:val="21"/>
          <w:highlight w:val="none"/>
          <w:lang w:val="zh-CN"/>
        </w:rPr>
        <w:t>直至</w:t>
      </w:r>
      <w:r>
        <w:rPr>
          <w:rFonts w:hint="eastAsia" w:ascii="宋体" w:hAnsi="宋体" w:eastAsia="宋体" w:cs="Times New Roman"/>
          <w:color w:val="auto"/>
          <w:szCs w:val="21"/>
          <w:highlight w:val="none"/>
          <w:lang w:val="en-US" w:eastAsia="zh-CN"/>
        </w:rPr>
        <w:t>将</w:t>
      </w:r>
      <w:r>
        <w:rPr>
          <w:rFonts w:hint="eastAsia" w:ascii="宋体" w:hAnsi="宋体" w:eastAsia="宋体" w:cs="宋体"/>
          <w:color w:val="auto"/>
          <w:szCs w:val="21"/>
          <w:highlight w:val="none"/>
          <w:lang w:val="zh-CN"/>
        </w:rPr>
        <w:t>中标人</w:t>
      </w:r>
      <w:r>
        <w:rPr>
          <w:rFonts w:hint="eastAsia" w:ascii="宋体" w:hAnsi="宋体" w:eastAsia="宋体" w:cs="Times New Roman"/>
          <w:color w:val="auto"/>
          <w:szCs w:val="21"/>
          <w:highlight w:val="none"/>
          <w:lang w:val="en-US" w:eastAsia="zh-CN"/>
        </w:rPr>
        <w:t>推荐入库、向其</w:t>
      </w:r>
      <w:r>
        <w:rPr>
          <w:rFonts w:hint="eastAsia" w:ascii="宋体" w:hAnsi="宋体" w:eastAsia="宋体" w:cs="Times New Roman"/>
          <w:color w:val="auto"/>
          <w:szCs w:val="21"/>
          <w:highlight w:val="none"/>
          <w:lang w:val="zh-CN"/>
        </w:rPr>
        <w:t>授予合同期间，凡与审查、澄清、评估的有关资料以及意见等，均不得向投标人及与</w:t>
      </w:r>
      <w:r>
        <w:rPr>
          <w:rFonts w:hint="eastAsia" w:ascii="宋体" w:hAnsi="宋体" w:eastAsia="宋体" w:cs="宋体"/>
          <w:color w:val="auto"/>
          <w:szCs w:val="21"/>
          <w:highlight w:val="none"/>
          <w:lang w:val="zh-CN"/>
        </w:rPr>
        <w:t>评审</w:t>
      </w:r>
      <w:r>
        <w:rPr>
          <w:rFonts w:hint="eastAsia" w:ascii="宋体" w:hAnsi="宋体" w:eastAsia="宋体" w:cs="Times New Roman"/>
          <w:color w:val="auto"/>
          <w:szCs w:val="21"/>
          <w:highlight w:val="none"/>
          <w:lang w:val="zh-CN"/>
        </w:rPr>
        <w:t>无关的其他人透露，否则追究有关当事人的法律责任</w:t>
      </w:r>
      <w:r>
        <w:rPr>
          <w:rFonts w:hint="eastAsia" w:ascii="宋体" w:hAnsi="宋体" w:eastAsia="宋体" w:cs="宋体"/>
          <w:color w:val="auto"/>
          <w:szCs w:val="21"/>
          <w:highlight w:val="none"/>
          <w:lang w:val="zh-CN"/>
        </w:rPr>
        <w:t>。</w:t>
      </w:r>
    </w:p>
    <w:p w14:paraId="12F04894">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24</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在评</w:t>
      </w:r>
      <w:r>
        <w:rPr>
          <w:rFonts w:hint="eastAsia" w:ascii="宋体" w:hAnsi="宋体" w:eastAsia="宋体" w:cs="宋体"/>
          <w:color w:val="auto"/>
          <w:szCs w:val="21"/>
          <w:highlight w:val="none"/>
          <w:lang w:val="en-US" w:eastAsia="zh-CN"/>
        </w:rPr>
        <w:t>标</w:t>
      </w:r>
      <w:r>
        <w:rPr>
          <w:rFonts w:hint="eastAsia" w:ascii="宋体" w:hAnsi="宋体" w:eastAsia="宋体" w:cs="宋体"/>
          <w:color w:val="auto"/>
          <w:szCs w:val="21"/>
          <w:highlight w:val="none"/>
          <w:lang w:val="zh-CN"/>
        </w:rPr>
        <w:t>过程中，如果投标人试图在投标文件审查、澄清、比较及授予合同方面向招标代理机构和招标人施加任何影响，其投标文件将被拒绝。</w:t>
      </w:r>
    </w:p>
    <w:p w14:paraId="07CB3E85">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p>
    <w:p w14:paraId="166B020F">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53" w:name="_Toc29733"/>
      <w:bookmarkStart w:id="354" w:name="_Toc486167690"/>
      <w:bookmarkStart w:id="355" w:name="_Toc800"/>
      <w:bookmarkStart w:id="356" w:name="_Toc16920"/>
      <w:bookmarkStart w:id="357" w:name="_Toc6509"/>
      <w:bookmarkStart w:id="358" w:name="_Toc450662875"/>
      <w:bookmarkStart w:id="359" w:name="_Toc15565_WPSOffice_Level3"/>
      <w:bookmarkStart w:id="360" w:name="_Toc2926"/>
      <w:bookmarkStart w:id="361" w:name="_Toc1383"/>
      <w:bookmarkStart w:id="362" w:name="_Toc195714245"/>
      <w:bookmarkStart w:id="363" w:name="_Toc31520"/>
      <w:bookmarkStart w:id="364" w:name="_Toc142508340"/>
      <w:r>
        <w:rPr>
          <w:rFonts w:hint="eastAsia" w:ascii="宋体" w:hAnsi="宋体" w:eastAsia="宋体" w:cs="宋体"/>
          <w:color w:val="auto"/>
          <w:szCs w:val="21"/>
          <w:highlight w:val="none"/>
        </w:rPr>
        <w:t>25</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评标委员会</w:t>
      </w:r>
      <w:bookmarkEnd w:id="353"/>
      <w:bookmarkEnd w:id="354"/>
      <w:bookmarkEnd w:id="355"/>
      <w:bookmarkEnd w:id="356"/>
      <w:bookmarkEnd w:id="357"/>
      <w:bookmarkEnd w:id="358"/>
      <w:bookmarkEnd w:id="359"/>
      <w:bookmarkEnd w:id="360"/>
      <w:bookmarkEnd w:id="361"/>
      <w:bookmarkEnd w:id="362"/>
      <w:bookmarkEnd w:id="363"/>
      <w:bookmarkEnd w:id="364"/>
    </w:p>
    <w:p w14:paraId="3B98389F">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25</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依法组建评标委员会。评标委员会的成员在评审过程中必须严格遵守国家及地方招标投标的有关规定。</w:t>
      </w:r>
    </w:p>
    <w:p w14:paraId="25A12546">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25</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评标委员会依法根据招标文件的规定，进行投标文件的评审、得出评审结果，并向招标人推荐中标候选人。</w:t>
      </w:r>
    </w:p>
    <w:p w14:paraId="3D1CD6D5">
      <w:pPr>
        <w:autoSpaceDE w:val="0"/>
        <w:autoSpaceDN w:val="0"/>
        <w:adjustRightInd w:val="0"/>
        <w:spacing w:line="360" w:lineRule="auto"/>
        <w:ind w:left="357" w:leftChars="-100" w:hanging="567"/>
        <w:rPr>
          <w:rFonts w:ascii="宋体" w:hAnsi="宋体" w:eastAsia="宋体" w:cs="宋体"/>
          <w:color w:val="auto"/>
          <w:szCs w:val="21"/>
          <w:highlight w:val="none"/>
          <w:lang w:val="zh-CN"/>
        </w:rPr>
      </w:pPr>
    </w:p>
    <w:p w14:paraId="31929E9C">
      <w:pPr>
        <w:autoSpaceDE w:val="0"/>
        <w:autoSpaceDN w:val="0"/>
        <w:adjustRightInd w:val="0"/>
        <w:spacing w:line="360" w:lineRule="auto"/>
        <w:ind w:left="357" w:leftChars="-100" w:hanging="567"/>
        <w:outlineLvl w:val="2"/>
        <w:rPr>
          <w:rFonts w:ascii="宋体" w:hAnsi="宋体" w:eastAsia="宋体" w:cs="宋体"/>
          <w:color w:val="auto"/>
          <w:szCs w:val="21"/>
          <w:highlight w:val="none"/>
          <w:lang w:val="zh-CN"/>
        </w:rPr>
      </w:pPr>
      <w:bookmarkStart w:id="365" w:name="_Toc2891"/>
      <w:bookmarkStart w:id="366" w:name="_Toc562"/>
      <w:bookmarkStart w:id="367" w:name="_Toc195714246"/>
      <w:bookmarkStart w:id="368" w:name="_Toc30153"/>
      <w:bookmarkStart w:id="369" w:name="_Toc1838"/>
      <w:bookmarkStart w:id="370" w:name="_Toc2167"/>
      <w:r>
        <w:rPr>
          <w:rFonts w:hint="eastAsia" w:ascii="宋体" w:hAnsi="宋体" w:eastAsia="宋体" w:cs="宋体"/>
          <w:color w:val="auto"/>
          <w:szCs w:val="21"/>
          <w:highlight w:val="none"/>
          <w:lang w:val="zh-CN"/>
        </w:rPr>
        <w:t>26</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投标文件的有效性</w:t>
      </w:r>
      <w:bookmarkEnd w:id="365"/>
      <w:bookmarkEnd w:id="366"/>
      <w:bookmarkEnd w:id="367"/>
      <w:bookmarkEnd w:id="368"/>
      <w:bookmarkEnd w:id="369"/>
      <w:bookmarkEnd w:id="370"/>
    </w:p>
    <w:p w14:paraId="7A3665FF">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26.1开标（评标）时，投标文件出现下列情形之一的，应当作为无效投标文件：</w:t>
      </w:r>
    </w:p>
    <w:p w14:paraId="0961EBAA">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上传的投标文件损坏或无法读取的；</w:t>
      </w:r>
    </w:p>
    <w:p w14:paraId="4684BE73">
      <w:pPr>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经招标人确认，投标人在公共资源交易企业库填报的与本项目密切相关的信息与事实不相符的；</w:t>
      </w:r>
    </w:p>
    <w:p w14:paraId="008FC242">
      <w:pPr>
        <w:spacing w:line="360" w:lineRule="auto"/>
        <w:ind w:left="357" w:leftChars="-100" w:hanging="567"/>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26.1.3</w:t>
      </w:r>
      <w:r>
        <w:rPr>
          <w:rFonts w:hint="eastAsia" w:ascii="宋体" w:hAnsi="宋体" w:eastAsia="宋体" w:cs="宋体"/>
          <w:color w:val="auto"/>
          <w:szCs w:val="21"/>
          <w:highlight w:val="none"/>
          <w:lang w:val="en-US" w:eastAsia="zh-CN"/>
        </w:rPr>
        <w:t>投标文件中使用的本项目招标文件版本，与交易系统上发布的本项目招标文件的最新版本不一致的；</w:t>
      </w:r>
    </w:p>
    <w:p w14:paraId="0E162B2E">
      <w:pPr>
        <w:autoSpaceDE w:val="0"/>
        <w:autoSpaceDN w:val="0"/>
        <w:adjustRightInd w:val="0"/>
        <w:spacing w:line="360" w:lineRule="auto"/>
        <w:ind w:left="357" w:leftChars="-100" w:hanging="567"/>
        <w:rPr>
          <w:rFonts w:hint="eastAsia" w:ascii="宋体" w:hAnsi="宋体" w:eastAsia="宋体" w:cs="宋体"/>
          <w:szCs w:val="21"/>
          <w:highlight w:val="none"/>
          <w:lang w:val="zh-CN"/>
        </w:rPr>
      </w:pPr>
      <w:r>
        <w:rPr>
          <w:rFonts w:hint="eastAsia" w:ascii="宋体" w:hAnsi="宋体" w:eastAsia="宋体" w:cs="宋体"/>
          <w:szCs w:val="21"/>
          <w:highlight w:val="none"/>
          <w:lang w:val="zh-CN"/>
        </w:rPr>
        <w:t>26.1.</w:t>
      </w:r>
      <w:r>
        <w:rPr>
          <w:rFonts w:hint="eastAsia" w:ascii="宋体" w:hAnsi="宋体" w:eastAsia="宋体" w:cs="宋体"/>
          <w:szCs w:val="21"/>
          <w:highlight w:val="none"/>
          <w:lang w:val="en-US" w:eastAsia="zh-CN"/>
        </w:rPr>
        <w:t>4投标文件</w:t>
      </w:r>
      <w:r>
        <w:rPr>
          <w:rFonts w:hint="eastAsia" w:ascii="宋体" w:hAnsi="宋体" w:eastAsia="宋体" w:cs="宋体"/>
          <w:szCs w:val="21"/>
          <w:highlight w:val="none"/>
          <w:lang w:val="zh-CN"/>
        </w:rPr>
        <w:t>签名使用的数字证书与签到的投标人名称不一致的；</w:t>
      </w:r>
    </w:p>
    <w:p w14:paraId="3DB02C84">
      <w:pPr>
        <w:autoSpaceDE w:val="0"/>
        <w:autoSpaceDN w:val="0"/>
        <w:adjustRightInd w:val="0"/>
        <w:spacing w:line="360" w:lineRule="auto"/>
        <w:ind w:left="357" w:leftChars="-100" w:hanging="567"/>
        <w:rPr>
          <w:rFonts w:hint="eastAsia" w:ascii="宋体" w:hAnsi="宋体" w:eastAsia="宋体" w:cs="宋体"/>
          <w:szCs w:val="21"/>
          <w:highlight w:val="none"/>
          <w:lang w:val="zh-CN"/>
        </w:rPr>
      </w:pPr>
      <w:r>
        <w:rPr>
          <w:rFonts w:hint="eastAsia" w:ascii="宋体" w:hAnsi="宋体" w:eastAsia="宋体" w:cs="宋体"/>
          <w:szCs w:val="21"/>
          <w:highlight w:val="none"/>
          <w:lang w:val="zh-CN"/>
        </w:rPr>
        <w:t>26.1.</w:t>
      </w:r>
      <w:r>
        <w:rPr>
          <w:rFonts w:hint="eastAsia" w:ascii="宋体" w:hAnsi="宋体" w:eastAsia="宋体" w:cs="宋体"/>
          <w:szCs w:val="21"/>
          <w:highlight w:val="none"/>
          <w:lang w:val="en-US" w:eastAsia="zh-CN"/>
        </w:rPr>
        <w:t>5投标人</w:t>
      </w:r>
      <w:r>
        <w:rPr>
          <w:rFonts w:hint="eastAsia" w:ascii="宋体" w:hAnsi="宋体" w:eastAsia="宋体" w:cs="宋体"/>
          <w:szCs w:val="21"/>
          <w:highlight w:val="none"/>
          <w:lang w:val="zh-CN"/>
        </w:rPr>
        <w:t>的投标编制MAC信息、投标编制CPU序列号、投标编制硬盘序列号均</w:t>
      </w:r>
      <w:r>
        <w:rPr>
          <w:rFonts w:hint="eastAsia" w:ascii="宋体" w:hAnsi="宋体" w:eastAsia="宋体" w:cs="宋体"/>
          <w:szCs w:val="21"/>
          <w:highlight w:val="none"/>
          <w:lang w:val="en-US" w:eastAsia="zh-CN"/>
        </w:rPr>
        <w:t>与其他投标人</w:t>
      </w:r>
      <w:r>
        <w:rPr>
          <w:rFonts w:hint="eastAsia" w:ascii="宋体" w:hAnsi="宋体" w:eastAsia="宋体" w:cs="宋体"/>
          <w:szCs w:val="21"/>
          <w:highlight w:val="none"/>
          <w:lang w:val="zh-CN"/>
        </w:rPr>
        <w:t>相同的；</w:t>
      </w:r>
    </w:p>
    <w:p w14:paraId="71DAB477">
      <w:pPr>
        <w:autoSpaceDE w:val="0"/>
        <w:autoSpaceDN w:val="0"/>
        <w:adjustRightInd w:val="0"/>
        <w:spacing w:line="360" w:lineRule="auto"/>
        <w:ind w:left="357" w:leftChars="-100" w:hanging="567"/>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26.1.6投标文件附有招标人不能接受的条件的；</w:t>
      </w:r>
    </w:p>
    <w:p w14:paraId="5668B376">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en-US" w:eastAsia="zh-CN"/>
        </w:rPr>
        <w:t>26.1.7投标人</w:t>
      </w:r>
      <w:r>
        <w:rPr>
          <w:rFonts w:hint="eastAsia" w:ascii="宋体" w:hAnsi="宋体" w:eastAsia="宋体" w:cs="宋体"/>
          <w:color w:val="auto"/>
          <w:szCs w:val="21"/>
          <w:highlight w:val="none"/>
          <w:lang w:val="zh-CN"/>
        </w:rPr>
        <w:t>资格不满足本</w:t>
      </w:r>
      <w:r>
        <w:rPr>
          <w:rFonts w:hint="eastAsia" w:ascii="宋体" w:hAnsi="宋体" w:eastAsia="宋体" w:cs="宋体"/>
          <w:color w:val="auto"/>
          <w:szCs w:val="21"/>
          <w:highlight w:val="none"/>
          <w:lang w:val="en-US" w:eastAsia="zh-CN"/>
        </w:rPr>
        <w:t>投标人</w:t>
      </w:r>
      <w:r>
        <w:rPr>
          <w:rFonts w:hint="eastAsia" w:ascii="宋体" w:hAnsi="宋体" w:eastAsia="宋体" w:cs="宋体"/>
          <w:color w:val="auto"/>
          <w:szCs w:val="21"/>
          <w:highlight w:val="none"/>
          <w:lang w:val="zh-CN"/>
        </w:rPr>
        <w:t>须知第</w:t>
      </w:r>
      <w:r>
        <w:rPr>
          <w:rFonts w:hint="eastAsia" w:ascii="宋体" w:hAnsi="宋体" w:eastAsia="宋体" w:cs="宋体"/>
          <w:color w:val="auto"/>
          <w:szCs w:val="21"/>
          <w:highlight w:val="none"/>
          <w:lang w:val="en-US" w:eastAsia="zh-CN"/>
        </w:rPr>
        <w:t>2条</w:t>
      </w:r>
      <w:r>
        <w:rPr>
          <w:rFonts w:hint="eastAsia" w:ascii="宋体" w:hAnsi="宋体" w:eastAsia="宋体" w:cs="宋体"/>
          <w:color w:val="auto"/>
          <w:szCs w:val="21"/>
          <w:highlight w:val="none"/>
          <w:lang w:val="zh-CN"/>
        </w:rPr>
        <w:t>的要求；</w:t>
      </w:r>
    </w:p>
    <w:p w14:paraId="3B3DAD1E">
      <w:pPr>
        <w:autoSpaceDE w:val="0"/>
        <w:autoSpaceDN w:val="0"/>
        <w:adjustRightInd w:val="0"/>
        <w:spacing w:line="360" w:lineRule="auto"/>
        <w:ind w:left="357" w:leftChars="-100" w:hanging="567"/>
        <w:rPr>
          <w:rFonts w:ascii="宋体" w:hAnsi="宋体" w:eastAsia="宋体" w:cs="宋体"/>
          <w:szCs w:val="21"/>
          <w:highlight w:val="none"/>
          <w:lang w:val="zh-CN"/>
        </w:rPr>
      </w:pPr>
      <w:r>
        <w:rPr>
          <w:rFonts w:hint="eastAsia" w:ascii="宋体" w:hAnsi="宋体" w:eastAsia="宋体" w:cs="宋体"/>
          <w:szCs w:val="21"/>
          <w:highlight w:val="none"/>
          <w:lang w:val="zh-CN"/>
        </w:rPr>
        <w:t>26.1.</w:t>
      </w:r>
      <w:r>
        <w:rPr>
          <w:rFonts w:hint="eastAsia" w:ascii="宋体" w:hAnsi="宋体" w:eastAsia="宋体" w:cs="宋体"/>
          <w:szCs w:val="21"/>
          <w:highlight w:val="none"/>
          <w:lang w:val="en-US" w:eastAsia="zh-CN"/>
        </w:rPr>
        <w:t>8投标人</w:t>
      </w:r>
      <w:r>
        <w:rPr>
          <w:rFonts w:hint="eastAsia" w:ascii="宋体" w:hAnsi="宋体" w:eastAsia="宋体" w:cs="宋体"/>
          <w:szCs w:val="21"/>
          <w:highlight w:val="none"/>
          <w:lang w:val="zh-CN"/>
        </w:rPr>
        <w:t>未按</w:t>
      </w:r>
      <w:r>
        <w:rPr>
          <w:rFonts w:hint="eastAsia" w:ascii="宋体" w:hAnsi="宋体" w:eastAsia="宋体" w:cs="宋体"/>
          <w:szCs w:val="21"/>
          <w:highlight w:val="none"/>
          <w:lang w:val="en-US" w:eastAsia="zh-CN"/>
        </w:rPr>
        <w:t>招标</w:t>
      </w:r>
      <w:r>
        <w:rPr>
          <w:rFonts w:hint="eastAsia" w:ascii="宋体" w:hAnsi="宋体" w:eastAsia="宋体" w:cs="宋体"/>
          <w:szCs w:val="21"/>
          <w:highlight w:val="none"/>
          <w:lang w:val="zh-CN"/>
        </w:rPr>
        <w:t>文件要求交纳</w:t>
      </w:r>
      <w:r>
        <w:rPr>
          <w:rFonts w:hint="eastAsia" w:ascii="宋体" w:hAnsi="宋体" w:eastAsia="宋体" w:cs="宋体"/>
          <w:szCs w:val="21"/>
          <w:highlight w:val="none"/>
          <w:lang w:val="en-US" w:eastAsia="zh-CN"/>
        </w:rPr>
        <w:t>投标</w:t>
      </w:r>
      <w:r>
        <w:rPr>
          <w:rFonts w:hint="eastAsia" w:ascii="宋体" w:hAnsi="宋体" w:eastAsia="宋体" w:cs="宋体"/>
          <w:szCs w:val="21"/>
          <w:highlight w:val="none"/>
          <w:lang w:val="zh-CN"/>
        </w:rPr>
        <w:t>保证金的；</w:t>
      </w:r>
    </w:p>
    <w:p w14:paraId="649D7011">
      <w:pPr>
        <w:autoSpaceDE w:val="0"/>
        <w:autoSpaceDN w:val="0"/>
        <w:adjustRightInd w:val="0"/>
        <w:spacing w:line="360" w:lineRule="auto"/>
        <w:ind w:left="357" w:leftChars="-100" w:hanging="567"/>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26.1.9投标人递交两份或多份内容不同的投标文件，且未书面声明哪一个有效；</w:t>
      </w:r>
    </w:p>
    <w:p w14:paraId="745F9ADD">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10投标文件</w:t>
      </w:r>
      <w:r>
        <w:rPr>
          <w:rFonts w:hint="eastAsia" w:ascii="宋体" w:hAnsi="宋体" w:eastAsia="宋体" w:cs="宋体"/>
          <w:color w:val="auto"/>
          <w:szCs w:val="21"/>
          <w:highlight w:val="none"/>
          <w:lang w:val="zh-CN"/>
        </w:rPr>
        <w:t xml:space="preserve">未使用企业数字证书或个人数字证书电子签名的； </w:t>
      </w:r>
    </w:p>
    <w:p w14:paraId="1B1DA104">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11投标</w:t>
      </w:r>
      <w:r>
        <w:rPr>
          <w:rFonts w:hint="eastAsia" w:ascii="宋体" w:hAnsi="宋体" w:eastAsia="宋体" w:cs="宋体"/>
          <w:color w:val="auto"/>
          <w:szCs w:val="21"/>
          <w:highlight w:val="none"/>
          <w:lang w:val="zh-CN"/>
        </w:rPr>
        <w:t>有效期限不符合要求；</w:t>
      </w:r>
    </w:p>
    <w:p w14:paraId="04C0D30A">
      <w:pPr>
        <w:autoSpaceDE w:val="0"/>
        <w:autoSpaceDN w:val="0"/>
        <w:adjustRightInd w:val="0"/>
        <w:spacing w:line="360" w:lineRule="auto"/>
        <w:ind w:left="357" w:leftChars="-100" w:hanging="567"/>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26.1.12投标文件未对招标范围内的全部内容进行投标或投标方案不是唯一；</w:t>
      </w:r>
    </w:p>
    <w:p w14:paraId="41DDB9BE">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13</w:t>
      </w:r>
      <w:r>
        <w:rPr>
          <w:rFonts w:hint="eastAsia" w:ascii="宋体" w:hAnsi="宋体" w:eastAsia="宋体" w:cs="宋体"/>
          <w:color w:val="auto"/>
          <w:szCs w:val="21"/>
          <w:highlight w:val="none"/>
          <w:lang w:val="zh-CN"/>
        </w:rPr>
        <w:t>未提供或虚假填写《合同条款偏离表》，或对《合同条款偏离表》有负偏离的；</w:t>
      </w:r>
    </w:p>
    <w:p w14:paraId="6A435BCC">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14</w:t>
      </w:r>
      <w:r>
        <w:rPr>
          <w:rFonts w:hint="eastAsia" w:ascii="宋体" w:hAnsi="宋体" w:eastAsia="宋体" w:cs="宋体"/>
          <w:color w:val="auto"/>
          <w:szCs w:val="21"/>
          <w:highlight w:val="none"/>
          <w:lang w:val="zh-CN"/>
        </w:rPr>
        <w:t>未填写或虚假填写《用户需求偏离表》的；</w:t>
      </w:r>
    </w:p>
    <w:p w14:paraId="7D5504D3">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zh-CN" w:eastAsia="zh-CN"/>
        </w:rPr>
        <w:t>15</w:t>
      </w:r>
      <w:r>
        <w:rPr>
          <w:rFonts w:hint="eastAsia" w:ascii="宋体" w:hAnsi="宋体" w:eastAsia="宋体" w:cs="宋体"/>
          <w:color w:val="auto"/>
          <w:szCs w:val="21"/>
          <w:highlight w:val="none"/>
          <w:lang w:val="zh-CN"/>
        </w:rPr>
        <w:t>未响应</w:t>
      </w:r>
      <w:r>
        <w:rPr>
          <w:rFonts w:hint="eastAsia" w:ascii="宋体" w:hAnsi="宋体" w:eastAsia="宋体" w:cs="宋体"/>
          <w:color w:val="auto"/>
          <w:szCs w:val="21"/>
          <w:highlight w:val="none"/>
          <w:lang w:val="zh-CN" w:eastAsia="zh-CN"/>
        </w:rPr>
        <w:t>招标</w:t>
      </w:r>
      <w:r>
        <w:rPr>
          <w:rFonts w:hint="eastAsia" w:ascii="宋体" w:hAnsi="宋体" w:eastAsia="宋体" w:cs="宋体"/>
          <w:color w:val="auto"/>
          <w:szCs w:val="21"/>
          <w:highlight w:val="none"/>
          <w:lang w:val="zh-CN"/>
        </w:rPr>
        <w:t>文件提出的实质性要求和条件（标注★的条款）</w:t>
      </w:r>
      <w:r>
        <w:rPr>
          <w:rFonts w:hint="eastAsia" w:ascii="宋体" w:hAnsi="宋体" w:eastAsia="宋体" w:cs="宋体"/>
          <w:color w:val="auto"/>
          <w:szCs w:val="21"/>
          <w:highlight w:val="none"/>
          <w:lang w:val="zh-CN" w:eastAsia="zh-CN"/>
        </w:rPr>
        <w:t>；</w:t>
      </w:r>
    </w:p>
    <w:p w14:paraId="3AF1EBA0">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zh-CN" w:eastAsia="zh-CN"/>
        </w:rPr>
        <w:t>16投标人是“东莞市众源环境投资有限公司半干化泥粉外运资源化处置服务供应商库”内的供应商的；</w:t>
      </w:r>
    </w:p>
    <w:p w14:paraId="7C3C04FC">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zh-CN" w:eastAsia="zh-CN"/>
        </w:rPr>
        <w:t>17</w:t>
      </w:r>
      <w:r>
        <w:rPr>
          <w:rFonts w:hint="eastAsia" w:ascii="宋体" w:hAnsi="宋体" w:eastAsia="宋体" w:cs="宋体"/>
          <w:color w:val="auto"/>
          <w:szCs w:val="21"/>
          <w:highlight w:val="none"/>
          <w:lang w:val="zh-CN"/>
        </w:rPr>
        <w:t>出现</w:t>
      </w:r>
      <w:r>
        <w:rPr>
          <w:rFonts w:hint="eastAsia" w:ascii="宋体" w:hAnsi="宋体" w:eastAsia="宋体" w:cs="宋体"/>
          <w:color w:val="auto"/>
          <w:szCs w:val="21"/>
          <w:highlight w:val="none"/>
          <w:lang w:val="zh-CN" w:eastAsia="zh-CN"/>
        </w:rPr>
        <w:t>招标</w:t>
      </w:r>
      <w:r>
        <w:rPr>
          <w:rFonts w:hint="eastAsia" w:ascii="宋体" w:hAnsi="宋体" w:eastAsia="宋体" w:cs="宋体"/>
          <w:color w:val="auto"/>
          <w:szCs w:val="21"/>
          <w:highlight w:val="none"/>
          <w:lang w:val="zh-CN"/>
        </w:rPr>
        <w:t>文件其他条款中定义为无效</w:t>
      </w:r>
      <w:r>
        <w:rPr>
          <w:rFonts w:hint="eastAsia" w:ascii="宋体" w:hAnsi="宋体" w:eastAsia="宋体" w:cs="宋体"/>
          <w:color w:val="auto"/>
          <w:szCs w:val="21"/>
          <w:highlight w:val="none"/>
          <w:lang w:val="zh-CN" w:eastAsia="zh-CN"/>
        </w:rPr>
        <w:t>投标</w:t>
      </w:r>
      <w:r>
        <w:rPr>
          <w:rFonts w:hint="eastAsia" w:ascii="宋体" w:hAnsi="宋体" w:eastAsia="宋体" w:cs="宋体"/>
          <w:color w:val="auto"/>
          <w:szCs w:val="21"/>
          <w:highlight w:val="none"/>
          <w:lang w:val="zh-CN"/>
        </w:rPr>
        <w:t>的情况；属于法律、法规、规章规定的应作无效</w:t>
      </w:r>
      <w:r>
        <w:rPr>
          <w:rFonts w:hint="eastAsia" w:ascii="宋体" w:hAnsi="宋体" w:eastAsia="宋体" w:cs="宋体"/>
          <w:color w:val="auto"/>
          <w:szCs w:val="21"/>
          <w:highlight w:val="none"/>
          <w:lang w:val="zh-CN" w:eastAsia="zh-CN"/>
        </w:rPr>
        <w:t>投标文件</w:t>
      </w:r>
      <w:r>
        <w:rPr>
          <w:rFonts w:hint="eastAsia" w:ascii="宋体" w:hAnsi="宋体" w:eastAsia="宋体" w:cs="宋体"/>
          <w:color w:val="auto"/>
          <w:szCs w:val="21"/>
          <w:highlight w:val="none"/>
          <w:lang w:val="zh-CN"/>
        </w:rPr>
        <w:t>处理的。</w:t>
      </w:r>
    </w:p>
    <w:p w14:paraId="0947AF91">
      <w:pPr>
        <w:autoSpaceDE w:val="0"/>
        <w:autoSpaceDN w:val="0"/>
        <w:adjustRightInd w:val="0"/>
        <w:spacing w:line="360" w:lineRule="auto"/>
        <w:ind w:left="357" w:leftChars="-100" w:hanging="567"/>
        <w:rPr>
          <w:rFonts w:ascii="宋体" w:hAnsi="宋体" w:eastAsia="宋体" w:cs="宋体"/>
          <w:color w:val="auto"/>
          <w:szCs w:val="21"/>
          <w:highlight w:val="none"/>
          <w:lang w:val="zh-CN"/>
        </w:rPr>
      </w:pPr>
    </w:p>
    <w:p w14:paraId="4BB68463">
      <w:pPr>
        <w:tabs>
          <w:tab w:val="left" w:pos="567"/>
        </w:tabs>
        <w:autoSpaceDE w:val="0"/>
        <w:autoSpaceDN w:val="0"/>
        <w:adjustRightInd w:val="0"/>
        <w:spacing w:line="360" w:lineRule="auto"/>
        <w:ind w:left="357" w:leftChars="-100" w:hanging="567"/>
        <w:jc w:val="left"/>
        <w:outlineLvl w:val="2"/>
        <w:rPr>
          <w:rFonts w:ascii="宋体" w:hAnsi="宋体" w:eastAsia="宋体" w:cs="宋体"/>
          <w:b/>
          <w:color w:val="auto"/>
          <w:szCs w:val="21"/>
          <w:highlight w:val="none"/>
          <w:lang w:val="zh-CN"/>
        </w:rPr>
      </w:pPr>
      <w:bookmarkStart w:id="371" w:name="_Toc12715"/>
      <w:bookmarkStart w:id="372" w:name="_Toc4355"/>
      <w:bookmarkStart w:id="373" w:name="_Toc28910_WPSOffice_Level3"/>
      <w:bookmarkStart w:id="374" w:name="_Toc2220"/>
      <w:bookmarkStart w:id="375" w:name="_Toc142508341"/>
      <w:bookmarkStart w:id="376" w:name="_Toc23436"/>
      <w:bookmarkStart w:id="377" w:name="_Toc18668"/>
      <w:bookmarkStart w:id="378" w:name="_Toc486167691"/>
      <w:bookmarkStart w:id="379" w:name="_Toc10939"/>
      <w:bookmarkStart w:id="380" w:name="_Toc195714247"/>
      <w:bookmarkStart w:id="381" w:name="_Toc4042"/>
      <w:bookmarkStart w:id="382" w:name="_Toc450662876"/>
      <w:r>
        <w:rPr>
          <w:rFonts w:hint="eastAsia" w:ascii="宋体" w:hAnsi="宋体" w:eastAsia="宋体" w:cs="宋体"/>
          <w:b/>
          <w:color w:val="auto"/>
          <w:szCs w:val="21"/>
          <w:highlight w:val="none"/>
          <w:lang w:val="zh-CN"/>
        </w:rPr>
        <w:t>2</w:t>
      </w:r>
      <w:r>
        <w:rPr>
          <w:rFonts w:hint="eastAsia" w:ascii="宋体" w:hAnsi="宋体" w:eastAsia="宋体" w:cs="宋体"/>
          <w:b/>
          <w:color w:val="auto"/>
          <w:szCs w:val="21"/>
          <w:highlight w:val="none"/>
        </w:rPr>
        <w:t>7</w:t>
      </w:r>
      <w:r>
        <w:rPr>
          <w:rFonts w:ascii="宋体" w:hAnsi="宋体" w:eastAsia="宋体" w:cs="宋体"/>
          <w:b/>
          <w:color w:val="auto"/>
          <w:szCs w:val="21"/>
          <w:highlight w:val="none"/>
          <w:lang w:val="zh-CN"/>
        </w:rPr>
        <w:t xml:space="preserve"> </w:t>
      </w:r>
      <w:r>
        <w:rPr>
          <w:rFonts w:hint="eastAsia" w:ascii="宋体" w:hAnsi="宋体" w:eastAsia="宋体" w:cs="宋体"/>
          <w:b/>
          <w:color w:val="auto"/>
          <w:szCs w:val="21"/>
          <w:highlight w:val="none"/>
          <w:lang w:val="zh-CN"/>
        </w:rPr>
        <w:t>投标文件的初审</w:t>
      </w:r>
      <w:bookmarkEnd w:id="371"/>
      <w:bookmarkEnd w:id="372"/>
      <w:bookmarkEnd w:id="373"/>
      <w:bookmarkEnd w:id="374"/>
      <w:bookmarkEnd w:id="375"/>
      <w:bookmarkEnd w:id="376"/>
      <w:bookmarkEnd w:id="377"/>
      <w:bookmarkEnd w:id="378"/>
      <w:bookmarkEnd w:id="379"/>
      <w:bookmarkEnd w:id="380"/>
      <w:bookmarkEnd w:id="381"/>
      <w:bookmarkEnd w:id="382"/>
    </w:p>
    <w:p w14:paraId="35708645">
      <w:pPr>
        <w:autoSpaceDE w:val="0"/>
        <w:autoSpaceDN w:val="0"/>
        <w:adjustRightInd w:val="0"/>
        <w:spacing w:line="360" w:lineRule="auto"/>
        <w:ind w:left="357" w:leftChars="-100" w:hanging="567"/>
        <w:rPr>
          <w:rFonts w:ascii="宋体" w:hAnsi="宋体" w:eastAsia="宋体" w:cs="宋体"/>
          <w:b/>
          <w:color w:val="auto"/>
          <w:szCs w:val="21"/>
          <w:highlight w:val="none"/>
        </w:rPr>
      </w:pPr>
      <w:r>
        <w:rPr>
          <w:rFonts w:hint="eastAsia" w:ascii="宋体" w:hAnsi="宋体" w:eastAsia="宋体" w:cs="宋体"/>
          <w:b/>
          <w:color w:val="auto"/>
          <w:szCs w:val="21"/>
          <w:highlight w:val="none"/>
          <w:lang w:val="zh-CN"/>
        </w:rPr>
        <w:t>2</w:t>
      </w:r>
      <w:r>
        <w:rPr>
          <w:rFonts w:hint="eastAsia" w:ascii="宋体" w:hAnsi="宋体" w:eastAsia="宋体" w:cs="宋体"/>
          <w:b/>
          <w:color w:val="auto"/>
          <w:szCs w:val="21"/>
          <w:highlight w:val="none"/>
        </w:rPr>
        <w:t>7</w:t>
      </w:r>
      <w:r>
        <w:rPr>
          <w:rFonts w:hint="eastAsia" w:ascii="宋体" w:hAnsi="宋体" w:eastAsia="宋体" w:cs="宋体"/>
          <w:b/>
          <w:color w:val="auto"/>
          <w:szCs w:val="21"/>
          <w:highlight w:val="none"/>
          <w:lang w:val="zh-CN"/>
        </w:rPr>
        <w:t>.1 资格性检查：依据法律法规和招标文件的规定，对投标文件中的资格证明、投标保证金等进行审查，以确定投标人是否具备投标资格。</w:t>
      </w:r>
    </w:p>
    <w:p w14:paraId="322F8048">
      <w:pPr>
        <w:autoSpaceDE w:val="0"/>
        <w:autoSpaceDN w:val="0"/>
        <w:adjustRightInd w:val="0"/>
        <w:spacing w:line="360" w:lineRule="auto"/>
        <w:ind w:left="330" w:leftChars="-100" w:hanging="540"/>
        <w:rPr>
          <w:rFonts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2</w:t>
      </w:r>
      <w:r>
        <w:rPr>
          <w:rFonts w:hint="eastAsia" w:ascii="宋体" w:hAnsi="宋体" w:eastAsia="宋体" w:cs="宋体"/>
          <w:b/>
          <w:color w:val="auto"/>
          <w:szCs w:val="21"/>
          <w:highlight w:val="none"/>
        </w:rPr>
        <w:t>7</w:t>
      </w:r>
      <w:r>
        <w:rPr>
          <w:rFonts w:hint="eastAsia" w:ascii="宋体" w:hAnsi="宋体" w:eastAsia="宋体" w:cs="宋体"/>
          <w:b/>
          <w:color w:val="auto"/>
          <w:szCs w:val="21"/>
          <w:highlight w:val="none"/>
          <w:lang w:val="zh-CN"/>
        </w:rPr>
        <w:t>.2 符合性检查：依据招标文件的规定，从投标文件的有效性、完整性和对招标文件的响应程度进行审查，以确定是否对招标文件的实质性要求作出响应。</w:t>
      </w:r>
    </w:p>
    <w:p w14:paraId="47E40DD1">
      <w:pPr>
        <w:autoSpaceDE w:val="0"/>
        <w:autoSpaceDN w:val="0"/>
        <w:adjustRightInd w:val="0"/>
        <w:spacing w:line="360" w:lineRule="auto"/>
        <w:ind w:left="330" w:leftChars="-100" w:hanging="540"/>
        <w:rPr>
          <w:rFonts w:ascii="宋体" w:hAnsi="宋体" w:eastAsia="宋体" w:cs="宋体"/>
          <w:b/>
          <w:color w:val="auto"/>
          <w:szCs w:val="21"/>
          <w:highlight w:val="none"/>
          <w:lang w:val="zh-CN"/>
        </w:rPr>
      </w:pPr>
    </w:p>
    <w:p w14:paraId="6BB55C9A">
      <w:pPr>
        <w:tabs>
          <w:tab w:val="left" w:pos="525"/>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83" w:name="_Toc338_WPSOffice_Level3"/>
      <w:bookmarkStart w:id="384" w:name="_Toc450662877"/>
      <w:bookmarkStart w:id="385" w:name="_Toc4961"/>
      <w:bookmarkStart w:id="386" w:name="_Toc195714248"/>
      <w:bookmarkStart w:id="387" w:name="_Toc3876"/>
      <w:bookmarkStart w:id="388" w:name="_Toc29366"/>
      <w:bookmarkStart w:id="389" w:name="_Toc486167692"/>
      <w:bookmarkStart w:id="390" w:name="_Toc4837"/>
      <w:bookmarkStart w:id="391" w:name="_Toc14014"/>
      <w:bookmarkStart w:id="392" w:name="_Toc307"/>
      <w:bookmarkStart w:id="393" w:name="_Toc142508342"/>
      <w:bookmarkStart w:id="394" w:name="_Toc30225"/>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8</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投标文件的澄清</w:t>
      </w:r>
      <w:bookmarkEnd w:id="383"/>
      <w:bookmarkEnd w:id="384"/>
      <w:bookmarkEnd w:id="385"/>
      <w:bookmarkEnd w:id="386"/>
      <w:bookmarkEnd w:id="387"/>
      <w:bookmarkEnd w:id="388"/>
      <w:bookmarkEnd w:id="389"/>
      <w:bookmarkEnd w:id="390"/>
      <w:bookmarkEnd w:id="391"/>
      <w:bookmarkEnd w:id="392"/>
      <w:bookmarkEnd w:id="393"/>
      <w:bookmarkEnd w:id="394"/>
    </w:p>
    <w:p w14:paraId="6D05B69C">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8</w:t>
      </w:r>
      <w:r>
        <w:rPr>
          <w:rFonts w:hint="eastAsia" w:ascii="宋体" w:hAnsi="宋体" w:eastAsia="宋体" w:cs="宋体"/>
          <w:color w:val="auto"/>
          <w:szCs w:val="21"/>
          <w:highlight w:val="none"/>
          <w:lang w:val="zh-CN"/>
        </w:rPr>
        <w:t>.1 对投标文件中含义不明确、同类问题表述不一致或者有明显文字和计算错误的内容，</w:t>
      </w:r>
      <w:r>
        <w:rPr>
          <w:rFonts w:hint="eastAsia" w:ascii="宋体" w:hAnsi="宋体" w:eastAsia="宋体" w:cs="宋体"/>
          <w:color w:val="auto"/>
          <w:szCs w:val="21"/>
          <w:highlight w:val="none"/>
          <w:lang w:val="en-US" w:eastAsia="zh-CN"/>
        </w:rPr>
        <w:t>评标委员会</w:t>
      </w:r>
      <w:r>
        <w:rPr>
          <w:rFonts w:hint="eastAsia" w:ascii="宋体" w:hAnsi="宋体" w:eastAsia="宋体" w:cs="宋体"/>
          <w:color w:val="auto"/>
          <w:szCs w:val="21"/>
          <w:highlight w:val="none"/>
          <w:lang w:val="zh-CN"/>
        </w:rPr>
        <w:t>可以书面形式（应当由</w:t>
      </w:r>
      <w:r>
        <w:rPr>
          <w:rFonts w:hint="eastAsia" w:ascii="宋体" w:hAnsi="宋体" w:eastAsia="宋体" w:cs="宋体"/>
          <w:color w:val="auto"/>
          <w:szCs w:val="21"/>
          <w:highlight w:val="none"/>
          <w:lang w:val="en-US" w:eastAsia="zh-CN"/>
        </w:rPr>
        <w:t>评标委员会成员</w:t>
      </w:r>
      <w:r>
        <w:rPr>
          <w:rFonts w:hint="eastAsia" w:ascii="宋体" w:hAnsi="宋体" w:eastAsia="宋体" w:cs="宋体"/>
          <w:color w:val="auto"/>
          <w:szCs w:val="21"/>
          <w:highlight w:val="none"/>
          <w:lang w:val="zh-CN"/>
        </w:rPr>
        <w:t>签字）要求投标人作出必要的澄清、说明或者纠正。投标人的澄清、说明或者补正应当采用书面形式，由其授权的代表签字，并不得超出投标文件的范围或者改变投标文件的实质性内容。</w:t>
      </w:r>
    </w:p>
    <w:p w14:paraId="382EB048">
      <w:pPr>
        <w:autoSpaceDE w:val="0"/>
        <w:autoSpaceDN w:val="0"/>
        <w:adjustRightInd w:val="0"/>
        <w:spacing w:line="360" w:lineRule="auto"/>
        <w:ind w:left="330" w:leftChars="-100" w:right="15" w:rightChars="7" w:hanging="540"/>
        <w:rPr>
          <w:rFonts w:ascii="宋体" w:hAnsi="宋体" w:eastAsia="宋体" w:cs="宋体"/>
          <w:color w:val="auto"/>
          <w:szCs w:val="21"/>
          <w:highlight w:val="none"/>
          <w:lang w:val="zh-CN"/>
        </w:rPr>
      </w:pPr>
      <w:bookmarkStart w:id="395" w:name="_Toc450662879"/>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8</w:t>
      </w:r>
      <w:r>
        <w:rPr>
          <w:rFonts w:hint="eastAsia" w:ascii="宋体" w:hAnsi="宋体" w:eastAsia="宋体" w:cs="宋体"/>
          <w:color w:val="auto"/>
          <w:szCs w:val="21"/>
          <w:highlight w:val="none"/>
          <w:lang w:val="zh-CN"/>
        </w:rPr>
        <w:t xml:space="preserve">.2 </w:t>
      </w:r>
      <w:r>
        <w:rPr>
          <w:rFonts w:hint="eastAsia" w:ascii="宋体" w:hAnsi="宋体" w:eastAsia="宋体" w:cs="宋体"/>
          <w:color w:val="auto"/>
          <w:szCs w:val="21"/>
          <w:highlight w:val="none"/>
        </w:rPr>
        <w:t>开标当天</w:t>
      </w:r>
      <w:r>
        <w:rPr>
          <w:rFonts w:hint="eastAsia" w:ascii="宋体" w:hAnsi="宋体" w:eastAsia="宋体" w:cs="宋体"/>
          <w:color w:val="auto"/>
          <w:szCs w:val="21"/>
          <w:highlight w:val="none"/>
          <w:lang w:val="zh-CN"/>
        </w:rPr>
        <w:t>，投标人法定代表人或法定代表人授权书列明的被授权人的联系电话应保持开机状态，以便在</w:t>
      </w:r>
      <w:r>
        <w:rPr>
          <w:rFonts w:hint="eastAsia" w:ascii="宋体" w:hAnsi="宋体" w:eastAsia="宋体" w:cs="宋体"/>
          <w:color w:val="auto"/>
          <w:szCs w:val="21"/>
          <w:highlight w:val="none"/>
          <w:lang w:val="en-US" w:eastAsia="zh-CN"/>
        </w:rPr>
        <w:t>评</w:t>
      </w:r>
      <w:r>
        <w:rPr>
          <w:rFonts w:hint="eastAsia" w:ascii="宋体" w:hAnsi="宋体" w:eastAsia="宋体" w:cs="宋体"/>
          <w:color w:val="auto"/>
          <w:szCs w:val="21"/>
          <w:highlight w:val="none"/>
          <w:lang w:val="zh-CN"/>
        </w:rPr>
        <w:t>标期间，评标委员会要求投标人对投标文件进行澄清时能够收到有关通知，否则视为投标人放弃澄清的权利，对评标委员会就该项内容的评审意见无异议。因此温馨提示各投标人：编制投标文件时，请认真填写本项目递交投标文件时法定代表人或法定代表人授权书列明的被授权人的联系电话，如招标文件</w:t>
      </w:r>
      <w:r>
        <w:rPr>
          <w:rFonts w:hint="eastAsia" w:ascii="宋体" w:hAnsi="宋体" w:eastAsia="宋体" w:cs="宋体"/>
          <w:color w:val="auto"/>
          <w:szCs w:val="21"/>
          <w:highlight w:val="none"/>
          <w:lang w:val="en-US" w:eastAsia="zh-CN"/>
        </w:rPr>
        <w:t>第六篇</w:t>
      </w:r>
      <w:r>
        <w:rPr>
          <w:rFonts w:hint="eastAsia" w:ascii="宋体" w:hAnsi="宋体" w:eastAsia="宋体" w:cs="宋体"/>
          <w:color w:val="auto"/>
          <w:szCs w:val="21"/>
          <w:highlight w:val="none"/>
          <w:lang w:val="zh-CN"/>
        </w:rPr>
        <w:t>投标文件格式“投标函”</w:t>
      </w:r>
      <w:r>
        <w:rPr>
          <w:rFonts w:hint="eastAsia" w:ascii="宋体" w:hAnsi="宋体" w:eastAsia="宋体" w:cs="宋体"/>
          <w:color w:val="auto"/>
          <w:szCs w:val="21"/>
          <w:highlight w:val="none"/>
          <w:lang w:val="en-US" w:eastAsia="zh-CN"/>
        </w:rPr>
        <w:t>和“法定代表人授权书”</w:t>
      </w:r>
      <w:r>
        <w:rPr>
          <w:rFonts w:hint="eastAsia" w:ascii="宋体" w:hAnsi="宋体" w:eastAsia="宋体" w:cs="宋体"/>
          <w:color w:val="auto"/>
          <w:szCs w:val="21"/>
          <w:highlight w:val="none"/>
          <w:lang w:val="zh-CN"/>
        </w:rPr>
        <w:t>中的</w:t>
      </w:r>
      <w:r>
        <w:rPr>
          <w:rFonts w:hint="eastAsia" w:ascii="宋体" w:hAnsi="宋体" w:eastAsia="宋体" w:cs="宋体"/>
          <w:color w:val="auto"/>
          <w:szCs w:val="21"/>
          <w:highlight w:val="none"/>
          <w:lang w:val="en-US" w:eastAsia="zh-CN"/>
        </w:rPr>
        <w:t>联系方式及电子邮箱</w:t>
      </w:r>
      <w:r>
        <w:rPr>
          <w:rFonts w:hint="eastAsia" w:ascii="宋体" w:hAnsi="宋体" w:eastAsia="宋体" w:cs="宋体"/>
          <w:color w:val="auto"/>
          <w:szCs w:val="21"/>
          <w:highlight w:val="none"/>
          <w:lang w:val="zh-CN"/>
        </w:rPr>
        <w:t>，以便能及时收到澄清通知。</w:t>
      </w:r>
    </w:p>
    <w:p w14:paraId="3998D36E">
      <w:pPr>
        <w:autoSpaceDE w:val="0"/>
        <w:autoSpaceDN w:val="0"/>
        <w:adjustRightInd w:val="0"/>
        <w:spacing w:line="360" w:lineRule="auto"/>
        <w:ind w:left="330" w:leftChars="-100" w:right="15" w:rightChars="7" w:hanging="540"/>
        <w:rPr>
          <w:rFonts w:ascii="宋体" w:hAnsi="宋体" w:eastAsia="宋体" w:cs="宋体"/>
          <w:color w:val="auto"/>
          <w:szCs w:val="21"/>
          <w:highlight w:val="none"/>
          <w:lang w:val="zh-CN"/>
        </w:rPr>
      </w:pPr>
    </w:p>
    <w:bookmarkEnd w:id="395"/>
    <w:p w14:paraId="512E0C66">
      <w:pPr>
        <w:tabs>
          <w:tab w:val="left" w:pos="525"/>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96" w:name="_Toc18368_WPSOffice_Level3"/>
      <w:bookmarkStart w:id="397" w:name="_Toc30005"/>
      <w:bookmarkStart w:id="398" w:name="_Toc10967"/>
      <w:bookmarkStart w:id="399" w:name="_Toc17061"/>
      <w:bookmarkStart w:id="400" w:name="_Toc5783"/>
      <w:bookmarkStart w:id="401" w:name="_Toc195714249"/>
      <w:bookmarkStart w:id="402" w:name="_Toc6381"/>
      <w:bookmarkStart w:id="403" w:name="_Toc522047355"/>
      <w:bookmarkStart w:id="404" w:name="_Toc521918096"/>
      <w:bookmarkStart w:id="405" w:name="_Toc9860"/>
      <w:bookmarkStart w:id="406" w:name="_Toc142508343"/>
      <w:bookmarkStart w:id="407" w:name="_Toc22065"/>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对投标文件的比较和评价</w:t>
      </w:r>
      <w:bookmarkEnd w:id="396"/>
      <w:bookmarkEnd w:id="397"/>
      <w:bookmarkEnd w:id="398"/>
      <w:bookmarkEnd w:id="399"/>
      <w:bookmarkEnd w:id="400"/>
      <w:bookmarkEnd w:id="401"/>
      <w:bookmarkEnd w:id="402"/>
      <w:bookmarkEnd w:id="403"/>
      <w:bookmarkEnd w:id="404"/>
      <w:bookmarkEnd w:id="405"/>
      <w:bookmarkEnd w:id="406"/>
      <w:bookmarkEnd w:id="407"/>
    </w:p>
    <w:p w14:paraId="73B6F911">
      <w:pPr>
        <w:keepNext w:val="0"/>
        <w:keepLines w:val="0"/>
        <w:pageBreakBefore w:val="0"/>
        <w:widowControl w:val="0"/>
        <w:tabs>
          <w:tab w:val="left" w:pos="540"/>
        </w:tabs>
        <w:kinsoku/>
        <w:wordWrap/>
        <w:overflowPunct/>
        <w:topLinePunct w:val="0"/>
        <w:autoSpaceDE w:val="0"/>
        <w:autoSpaceDN w:val="0"/>
        <w:bidi w:val="0"/>
        <w:adjustRightInd w:val="0"/>
        <w:spacing w:line="336" w:lineRule="auto"/>
        <w:ind w:left="330" w:leftChars="-100" w:right="15" w:rightChars="7" w:hanging="540"/>
        <w:textAlignment w:val="auto"/>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评标委员会将对资格性检查和符合性检查合格的投标文件进行比较和评价，包括商务、技术的详细评审。</w:t>
      </w:r>
    </w:p>
    <w:p w14:paraId="39502A8C">
      <w:pPr>
        <w:keepNext w:val="0"/>
        <w:keepLines w:val="0"/>
        <w:pageBreakBefore w:val="0"/>
        <w:widowControl w:val="0"/>
        <w:kinsoku/>
        <w:wordWrap/>
        <w:overflowPunct/>
        <w:topLinePunct w:val="0"/>
        <w:autoSpaceDE w:val="0"/>
        <w:autoSpaceDN w:val="0"/>
        <w:bidi w:val="0"/>
        <w:adjustRightInd w:val="0"/>
        <w:spacing w:line="336" w:lineRule="auto"/>
        <w:ind w:left="330" w:leftChars="-100" w:right="15" w:rightChars="7" w:hanging="540"/>
        <w:textAlignment w:val="auto"/>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对投标文件商务的评审详见</w:t>
      </w:r>
      <w:r>
        <w:rPr>
          <w:rFonts w:hint="eastAsia" w:ascii="宋体" w:hAnsi="宋体" w:eastAsia="宋体" w:cs="宋体"/>
          <w:color w:val="auto"/>
          <w:szCs w:val="21"/>
          <w:highlight w:val="none"/>
          <w:lang w:val="en-US" w:eastAsia="zh-CN"/>
        </w:rPr>
        <w:t>评标</w:t>
      </w:r>
      <w:r>
        <w:rPr>
          <w:rFonts w:hint="eastAsia" w:ascii="宋体" w:hAnsi="宋体" w:eastAsia="宋体" w:cs="宋体"/>
          <w:color w:val="auto"/>
          <w:szCs w:val="21"/>
          <w:highlight w:val="none"/>
          <w:lang w:val="zh-CN"/>
        </w:rPr>
        <w:t>工作大纲。</w:t>
      </w:r>
    </w:p>
    <w:p w14:paraId="515DAFDA">
      <w:pPr>
        <w:keepNext w:val="0"/>
        <w:keepLines w:val="0"/>
        <w:pageBreakBefore w:val="0"/>
        <w:widowControl w:val="0"/>
        <w:kinsoku/>
        <w:wordWrap/>
        <w:overflowPunct/>
        <w:topLinePunct w:val="0"/>
        <w:autoSpaceDE w:val="0"/>
        <w:autoSpaceDN w:val="0"/>
        <w:bidi w:val="0"/>
        <w:adjustRightInd w:val="0"/>
        <w:spacing w:line="336" w:lineRule="auto"/>
        <w:ind w:left="330" w:leftChars="-100" w:right="15" w:rightChars="7" w:hanging="540"/>
        <w:textAlignment w:val="auto"/>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对投标文件技术的评审详见评</w:t>
      </w:r>
      <w:r>
        <w:rPr>
          <w:rFonts w:hint="eastAsia" w:ascii="宋体" w:hAnsi="宋体" w:eastAsia="宋体" w:cs="宋体"/>
          <w:color w:val="auto"/>
          <w:szCs w:val="21"/>
          <w:highlight w:val="none"/>
          <w:lang w:val="en-US" w:eastAsia="zh-CN"/>
        </w:rPr>
        <w:t>标</w:t>
      </w:r>
      <w:r>
        <w:rPr>
          <w:rFonts w:hint="eastAsia" w:ascii="宋体" w:hAnsi="宋体" w:eastAsia="宋体" w:cs="宋体"/>
          <w:color w:val="auto"/>
          <w:szCs w:val="21"/>
          <w:highlight w:val="none"/>
          <w:lang w:val="zh-CN"/>
        </w:rPr>
        <w:t>工作大纲。</w:t>
      </w:r>
    </w:p>
    <w:p w14:paraId="61DBF0CF">
      <w:pPr>
        <w:keepNext w:val="0"/>
        <w:keepLines w:val="0"/>
        <w:pageBreakBefore w:val="0"/>
        <w:widowControl w:val="0"/>
        <w:kinsoku/>
        <w:wordWrap/>
        <w:overflowPunct/>
        <w:topLinePunct w:val="0"/>
        <w:autoSpaceDE w:val="0"/>
        <w:autoSpaceDN w:val="0"/>
        <w:bidi w:val="0"/>
        <w:adjustRightInd w:val="0"/>
        <w:spacing w:line="336" w:lineRule="auto"/>
        <w:ind w:left="330" w:leftChars="-100" w:right="15" w:rightChars="7" w:hanging="540"/>
        <w:textAlignment w:val="auto"/>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本次评</w:t>
      </w:r>
      <w:r>
        <w:rPr>
          <w:rFonts w:hint="eastAsia" w:ascii="宋体" w:hAnsi="宋体" w:eastAsia="宋体" w:cs="宋体"/>
          <w:color w:val="auto"/>
          <w:szCs w:val="21"/>
          <w:highlight w:val="none"/>
          <w:lang w:val="en-US" w:eastAsia="zh-CN"/>
        </w:rPr>
        <w:t>标</w:t>
      </w:r>
      <w:r>
        <w:rPr>
          <w:rFonts w:hint="eastAsia" w:ascii="宋体" w:hAnsi="宋体" w:eastAsia="宋体" w:cs="宋体"/>
          <w:color w:val="auto"/>
          <w:szCs w:val="21"/>
          <w:highlight w:val="none"/>
          <w:lang w:val="zh-CN"/>
        </w:rPr>
        <w:t>的评分权重详见评</w:t>
      </w:r>
      <w:r>
        <w:rPr>
          <w:rFonts w:hint="eastAsia" w:ascii="宋体" w:hAnsi="宋体" w:eastAsia="宋体" w:cs="宋体"/>
          <w:color w:val="auto"/>
          <w:szCs w:val="21"/>
          <w:highlight w:val="none"/>
          <w:lang w:val="en-US" w:eastAsia="zh-CN"/>
        </w:rPr>
        <w:t>标</w:t>
      </w:r>
      <w:r>
        <w:rPr>
          <w:rFonts w:hint="eastAsia" w:ascii="宋体" w:hAnsi="宋体" w:eastAsia="宋体" w:cs="宋体"/>
          <w:color w:val="auto"/>
          <w:szCs w:val="21"/>
          <w:highlight w:val="none"/>
          <w:lang w:val="zh-CN"/>
        </w:rPr>
        <w:t>工作大纲。</w:t>
      </w:r>
    </w:p>
    <w:p w14:paraId="6591B1B7">
      <w:pPr>
        <w:keepNext w:val="0"/>
        <w:keepLines w:val="0"/>
        <w:pageBreakBefore w:val="0"/>
        <w:widowControl w:val="0"/>
        <w:kinsoku/>
        <w:wordWrap/>
        <w:overflowPunct/>
        <w:topLinePunct w:val="0"/>
        <w:autoSpaceDE w:val="0"/>
        <w:autoSpaceDN w:val="0"/>
        <w:bidi w:val="0"/>
        <w:adjustRightInd w:val="0"/>
        <w:spacing w:line="336" w:lineRule="auto"/>
        <w:ind w:left="330" w:leftChars="-100" w:right="15" w:rightChars="7" w:hanging="540"/>
        <w:textAlignment w:val="auto"/>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根据上述商务、技术综合</w:t>
      </w:r>
      <w:r>
        <w:rPr>
          <w:rFonts w:hint="eastAsia" w:ascii="宋体" w:hAnsi="宋体" w:eastAsia="宋体" w:cs="宋体"/>
          <w:color w:val="auto"/>
          <w:szCs w:val="21"/>
          <w:highlight w:val="none"/>
          <w:lang w:val="en-US" w:eastAsia="zh-CN"/>
        </w:rPr>
        <w:t>评标</w:t>
      </w:r>
      <w:r>
        <w:rPr>
          <w:rFonts w:hint="eastAsia" w:ascii="宋体" w:hAnsi="宋体" w:eastAsia="宋体" w:cs="宋体"/>
          <w:color w:val="auto"/>
          <w:szCs w:val="21"/>
          <w:highlight w:val="none"/>
          <w:lang w:val="zh-CN"/>
        </w:rPr>
        <w:t>的权重分配计算出各投标人的综合得分。</w:t>
      </w:r>
    </w:p>
    <w:p w14:paraId="79D7122E">
      <w:pPr>
        <w:keepNext w:val="0"/>
        <w:keepLines w:val="0"/>
        <w:pageBreakBefore w:val="0"/>
        <w:widowControl w:val="0"/>
        <w:tabs>
          <w:tab w:val="left" w:pos="567"/>
        </w:tabs>
        <w:kinsoku/>
        <w:wordWrap/>
        <w:overflowPunct/>
        <w:topLinePunct w:val="0"/>
        <w:autoSpaceDE w:val="0"/>
        <w:autoSpaceDN w:val="0"/>
        <w:bidi w:val="0"/>
        <w:adjustRightInd w:val="0"/>
        <w:spacing w:line="336" w:lineRule="auto"/>
        <w:ind w:left="357" w:leftChars="-100" w:hanging="567"/>
        <w:jc w:val="left"/>
        <w:textAlignment w:val="auto"/>
        <w:rPr>
          <w:rFonts w:ascii="宋体" w:hAnsi="宋体" w:eastAsia="宋体" w:cs="宋体"/>
          <w:color w:val="auto"/>
          <w:szCs w:val="21"/>
          <w:highlight w:val="none"/>
          <w:lang w:val="zh-CN"/>
        </w:rPr>
      </w:pPr>
      <w:bookmarkStart w:id="408" w:name="_Toc522047356"/>
      <w:bookmarkStart w:id="409" w:name="_Toc521918097"/>
    </w:p>
    <w:p w14:paraId="68A3F7B7">
      <w:pPr>
        <w:keepNext w:val="0"/>
        <w:keepLines w:val="0"/>
        <w:pageBreakBefore w:val="0"/>
        <w:widowControl w:val="0"/>
        <w:tabs>
          <w:tab w:val="left" w:pos="567"/>
        </w:tabs>
        <w:kinsoku/>
        <w:wordWrap/>
        <w:overflowPunct/>
        <w:topLinePunct w:val="0"/>
        <w:autoSpaceDE w:val="0"/>
        <w:autoSpaceDN w:val="0"/>
        <w:bidi w:val="0"/>
        <w:adjustRightInd w:val="0"/>
        <w:spacing w:line="336" w:lineRule="auto"/>
        <w:ind w:left="357" w:leftChars="-100" w:hanging="567"/>
        <w:jc w:val="left"/>
        <w:textAlignment w:val="auto"/>
        <w:outlineLvl w:val="2"/>
        <w:rPr>
          <w:rFonts w:ascii="宋体" w:hAnsi="宋体" w:eastAsia="宋体" w:cs="宋体"/>
          <w:color w:val="auto"/>
          <w:szCs w:val="21"/>
          <w:highlight w:val="none"/>
          <w:lang w:val="zh-CN"/>
        </w:rPr>
      </w:pPr>
      <w:bookmarkStart w:id="410" w:name="_Toc14804"/>
      <w:bookmarkStart w:id="411" w:name="_Toc19185"/>
      <w:bookmarkStart w:id="412" w:name="_Toc21460_WPSOffice_Level3"/>
      <w:bookmarkStart w:id="413" w:name="_Toc26504"/>
      <w:bookmarkStart w:id="414" w:name="_Toc27950"/>
      <w:bookmarkStart w:id="415" w:name="_Toc25952"/>
      <w:bookmarkStart w:id="416" w:name="_Toc27026"/>
      <w:bookmarkStart w:id="417" w:name="_Toc195714250"/>
      <w:bookmarkStart w:id="418" w:name="_Toc142508344"/>
      <w:bookmarkStart w:id="419" w:name="_Toc1500"/>
      <w:r>
        <w:rPr>
          <w:rFonts w:hint="eastAsia" w:ascii="宋体" w:hAnsi="宋体" w:eastAsia="宋体" w:cs="宋体"/>
          <w:color w:val="auto"/>
          <w:szCs w:val="21"/>
          <w:highlight w:val="none"/>
        </w:rPr>
        <w:t>30</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评</w:t>
      </w:r>
      <w:r>
        <w:rPr>
          <w:rFonts w:hint="eastAsia" w:ascii="宋体" w:hAnsi="宋体" w:eastAsia="宋体" w:cs="宋体"/>
          <w:color w:val="auto"/>
          <w:szCs w:val="21"/>
          <w:highlight w:val="none"/>
          <w:lang w:val="en-US" w:eastAsia="zh-CN"/>
        </w:rPr>
        <w:t>标</w:t>
      </w:r>
      <w:r>
        <w:rPr>
          <w:rFonts w:hint="eastAsia" w:ascii="宋体" w:hAnsi="宋体" w:eastAsia="宋体" w:cs="宋体"/>
          <w:color w:val="auto"/>
          <w:szCs w:val="21"/>
          <w:highlight w:val="none"/>
          <w:lang w:val="zh-CN"/>
        </w:rPr>
        <w:t>原则及方法</w:t>
      </w:r>
      <w:bookmarkEnd w:id="408"/>
      <w:bookmarkEnd w:id="409"/>
      <w:bookmarkEnd w:id="410"/>
      <w:bookmarkEnd w:id="411"/>
      <w:bookmarkEnd w:id="412"/>
      <w:bookmarkEnd w:id="413"/>
      <w:bookmarkEnd w:id="414"/>
      <w:bookmarkEnd w:id="415"/>
      <w:bookmarkEnd w:id="416"/>
      <w:bookmarkEnd w:id="417"/>
      <w:bookmarkEnd w:id="418"/>
      <w:bookmarkEnd w:id="419"/>
    </w:p>
    <w:p w14:paraId="27BE9C11">
      <w:pPr>
        <w:keepNext w:val="0"/>
        <w:keepLines w:val="0"/>
        <w:pageBreakBefore w:val="0"/>
        <w:widowControl w:val="0"/>
        <w:tabs>
          <w:tab w:val="left" w:pos="567"/>
        </w:tabs>
        <w:kinsoku/>
        <w:wordWrap/>
        <w:overflowPunct/>
        <w:topLinePunct w:val="0"/>
        <w:autoSpaceDE w:val="0"/>
        <w:autoSpaceDN w:val="0"/>
        <w:bidi w:val="0"/>
        <w:adjustRightInd w:val="0"/>
        <w:spacing w:line="336" w:lineRule="auto"/>
        <w:ind w:left="357" w:leftChars="-100" w:hanging="567"/>
        <w:textAlignment w:val="auto"/>
        <w:rPr>
          <w:rFonts w:ascii="宋体" w:hAnsi="宋体" w:eastAsia="宋体" w:cs="宋体"/>
          <w:color w:val="auto"/>
          <w:szCs w:val="21"/>
          <w:highlight w:val="none"/>
          <w:lang w:val="zh-CN"/>
        </w:rPr>
      </w:pPr>
      <w:r>
        <w:rPr>
          <w:rFonts w:hint="eastAsia" w:ascii="宋体" w:hAnsi="宋体" w:eastAsia="宋体" w:cs="宋体"/>
          <w:color w:val="auto"/>
          <w:szCs w:val="21"/>
          <w:highlight w:val="none"/>
        </w:rPr>
        <w:t>30</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对所有投标文件的评审，都采用相同的程序和标准。按步骤先进行初步评审，再进行商务、技术评审。</w:t>
      </w:r>
    </w:p>
    <w:p w14:paraId="0C64B514">
      <w:pPr>
        <w:keepNext w:val="0"/>
        <w:keepLines w:val="0"/>
        <w:pageBreakBefore w:val="0"/>
        <w:widowControl w:val="0"/>
        <w:tabs>
          <w:tab w:val="left" w:pos="360"/>
        </w:tabs>
        <w:kinsoku/>
        <w:wordWrap/>
        <w:overflowPunct/>
        <w:topLinePunct w:val="0"/>
        <w:autoSpaceDE w:val="0"/>
        <w:autoSpaceDN w:val="0"/>
        <w:bidi w:val="0"/>
        <w:adjustRightInd w:val="0"/>
        <w:spacing w:line="336" w:lineRule="auto"/>
        <w:ind w:left="330" w:leftChars="-100" w:right="44" w:rightChars="21" w:hanging="540"/>
        <w:textAlignment w:val="auto"/>
        <w:rPr>
          <w:rFonts w:ascii="宋体" w:hAnsi="宋体" w:eastAsia="宋体" w:cs="宋体"/>
          <w:color w:val="auto"/>
          <w:szCs w:val="21"/>
          <w:highlight w:val="none"/>
          <w:lang w:val="zh-CN"/>
        </w:rPr>
      </w:pPr>
      <w:r>
        <w:rPr>
          <w:rFonts w:hint="eastAsia" w:ascii="宋体" w:hAnsi="宋体" w:eastAsia="宋体" w:cs="宋体"/>
          <w:color w:val="auto"/>
          <w:szCs w:val="21"/>
          <w:highlight w:val="none"/>
        </w:rPr>
        <w:t>30</w:t>
      </w:r>
      <w:r>
        <w:rPr>
          <w:rFonts w:hint="eastAsia" w:ascii="宋体" w:hAnsi="宋体" w:eastAsia="宋体" w:cs="宋体"/>
          <w:color w:val="auto"/>
          <w:szCs w:val="21"/>
          <w:highlight w:val="none"/>
          <w:lang w:val="zh-CN"/>
        </w:rPr>
        <w:t>.2 评</w:t>
      </w:r>
      <w:r>
        <w:rPr>
          <w:rFonts w:hint="eastAsia" w:ascii="宋体" w:hAnsi="宋体" w:eastAsia="宋体" w:cs="宋体"/>
          <w:color w:val="auto"/>
          <w:szCs w:val="21"/>
          <w:highlight w:val="none"/>
          <w:lang w:val="en-US" w:eastAsia="zh-CN"/>
        </w:rPr>
        <w:t>标</w:t>
      </w:r>
      <w:r>
        <w:rPr>
          <w:rFonts w:hint="eastAsia" w:ascii="宋体" w:hAnsi="宋体" w:eastAsia="宋体" w:cs="宋体"/>
          <w:color w:val="auto"/>
          <w:szCs w:val="21"/>
          <w:highlight w:val="none"/>
          <w:lang w:val="zh-CN"/>
        </w:rPr>
        <w:t>严格按照招标文件的要求和条件进行。</w:t>
      </w:r>
    </w:p>
    <w:p w14:paraId="3617B16E">
      <w:pPr>
        <w:keepNext w:val="0"/>
        <w:keepLines w:val="0"/>
        <w:pageBreakBefore w:val="0"/>
        <w:widowControl w:val="0"/>
        <w:tabs>
          <w:tab w:val="left" w:pos="360"/>
        </w:tabs>
        <w:kinsoku/>
        <w:wordWrap/>
        <w:overflowPunct/>
        <w:topLinePunct w:val="0"/>
        <w:autoSpaceDE w:val="0"/>
        <w:autoSpaceDN w:val="0"/>
        <w:bidi w:val="0"/>
        <w:adjustRightInd w:val="0"/>
        <w:spacing w:line="336" w:lineRule="auto"/>
        <w:ind w:left="330" w:leftChars="-100" w:right="44" w:rightChars="21" w:hanging="540"/>
        <w:textAlignment w:val="auto"/>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     在评</w:t>
      </w:r>
      <w:r>
        <w:rPr>
          <w:rFonts w:hint="eastAsia" w:ascii="宋体" w:hAnsi="宋体" w:eastAsia="宋体" w:cs="宋体"/>
          <w:color w:val="auto"/>
          <w:szCs w:val="21"/>
          <w:highlight w:val="none"/>
          <w:lang w:val="en-US" w:eastAsia="zh-CN"/>
        </w:rPr>
        <w:t>标</w:t>
      </w:r>
      <w:r>
        <w:rPr>
          <w:rFonts w:hint="eastAsia" w:ascii="宋体" w:hAnsi="宋体" w:eastAsia="宋体" w:cs="宋体"/>
          <w:color w:val="auto"/>
          <w:szCs w:val="21"/>
          <w:highlight w:val="none"/>
          <w:lang w:val="zh-CN"/>
        </w:rPr>
        <w:t>时将根据第</w:t>
      </w:r>
      <w:r>
        <w:rPr>
          <w:rFonts w:hint="eastAsia" w:ascii="宋体" w:hAnsi="宋体" w:eastAsia="宋体" w:cs="宋体"/>
          <w:color w:val="auto"/>
          <w:szCs w:val="21"/>
          <w:highlight w:val="none"/>
        </w:rPr>
        <w:t>29</w:t>
      </w:r>
      <w:r>
        <w:rPr>
          <w:rFonts w:hint="eastAsia" w:ascii="宋体" w:hAnsi="宋体" w:eastAsia="宋体" w:cs="Times New Roman"/>
          <w:color w:val="auto"/>
          <w:szCs w:val="21"/>
          <w:highlight w:val="none"/>
          <w:lang w:val="zh-CN"/>
        </w:rPr>
        <w:t>条</w:t>
      </w:r>
      <w:r>
        <w:rPr>
          <w:rFonts w:hint="eastAsia" w:ascii="宋体" w:hAnsi="宋体" w:eastAsia="宋体" w:cs="宋体"/>
          <w:color w:val="auto"/>
          <w:szCs w:val="21"/>
          <w:highlight w:val="none"/>
          <w:lang w:val="zh-CN"/>
        </w:rPr>
        <w:t>，采用综合评分法的评审方法，对所有实质响应性投标文件进行综合打分。</w:t>
      </w:r>
    </w:p>
    <w:p w14:paraId="2A0C93B3">
      <w:pPr>
        <w:keepNext w:val="0"/>
        <w:keepLines w:val="0"/>
        <w:pageBreakBefore w:val="0"/>
        <w:widowControl w:val="0"/>
        <w:tabs>
          <w:tab w:val="left" w:pos="360"/>
        </w:tabs>
        <w:kinsoku/>
        <w:wordWrap/>
        <w:overflowPunct/>
        <w:topLinePunct w:val="0"/>
        <w:autoSpaceDE w:val="0"/>
        <w:autoSpaceDN w:val="0"/>
        <w:bidi w:val="0"/>
        <w:adjustRightInd w:val="0"/>
        <w:spacing w:line="336" w:lineRule="auto"/>
        <w:ind w:left="330" w:leftChars="-100" w:right="44" w:rightChars="21" w:hanging="540"/>
        <w:textAlignment w:val="auto"/>
        <w:rPr>
          <w:rFonts w:hint="eastAsia" w:ascii="宋体" w:hAnsi="宋体" w:eastAsia="宋体" w:cs="宋体"/>
          <w:b/>
          <w:bCs/>
          <w:color w:val="auto"/>
          <w:szCs w:val="21"/>
          <w:highlight w:val="none"/>
          <w:lang w:val="zh-CN"/>
        </w:rPr>
      </w:pPr>
      <w:r>
        <w:rPr>
          <w:rFonts w:hint="eastAsia" w:ascii="宋体" w:hAnsi="宋体" w:eastAsia="宋体" w:cs="宋体"/>
          <w:b/>
          <w:bCs/>
          <w:color w:val="auto"/>
          <w:szCs w:val="21"/>
          <w:highlight w:val="none"/>
        </w:rPr>
        <w:t>30</w:t>
      </w:r>
      <w:r>
        <w:rPr>
          <w:rFonts w:hint="eastAsia" w:ascii="宋体" w:hAnsi="宋体" w:eastAsia="宋体" w:cs="宋体"/>
          <w:b/>
          <w:bCs/>
          <w:color w:val="auto"/>
          <w:szCs w:val="21"/>
          <w:highlight w:val="none"/>
          <w:lang w:val="zh-CN"/>
        </w:rPr>
        <w:t xml:space="preserve">.3 </w:t>
      </w:r>
      <w:r>
        <w:rPr>
          <w:rFonts w:hint="eastAsia" w:ascii="宋体" w:hAnsi="宋体" w:eastAsia="宋体" w:cs="宋体"/>
          <w:b/>
          <w:bCs/>
          <w:color w:val="auto"/>
          <w:szCs w:val="21"/>
          <w:highlight w:val="none"/>
          <w:lang w:val="en-US" w:eastAsia="zh-CN"/>
        </w:rPr>
        <w:t>若本次招标过程中，参与投标的投标人不足3个时，本项目公开招标失败。经评标委员会评审，当有效投标人只有2个时，经评标委员会论证，招标文件没有不合理条款、招标程序符合规定的，本项目将根据招标文件附件一 评标工作大纲的要求继续进行评审；当有效投标人只有1个时，本项目公开招标失败。</w:t>
      </w:r>
    </w:p>
    <w:p w14:paraId="0A6C87E8">
      <w:pPr>
        <w:keepNext w:val="0"/>
        <w:keepLines w:val="0"/>
        <w:pageBreakBefore w:val="0"/>
        <w:widowControl w:val="0"/>
        <w:tabs>
          <w:tab w:val="left" w:pos="360"/>
        </w:tabs>
        <w:kinsoku/>
        <w:wordWrap/>
        <w:overflowPunct/>
        <w:topLinePunct w:val="0"/>
        <w:autoSpaceDE w:val="0"/>
        <w:autoSpaceDN w:val="0"/>
        <w:bidi w:val="0"/>
        <w:adjustRightInd w:val="0"/>
        <w:spacing w:line="336" w:lineRule="auto"/>
        <w:ind w:left="330" w:leftChars="-100" w:right="44" w:rightChars="21" w:hanging="540"/>
        <w:textAlignment w:val="auto"/>
        <w:rPr>
          <w:rFonts w:ascii="宋体" w:hAnsi="宋体" w:eastAsia="宋体" w:cs="宋体"/>
          <w:color w:val="auto"/>
          <w:szCs w:val="21"/>
          <w:highlight w:val="none"/>
          <w:lang w:val="zh-CN"/>
        </w:rPr>
      </w:pPr>
    </w:p>
    <w:p w14:paraId="5A56ECFF">
      <w:pPr>
        <w:keepNext w:val="0"/>
        <w:keepLines w:val="0"/>
        <w:pageBreakBefore w:val="0"/>
        <w:widowControl w:val="0"/>
        <w:tabs>
          <w:tab w:val="left" w:pos="525"/>
        </w:tabs>
        <w:kinsoku/>
        <w:wordWrap/>
        <w:overflowPunct/>
        <w:topLinePunct w:val="0"/>
        <w:autoSpaceDE w:val="0"/>
        <w:autoSpaceDN w:val="0"/>
        <w:bidi w:val="0"/>
        <w:adjustRightInd w:val="0"/>
        <w:spacing w:line="336" w:lineRule="auto"/>
        <w:ind w:left="357" w:leftChars="-100" w:hanging="567"/>
        <w:jc w:val="left"/>
        <w:textAlignment w:val="auto"/>
        <w:outlineLvl w:val="2"/>
        <w:rPr>
          <w:rFonts w:ascii="宋体" w:hAnsi="宋体" w:eastAsia="宋体" w:cs="宋体"/>
          <w:color w:val="auto"/>
          <w:szCs w:val="21"/>
          <w:highlight w:val="none"/>
          <w:lang w:val="zh-CN"/>
        </w:rPr>
      </w:pPr>
      <w:bookmarkStart w:id="420" w:name="_Toc142508345"/>
      <w:bookmarkStart w:id="421" w:name="_Toc4819"/>
      <w:bookmarkStart w:id="422" w:name="_Toc17734"/>
      <w:bookmarkStart w:id="423" w:name="_Toc6596"/>
      <w:bookmarkStart w:id="424" w:name="_Toc466882017"/>
      <w:bookmarkStart w:id="425" w:name="_Toc11615"/>
      <w:bookmarkStart w:id="426" w:name="_Toc25398"/>
      <w:bookmarkStart w:id="427" w:name="_Toc195714251"/>
      <w:bookmarkStart w:id="428" w:name="_Toc22777"/>
      <w:bookmarkStart w:id="429" w:name="_Toc486167694"/>
      <w:bookmarkStart w:id="430" w:name="_Toc26551"/>
      <w:bookmarkStart w:id="431" w:name="_Toc465358969"/>
      <w:bookmarkStart w:id="432" w:name="_Toc32498_WPSOffice_Level3"/>
      <w:r>
        <w:rPr>
          <w:rFonts w:hint="eastAsia" w:ascii="宋体" w:hAnsi="宋体" w:eastAsia="宋体" w:cs="宋体"/>
          <w:color w:val="auto"/>
          <w:szCs w:val="21"/>
          <w:highlight w:val="none"/>
        </w:rPr>
        <w:t xml:space="preserve">31 </w:t>
      </w:r>
      <w:r>
        <w:rPr>
          <w:rFonts w:hint="eastAsia" w:ascii="宋体" w:hAnsi="宋体" w:eastAsia="宋体" w:cs="宋体"/>
          <w:color w:val="auto"/>
          <w:szCs w:val="21"/>
          <w:highlight w:val="none"/>
          <w:lang w:val="zh-CN"/>
        </w:rPr>
        <w:t>评审结果公</w:t>
      </w:r>
      <w:r>
        <w:rPr>
          <w:rFonts w:hint="eastAsia" w:ascii="宋体" w:hAnsi="宋体" w:eastAsia="宋体" w:cs="Times New Roman"/>
          <w:color w:val="auto"/>
          <w:szCs w:val="21"/>
          <w:highlight w:val="none"/>
          <w:lang w:val="zh-CN"/>
        </w:rPr>
        <w:t>示</w:t>
      </w:r>
      <w:r>
        <w:rPr>
          <w:rFonts w:hint="eastAsia" w:ascii="宋体" w:hAnsi="宋体" w:eastAsia="宋体" w:cs="宋体"/>
          <w:color w:val="auto"/>
          <w:szCs w:val="21"/>
          <w:highlight w:val="none"/>
          <w:lang w:val="zh-CN"/>
        </w:rPr>
        <w:t>及异议、投诉</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64200599">
      <w:pPr>
        <w:keepNext w:val="0"/>
        <w:keepLines w:val="0"/>
        <w:pageBreakBefore w:val="0"/>
        <w:widowControl w:val="0"/>
        <w:tabs>
          <w:tab w:val="left" w:pos="360"/>
        </w:tabs>
        <w:kinsoku/>
        <w:wordWrap/>
        <w:overflowPunct/>
        <w:topLinePunct w:val="0"/>
        <w:autoSpaceDE w:val="0"/>
        <w:autoSpaceDN w:val="0"/>
        <w:bidi w:val="0"/>
        <w:adjustRightInd w:val="0"/>
        <w:spacing w:line="336" w:lineRule="auto"/>
        <w:ind w:left="330" w:leftChars="-100" w:right="44" w:rightChars="21" w:hanging="540"/>
        <w:textAlignment w:val="auto"/>
        <w:rPr>
          <w:rFonts w:ascii="宋体" w:hAnsi="宋体" w:eastAsia="宋体" w:cs="宋体"/>
          <w:color w:val="auto"/>
          <w:szCs w:val="21"/>
          <w:highlight w:val="none"/>
          <w:lang w:val="zh-CN"/>
        </w:rPr>
      </w:pPr>
      <w:r>
        <w:rPr>
          <w:rFonts w:hint="eastAsia" w:ascii="宋体" w:hAnsi="宋体" w:eastAsia="宋体" w:cs="宋体"/>
          <w:color w:val="auto"/>
          <w:szCs w:val="21"/>
          <w:highlight w:val="none"/>
        </w:rPr>
        <w:t>31</w:t>
      </w:r>
      <w:r>
        <w:rPr>
          <w:rFonts w:hint="eastAsia" w:ascii="宋体" w:hAnsi="宋体" w:eastAsia="宋体" w:cs="宋体"/>
          <w:color w:val="auto"/>
          <w:szCs w:val="21"/>
          <w:highlight w:val="none"/>
          <w:lang w:val="zh-CN"/>
        </w:rPr>
        <w:t>.1</w:t>
      </w:r>
      <w:r>
        <w:rPr>
          <w:rFonts w:ascii="宋体" w:hAnsi="宋体" w:eastAsia="宋体" w:cs="宋体"/>
          <w:color w:val="auto"/>
          <w:szCs w:val="21"/>
          <w:highlight w:val="none"/>
          <w:lang w:val="zh-CN"/>
        </w:rPr>
        <w:t xml:space="preserve"> </w:t>
      </w:r>
      <w:r>
        <w:rPr>
          <w:rFonts w:hint="eastAsia" w:ascii="宋体" w:hAnsi="宋体" w:eastAsia="宋体" w:cs="Times New Roman"/>
          <w:color w:val="auto"/>
          <w:szCs w:val="21"/>
          <w:highlight w:val="none"/>
          <w:lang w:val="zh-CN"/>
        </w:rPr>
        <w:t>招标代理机构在</w:t>
      </w:r>
      <w:r>
        <w:rPr>
          <w:rFonts w:hint="eastAsia" w:ascii="宋体" w:hAnsi="宋体" w:eastAsia="宋体" w:cs="Times New Roman"/>
          <w:color w:val="auto"/>
          <w:szCs w:val="21"/>
          <w:highlight w:val="none"/>
          <w:lang w:val="en-US" w:eastAsia="zh-CN"/>
        </w:rPr>
        <w:t>招标</w:t>
      </w:r>
      <w:r>
        <w:rPr>
          <w:rFonts w:hint="eastAsia" w:ascii="宋体" w:hAnsi="宋体" w:eastAsia="宋体" w:cs="Times New Roman"/>
          <w:color w:val="auto"/>
          <w:szCs w:val="21"/>
          <w:highlight w:val="none"/>
          <w:lang w:val="zh-CN"/>
        </w:rPr>
        <w:t>公告发布媒介公示</w:t>
      </w:r>
      <w:r>
        <w:rPr>
          <w:rFonts w:hint="eastAsia" w:ascii="宋体" w:hAnsi="宋体" w:eastAsia="宋体" w:cs="宋体"/>
          <w:color w:val="auto"/>
          <w:szCs w:val="21"/>
          <w:highlight w:val="none"/>
          <w:lang w:val="zh-CN"/>
        </w:rPr>
        <w:t>中标候选人</w:t>
      </w:r>
      <w:r>
        <w:rPr>
          <w:rFonts w:hint="eastAsia" w:ascii="宋体" w:hAnsi="宋体" w:eastAsia="宋体" w:cs="Times New Roman"/>
          <w:color w:val="auto"/>
          <w:szCs w:val="21"/>
          <w:highlight w:val="none"/>
          <w:lang w:val="zh-CN"/>
        </w:rPr>
        <w:t>，公示期不得少于3日（最后一日是节假日或公休日的，应顺延到节假日或公休日后第一个工作日）。投标人或者其他利害关系人对</w:t>
      </w:r>
      <w:r>
        <w:rPr>
          <w:rFonts w:hint="eastAsia" w:ascii="宋体" w:hAnsi="宋体" w:eastAsia="宋体" w:cs="宋体"/>
          <w:color w:val="auto"/>
          <w:szCs w:val="21"/>
          <w:highlight w:val="none"/>
          <w:lang w:val="zh-CN"/>
        </w:rPr>
        <w:t>评标</w:t>
      </w:r>
      <w:r>
        <w:rPr>
          <w:rFonts w:hint="eastAsia" w:ascii="宋体" w:hAnsi="宋体" w:eastAsia="宋体" w:cs="Times New Roman"/>
          <w:color w:val="auto"/>
          <w:szCs w:val="21"/>
          <w:highlight w:val="none"/>
          <w:lang w:val="zh-CN"/>
        </w:rPr>
        <w:t>结果有异议的，应当在</w:t>
      </w:r>
      <w:r>
        <w:rPr>
          <w:rFonts w:hint="eastAsia" w:ascii="宋体" w:hAnsi="宋体" w:eastAsia="宋体" w:cs="宋体"/>
          <w:color w:val="auto"/>
          <w:szCs w:val="21"/>
          <w:highlight w:val="none"/>
          <w:lang w:val="zh-CN"/>
        </w:rPr>
        <w:t>评标</w:t>
      </w:r>
      <w:r>
        <w:rPr>
          <w:rFonts w:hint="eastAsia" w:ascii="宋体" w:hAnsi="宋体" w:eastAsia="宋体" w:cs="Times New Roman"/>
          <w:color w:val="auto"/>
          <w:szCs w:val="21"/>
          <w:highlight w:val="none"/>
        </w:rPr>
        <w:t>结果</w:t>
      </w:r>
      <w:r>
        <w:rPr>
          <w:rFonts w:hint="eastAsia" w:ascii="宋体" w:hAnsi="宋体" w:eastAsia="宋体" w:cs="Times New Roman"/>
          <w:color w:val="auto"/>
          <w:szCs w:val="21"/>
          <w:highlight w:val="none"/>
          <w:lang w:val="zh-CN"/>
        </w:rPr>
        <w:t>公示期间向招标代理机构以书面的形式提出，</w:t>
      </w:r>
      <w:r>
        <w:rPr>
          <w:rFonts w:ascii="宋体" w:hAnsi="宋体" w:eastAsia="宋体" w:cs="Times New Roman"/>
          <w:color w:val="auto"/>
          <w:szCs w:val="21"/>
          <w:highlight w:val="none"/>
          <w:lang w:val="zh-CN"/>
        </w:rPr>
        <w:t>并</w:t>
      </w:r>
      <w:r>
        <w:rPr>
          <w:rFonts w:hint="eastAsia" w:ascii="宋体" w:hAnsi="宋体" w:eastAsia="宋体" w:cs="Times New Roman"/>
          <w:color w:val="auto"/>
          <w:szCs w:val="21"/>
          <w:highlight w:val="none"/>
          <w:lang w:val="zh-CN"/>
        </w:rPr>
        <w:t>将完整的异议书面材料原件</w:t>
      </w:r>
      <w:r>
        <w:rPr>
          <w:rFonts w:ascii="宋体" w:hAnsi="宋体" w:eastAsia="宋体" w:cs="Times New Roman"/>
          <w:color w:val="auto"/>
          <w:szCs w:val="21"/>
          <w:highlight w:val="none"/>
          <w:lang w:val="zh-CN"/>
        </w:rPr>
        <w:t>送</w:t>
      </w:r>
      <w:r>
        <w:rPr>
          <w:rFonts w:hint="eastAsia" w:ascii="宋体" w:hAnsi="宋体" w:eastAsia="宋体" w:cs="Times New Roman"/>
          <w:color w:val="auto"/>
          <w:szCs w:val="21"/>
          <w:highlight w:val="none"/>
          <w:lang w:val="zh-CN"/>
        </w:rPr>
        <w:t>达招标代理机构，</w:t>
      </w:r>
      <w:r>
        <w:rPr>
          <w:rFonts w:ascii="宋体" w:hAnsi="宋体" w:eastAsia="宋体" w:cs="Times New Roman"/>
          <w:color w:val="auto"/>
          <w:szCs w:val="21"/>
          <w:highlight w:val="none"/>
          <w:lang w:val="zh-CN"/>
        </w:rPr>
        <w:t>逾期则视为</w:t>
      </w:r>
      <w:r>
        <w:rPr>
          <w:rFonts w:hint="eastAsia" w:ascii="宋体" w:hAnsi="宋体" w:eastAsia="宋体" w:cs="Times New Roman"/>
          <w:color w:val="auto"/>
          <w:szCs w:val="21"/>
          <w:highlight w:val="none"/>
          <w:lang w:val="zh-CN"/>
        </w:rPr>
        <w:t>对</w:t>
      </w:r>
      <w:r>
        <w:rPr>
          <w:rFonts w:hint="eastAsia" w:ascii="宋体" w:hAnsi="宋体" w:eastAsia="宋体" w:cs="宋体"/>
          <w:color w:val="auto"/>
          <w:szCs w:val="21"/>
          <w:highlight w:val="none"/>
          <w:lang w:val="zh-CN"/>
        </w:rPr>
        <w:t>评标</w:t>
      </w:r>
      <w:r>
        <w:rPr>
          <w:rFonts w:hint="eastAsia" w:ascii="宋体" w:hAnsi="宋体" w:eastAsia="宋体" w:cs="Times New Roman"/>
          <w:color w:val="auto"/>
          <w:szCs w:val="21"/>
          <w:highlight w:val="none"/>
          <w:lang w:val="zh-CN"/>
        </w:rPr>
        <w:t>结果无异议。超出提交异议截止时间而提出的任何疑问，招标代理机构可不予答复</w:t>
      </w:r>
      <w:r>
        <w:rPr>
          <w:rFonts w:hint="eastAsia" w:ascii="宋体" w:hAnsi="宋体" w:eastAsia="宋体" w:cs="宋体"/>
          <w:color w:val="auto"/>
          <w:szCs w:val="21"/>
          <w:highlight w:val="none"/>
          <w:lang w:val="zh-CN"/>
        </w:rPr>
        <w:t>。</w:t>
      </w:r>
    </w:p>
    <w:p w14:paraId="56D93C28">
      <w:pPr>
        <w:keepNext w:val="0"/>
        <w:keepLines w:val="0"/>
        <w:pageBreakBefore w:val="0"/>
        <w:widowControl w:val="0"/>
        <w:kinsoku/>
        <w:wordWrap/>
        <w:overflowPunct/>
        <w:topLinePunct w:val="0"/>
        <w:autoSpaceDE w:val="0"/>
        <w:autoSpaceDN w:val="0"/>
        <w:bidi w:val="0"/>
        <w:adjustRightInd w:val="0"/>
        <w:snapToGrid w:val="0"/>
        <w:spacing w:line="336" w:lineRule="auto"/>
        <w:ind w:left="210" w:leftChars="100" w:firstLine="525" w:firstLineChars="250"/>
        <w:jc w:val="left"/>
        <w:textAlignment w:val="auto"/>
        <w:rPr>
          <w:rFonts w:ascii="宋体" w:hAnsi="宋体" w:eastAsia="宋体" w:cs="宋体"/>
          <w:color w:val="auto"/>
          <w:kern w:val="0"/>
          <w:szCs w:val="21"/>
          <w:highlight w:val="none"/>
          <w:lang w:val="zh-CN"/>
        </w:rPr>
      </w:pPr>
      <w:r>
        <w:rPr>
          <w:rFonts w:hint="eastAsia" w:ascii="宋体" w:hAnsi="宋体" w:eastAsia="宋体" w:cs="Times New Roman"/>
          <w:color w:val="auto"/>
          <w:szCs w:val="21"/>
          <w:highlight w:val="none"/>
          <w:lang w:val="zh-CN"/>
        </w:rPr>
        <w:t>招标代理机构将拒收未能提供完整异议书面材料的异议，完整的异议书面材料必须同时包含：异议书（加盖法人</w:t>
      </w:r>
      <w:r>
        <w:rPr>
          <w:rFonts w:ascii="宋体" w:hAnsi="宋体" w:eastAsia="宋体" w:cs="Times New Roman"/>
          <w:color w:val="auto"/>
          <w:szCs w:val="21"/>
          <w:highlight w:val="none"/>
          <w:lang w:val="zh-CN"/>
        </w:rPr>
        <w:t>公章</w:t>
      </w:r>
      <w:r>
        <w:rPr>
          <w:rFonts w:hint="eastAsia" w:ascii="宋体" w:hAnsi="宋体" w:eastAsia="宋体" w:cs="Times New Roman"/>
          <w:color w:val="auto"/>
          <w:szCs w:val="21"/>
          <w:highlight w:val="none"/>
          <w:lang w:val="zh-CN"/>
        </w:rPr>
        <w:t>，并注明联系人、联系电话、联系地址）、授权提交异议的法定代表人授权书原件、反映异议人主体资格的营业执照复印件（加盖法人</w:t>
      </w:r>
      <w:r>
        <w:rPr>
          <w:rFonts w:ascii="宋体" w:hAnsi="宋体" w:eastAsia="宋体" w:cs="Times New Roman"/>
          <w:color w:val="auto"/>
          <w:szCs w:val="21"/>
          <w:highlight w:val="none"/>
          <w:lang w:val="zh-CN"/>
        </w:rPr>
        <w:t>公章</w:t>
      </w:r>
      <w:r>
        <w:rPr>
          <w:rFonts w:hint="eastAsia" w:ascii="宋体" w:hAnsi="宋体" w:eastAsia="宋体" w:cs="Times New Roman"/>
          <w:color w:val="auto"/>
          <w:szCs w:val="21"/>
          <w:highlight w:val="none"/>
          <w:lang w:val="zh-CN"/>
        </w:rPr>
        <w:t>）、以及合法来源的证据证明材料</w:t>
      </w:r>
      <w:r>
        <w:rPr>
          <w:rFonts w:hint="eastAsia" w:ascii="宋体" w:hAnsi="宋体" w:eastAsia="宋体" w:cs="宋体"/>
          <w:color w:val="auto"/>
          <w:kern w:val="0"/>
          <w:szCs w:val="21"/>
          <w:highlight w:val="none"/>
          <w:lang w:val="zh-CN"/>
        </w:rPr>
        <w:t>。</w:t>
      </w:r>
    </w:p>
    <w:p w14:paraId="70E64736">
      <w:pPr>
        <w:keepNext w:val="0"/>
        <w:keepLines w:val="0"/>
        <w:pageBreakBefore w:val="0"/>
        <w:widowControl w:val="0"/>
        <w:kinsoku/>
        <w:wordWrap/>
        <w:overflowPunct/>
        <w:topLinePunct w:val="0"/>
        <w:autoSpaceDE w:val="0"/>
        <w:autoSpaceDN w:val="0"/>
        <w:bidi w:val="0"/>
        <w:adjustRightInd w:val="0"/>
        <w:spacing w:line="336" w:lineRule="auto"/>
        <w:ind w:left="284" w:hanging="568"/>
        <w:textAlignment w:val="auto"/>
        <w:rPr>
          <w:rFonts w:ascii="宋体" w:hAnsi="宋体" w:eastAsia="宋体" w:cs="Times New Roman"/>
          <w:b/>
          <w:color w:val="auto"/>
          <w:szCs w:val="21"/>
          <w:highlight w:val="none"/>
          <w:lang w:val="zh-CN"/>
        </w:rPr>
      </w:pPr>
      <w:r>
        <w:rPr>
          <w:rFonts w:hint="eastAsia" w:ascii="宋体" w:hAnsi="宋体" w:eastAsia="宋体" w:cs="Times New Roman"/>
          <w:b/>
          <w:color w:val="auto"/>
          <w:szCs w:val="21"/>
          <w:highlight w:val="none"/>
        </w:rPr>
        <w:t xml:space="preserve">31.2 </w:t>
      </w:r>
      <w:r>
        <w:rPr>
          <w:rFonts w:hint="eastAsia" w:ascii="宋体" w:hAnsi="宋体" w:eastAsia="宋体" w:cs="Times New Roman"/>
          <w:b/>
          <w:color w:val="auto"/>
          <w:szCs w:val="21"/>
          <w:highlight w:val="none"/>
          <w:u w:val="single"/>
          <w:lang w:val="zh-CN"/>
        </w:rPr>
        <w:t>结果公示后，招标人有权要求入库候选供应商在结果公示之日起3日（最后一日是节假日或公休日的，应顺延到节假日或公休日后第一个工作日）内提交投标文件中所提供的资格证明文件、业绩证明文件、对招标文件实质性条款响应文件、履约能力证明文件的原件供招标人核查。招标人如有需要，入库候选供应商有义务提供投标文件外其他相关证明资料原件（包括但不限于业绩合同对应的发票等）供招标人核查。招标人如发现入库候选供应商提供虚假证明文件、虚假响应文件等弄虚作假行为骗取</w:t>
      </w:r>
      <w:r>
        <w:rPr>
          <w:rFonts w:hint="eastAsia" w:ascii="宋体" w:hAnsi="宋体" w:eastAsia="宋体" w:cs="宋体"/>
          <w:b/>
          <w:color w:val="auto"/>
          <w:szCs w:val="21"/>
          <w:highlight w:val="none"/>
          <w:u w:val="single"/>
          <w:lang w:val="zh-CN"/>
        </w:rPr>
        <w:t>中标</w:t>
      </w:r>
      <w:r>
        <w:rPr>
          <w:rFonts w:hint="eastAsia" w:ascii="宋体" w:hAnsi="宋体" w:eastAsia="宋体" w:cs="Times New Roman"/>
          <w:b/>
          <w:color w:val="auto"/>
          <w:szCs w:val="21"/>
          <w:highlight w:val="none"/>
          <w:u w:val="single"/>
          <w:lang w:val="zh-CN"/>
        </w:rPr>
        <w:t>的，招标人将取消其</w:t>
      </w:r>
      <w:r>
        <w:rPr>
          <w:rFonts w:hint="eastAsia" w:ascii="宋体" w:hAnsi="宋体" w:eastAsia="宋体" w:cs="宋体"/>
          <w:b/>
          <w:color w:val="auto"/>
          <w:szCs w:val="21"/>
          <w:highlight w:val="none"/>
          <w:u w:val="single"/>
          <w:lang w:val="zh-CN"/>
        </w:rPr>
        <w:t>中标</w:t>
      </w:r>
      <w:r>
        <w:rPr>
          <w:rFonts w:hint="eastAsia" w:ascii="宋体" w:hAnsi="宋体" w:eastAsia="宋体" w:cs="Times New Roman"/>
          <w:b/>
          <w:color w:val="auto"/>
          <w:szCs w:val="21"/>
          <w:highlight w:val="none"/>
          <w:u w:val="single"/>
          <w:lang w:val="zh-CN"/>
        </w:rPr>
        <w:t>资格，不予退还其投标保证金。涉嫌违法犯罪的，将</w:t>
      </w:r>
      <w:r>
        <w:rPr>
          <w:rFonts w:ascii="宋体" w:hAnsi="宋体" w:eastAsia="宋体" w:cs="Times New Roman"/>
          <w:b/>
          <w:color w:val="auto"/>
          <w:szCs w:val="21"/>
          <w:highlight w:val="none"/>
          <w:u w:val="single"/>
          <w:lang w:val="zh-CN"/>
        </w:rPr>
        <w:t>移交司法机关处理</w:t>
      </w:r>
      <w:r>
        <w:rPr>
          <w:rFonts w:hint="eastAsia" w:ascii="宋体" w:hAnsi="宋体" w:eastAsia="宋体" w:cs="Times New Roman"/>
          <w:b/>
          <w:color w:val="auto"/>
          <w:szCs w:val="21"/>
          <w:highlight w:val="none"/>
          <w:lang w:val="zh-CN"/>
        </w:rPr>
        <w:t>。</w:t>
      </w:r>
    </w:p>
    <w:p w14:paraId="0C1DC2FC">
      <w:pPr>
        <w:keepNext w:val="0"/>
        <w:keepLines w:val="0"/>
        <w:pageBreakBefore w:val="0"/>
        <w:widowControl w:val="0"/>
        <w:kinsoku/>
        <w:wordWrap/>
        <w:overflowPunct/>
        <w:topLinePunct w:val="0"/>
        <w:autoSpaceDE w:val="0"/>
        <w:autoSpaceDN w:val="0"/>
        <w:bidi w:val="0"/>
        <w:adjustRightInd w:val="0"/>
        <w:snapToGrid w:val="0"/>
        <w:spacing w:line="336" w:lineRule="auto"/>
        <w:ind w:left="246" w:leftChars="117" w:firstLine="422" w:firstLineChars="200"/>
        <w:jc w:val="left"/>
        <w:textAlignment w:val="auto"/>
        <w:rPr>
          <w:rFonts w:ascii="宋体" w:hAnsi="宋体" w:eastAsia="宋体" w:cs="Times New Roman"/>
          <w:b/>
          <w:color w:val="auto"/>
          <w:szCs w:val="21"/>
          <w:highlight w:val="none"/>
          <w:lang w:val="zh-CN"/>
        </w:rPr>
      </w:pPr>
      <w:r>
        <w:rPr>
          <w:rFonts w:hint="eastAsia" w:ascii="宋体" w:hAnsi="宋体" w:eastAsia="宋体" w:cs="Times New Roman"/>
          <w:b/>
          <w:color w:val="auto"/>
          <w:szCs w:val="21"/>
          <w:highlight w:val="none"/>
          <w:u w:val="single"/>
          <w:lang w:val="zh-CN"/>
        </w:rPr>
        <w:t>当招标人（或其委托的招标代理机构）向入库候选供应商发出提供上述投标文件或投标文件外其他相关（包括但不限于业绩合同对应的发票等）的证明资料原件进行核查的书面通知后，入库候选供应商</w:t>
      </w:r>
      <w:r>
        <w:rPr>
          <w:rFonts w:hint="eastAsia" w:ascii="宋体" w:hAnsi="宋体" w:eastAsia="宋体" w:cs="Times New Roman"/>
          <w:b/>
          <w:color w:val="auto"/>
          <w:kern w:val="0"/>
          <w:szCs w:val="21"/>
          <w:highlight w:val="none"/>
          <w:u w:val="single"/>
        </w:rPr>
        <w:t>未能在</w:t>
      </w:r>
      <w:r>
        <w:rPr>
          <w:rFonts w:hint="eastAsia" w:ascii="宋体" w:hAnsi="宋体" w:eastAsia="宋体" w:cs="Times New Roman"/>
          <w:b/>
          <w:color w:val="auto"/>
          <w:kern w:val="0"/>
          <w:szCs w:val="21"/>
          <w:highlight w:val="none"/>
          <w:u w:val="single"/>
          <w:lang w:eastAsia="zh-CN"/>
        </w:rPr>
        <w:t>招标人</w:t>
      </w:r>
      <w:r>
        <w:rPr>
          <w:rFonts w:hint="eastAsia" w:ascii="宋体" w:hAnsi="宋体" w:eastAsia="宋体" w:cs="Times New Roman"/>
          <w:b/>
          <w:color w:val="auto"/>
          <w:kern w:val="0"/>
          <w:szCs w:val="21"/>
          <w:highlight w:val="none"/>
          <w:u w:val="single"/>
        </w:rPr>
        <w:t>（或其委托的</w:t>
      </w:r>
      <w:r>
        <w:rPr>
          <w:rFonts w:hint="eastAsia" w:ascii="宋体" w:hAnsi="宋体" w:eastAsia="宋体" w:cs="Times New Roman"/>
          <w:b/>
          <w:color w:val="auto"/>
          <w:kern w:val="0"/>
          <w:szCs w:val="21"/>
          <w:highlight w:val="none"/>
          <w:u w:val="single"/>
          <w:lang w:eastAsia="zh-CN"/>
        </w:rPr>
        <w:t>招标代理机构</w:t>
      </w:r>
      <w:r>
        <w:rPr>
          <w:rFonts w:ascii="宋体" w:hAnsi="宋体" w:eastAsia="宋体" w:cs="Times New Roman"/>
          <w:b/>
          <w:color w:val="auto"/>
          <w:kern w:val="0"/>
          <w:szCs w:val="21"/>
          <w:highlight w:val="none"/>
          <w:u w:val="single"/>
        </w:rPr>
        <w:t>) 书面要求的时间(一般不少于三个工作日) 内提供完整的材料原件进行核查的</w:t>
      </w:r>
      <w:r>
        <w:rPr>
          <w:rFonts w:hint="eastAsia" w:ascii="宋体" w:hAnsi="宋体" w:eastAsia="宋体" w:cs="Times New Roman"/>
          <w:b/>
          <w:color w:val="auto"/>
          <w:szCs w:val="21"/>
          <w:highlight w:val="none"/>
          <w:u w:val="single"/>
          <w:lang w:val="zh-CN"/>
        </w:rPr>
        <w:t>，视为其无法提供真实的资料，招标人有权取消其</w:t>
      </w:r>
      <w:r>
        <w:rPr>
          <w:rFonts w:hint="eastAsia" w:ascii="宋体" w:hAnsi="宋体" w:eastAsia="宋体" w:cs="宋体"/>
          <w:b/>
          <w:color w:val="auto"/>
          <w:szCs w:val="21"/>
          <w:highlight w:val="none"/>
          <w:u w:val="single"/>
          <w:lang w:val="zh-CN"/>
        </w:rPr>
        <w:t>中标候选人</w:t>
      </w:r>
      <w:r>
        <w:rPr>
          <w:rFonts w:hint="eastAsia" w:ascii="宋体" w:hAnsi="宋体" w:eastAsia="宋体" w:cs="Times New Roman"/>
          <w:b/>
          <w:color w:val="auto"/>
          <w:szCs w:val="21"/>
          <w:highlight w:val="none"/>
          <w:u w:val="single"/>
          <w:lang w:val="zh-CN"/>
        </w:rPr>
        <w:t>资格</w:t>
      </w:r>
      <w:r>
        <w:rPr>
          <w:rFonts w:hint="eastAsia" w:ascii="宋体" w:hAnsi="宋体" w:eastAsia="宋体" w:cs="Times New Roman"/>
          <w:b/>
          <w:color w:val="auto"/>
          <w:szCs w:val="21"/>
          <w:highlight w:val="none"/>
          <w:lang w:val="zh-CN"/>
        </w:rPr>
        <w:t>。</w:t>
      </w:r>
    </w:p>
    <w:p w14:paraId="75FA42AA">
      <w:pPr>
        <w:keepNext w:val="0"/>
        <w:keepLines w:val="0"/>
        <w:pageBreakBefore w:val="0"/>
        <w:widowControl w:val="0"/>
        <w:kinsoku/>
        <w:wordWrap/>
        <w:overflowPunct/>
        <w:topLinePunct w:val="0"/>
        <w:autoSpaceDE w:val="0"/>
        <w:autoSpaceDN w:val="0"/>
        <w:bidi w:val="0"/>
        <w:adjustRightInd w:val="0"/>
        <w:snapToGrid w:val="0"/>
        <w:spacing w:line="336" w:lineRule="auto"/>
        <w:ind w:left="319" w:leftChars="-100" w:hanging="529" w:hangingChars="252"/>
        <w:jc w:val="left"/>
        <w:textAlignment w:val="auto"/>
        <w:rPr>
          <w:rFonts w:ascii="宋体" w:hAnsi="宋体" w:eastAsia="宋体" w:cs="宋体"/>
          <w:color w:val="auto"/>
          <w:szCs w:val="21"/>
          <w:highlight w:val="none"/>
          <w:lang w:val="zh-CN"/>
        </w:rPr>
      </w:pPr>
      <w:r>
        <w:rPr>
          <w:rFonts w:hint="eastAsia" w:ascii="宋体" w:hAnsi="宋体" w:eastAsia="宋体" w:cs="宋体"/>
          <w:color w:val="auto"/>
          <w:szCs w:val="21"/>
          <w:highlight w:val="none"/>
        </w:rPr>
        <w:t>31</w:t>
      </w:r>
      <w:r>
        <w:rPr>
          <w:rFonts w:hint="eastAsia" w:ascii="宋体" w:hAnsi="宋体" w:eastAsia="宋体" w:cs="宋体"/>
          <w:color w:val="auto"/>
          <w:szCs w:val="21"/>
          <w:highlight w:val="none"/>
          <w:lang w:val="zh-CN"/>
        </w:rPr>
        <w:t>.3 投标人或者其他利害关系人认为招标投标活动不符合法律、行政法规规定的，可以自知道或者应当知道之日起10日内，按程序向招标人采购活动的监督部门投诉。投诉应当提供纸质投诉书及必要的证明材料。投诉书应当包括下列内容：</w:t>
      </w:r>
    </w:p>
    <w:p w14:paraId="1DCEADB8">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（一）投诉人和被投诉人的姓名或者名称、通讯地址、邮编、联系人及联系电话；</w:t>
      </w:r>
    </w:p>
    <w:p w14:paraId="6A2644A8">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（二）异议和异议答复情况说明及相关证明材料；</w:t>
      </w:r>
    </w:p>
    <w:p w14:paraId="63428355">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（三）具体、明确的投诉事项和与投诉事项相关的投诉请求；</w:t>
      </w:r>
    </w:p>
    <w:p w14:paraId="55023ECC">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（四）事实依据；</w:t>
      </w:r>
    </w:p>
    <w:p w14:paraId="341DBAC7">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（五）法律依据；</w:t>
      </w:r>
    </w:p>
    <w:p w14:paraId="7AA31D12">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（六）提起投诉的日期。</w:t>
      </w:r>
    </w:p>
    <w:p w14:paraId="185FF7CA">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     投诉人为法人或者其他组织的，应当由法定代表人、主要负责人，或者其授权代表签字或者盖章，并加盖公章。</w:t>
      </w:r>
    </w:p>
    <w:p w14:paraId="59F16912">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    </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投诉人投诉的事项不得超出已异议事项的范围，但基于异议答复内容提出的投诉事项除外。</w:t>
      </w:r>
    </w:p>
    <w:p w14:paraId="682CBC5D">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    </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监督部门：</w:t>
      </w:r>
      <w:r>
        <w:rPr>
          <w:rFonts w:hint="eastAsia" w:ascii="宋体" w:hAnsi="宋体" w:eastAsia="宋体" w:cs="宋体"/>
          <w:bCs/>
          <w:color w:val="auto"/>
          <w:szCs w:val="21"/>
          <w:highlight w:val="none"/>
          <w:lang w:eastAsia="zh-CN"/>
        </w:rPr>
        <w:t>东莞市水务环境投资控股集团有限公司</w:t>
      </w:r>
      <w:r>
        <w:rPr>
          <w:rFonts w:hint="eastAsia" w:ascii="宋体" w:hAnsi="宋体" w:eastAsia="宋体" w:cs="宋体"/>
          <w:color w:val="auto"/>
          <w:szCs w:val="21"/>
          <w:highlight w:val="none"/>
          <w:lang w:val="zh-CN"/>
        </w:rPr>
        <w:t>，联系人：莫先生，联系电话：0769-28823251。</w:t>
      </w:r>
    </w:p>
    <w:p w14:paraId="5D420555">
      <w:pPr>
        <w:autoSpaceDE w:val="0"/>
        <w:autoSpaceDN w:val="0"/>
        <w:adjustRightInd w:val="0"/>
        <w:snapToGrid w:val="0"/>
        <w:spacing w:line="360" w:lineRule="auto"/>
        <w:ind w:left="296" w:leftChars="100" w:hanging="86" w:hangingChars="41"/>
        <w:jc w:val="left"/>
        <w:rPr>
          <w:rFonts w:ascii="宋体" w:hAnsi="宋体" w:eastAsia="宋体" w:cs="宋体"/>
          <w:color w:val="auto"/>
          <w:szCs w:val="21"/>
          <w:highlight w:val="none"/>
          <w:lang w:val="zh-CN"/>
        </w:rPr>
      </w:pPr>
    </w:p>
    <w:p w14:paraId="48ABB188">
      <w:pPr>
        <w:tabs>
          <w:tab w:val="left" w:pos="567"/>
        </w:tabs>
        <w:autoSpaceDE w:val="0"/>
        <w:autoSpaceDN w:val="0"/>
        <w:adjustRightInd w:val="0"/>
        <w:spacing w:line="360" w:lineRule="auto"/>
        <w:ind w:left="288" w:leftChars="-100" w:hanging="498" w:hangingChars="236"/>
        <w:outlineLvl w:val="2"/>
        <w:rPr>
          <w:rFonts w:ascii="宋体" w:hAnsi="宋体" w:eastAsia="宋体" w:cs="宋体"/>
          <w:b/>
          <w:color w:val="auto"/>
          <w:szCs w:val="21"/>
          <w:highlight w:val="none"/>
          <w:lang w:val="zh-CN"/>
        </w:rPr>
      </w:pPr>
      <w:bookmarkStart w:id="433" w:name="_Toc14228"/>
      <w:bookmarkStart w:id="434" w:name="_Toc195714252"/>
      <w:bookmarkStart w:id="435" w:name="_Toc486167695"/>
      <w:bookmarkStart w:id="436" w:name="_Toc30674"/>
      <w:bookmarkStart w:id="437" w:name="_Toc465358970"/>
      <w:bookmarkStart w:id="438" w:name="_Toc1848_WPSOffice_Level3"/>
      <w:bookmarkStart w:id="439" w:name="_Toc26354"/>
      <w:bookmarkStart w:id="440" w:name="_Toc466882018"/>
      <w:bookmarkStart w:id="441" w:name="_Toc17195"/>
      <w:bookmarkStart w:id="442" w:name="_Toc6945"/>
      <w:bookmarkStart w:id="443" w:name="_Toc142508346"/>
      <w:bookmarkStart w:id="444" w:name="_Toc31387"/>
      <w:bookmarkStart w:id="445" w:name="_Toc3154"/>
      <w:r>
        <w:rPr>
          <w:rFonts w:hint="eastAsia" w:ascii="宋体" w:hAnsi="宋体" w:eastAsia="宋体" w:cs="宋体"/>
          <w:b/>
          <w:color w:val="auto"/>
          <w:szCs w:val="21"/>
          <w:highlight w:val="none"/>
        </w:rPr>
        <w:t>32</w:t>
      </w:r>
      <w:r>
        <w:rPr>
          <w:rFonts w:hint="eastAsia" w:ascii="宋体" w:hAnsi="宋体" w:eastAsia="宋体" w:cs="宋体"/>
          <w:b/>
          <w:color w:val="auto"/>
          <w:szCs w:val="21"/>
          <w:highlight w:val="none"/>
          <w:lang w:val="zh-CN"/>
        </w:rPr>
        <w:t xml:space="preserve"> 真实性审查</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4E2C585E">
      <w:pPr>
        <w:autoSpaceDE w:val="0"/>
        <w:autoSpaceDN w:val="0"/>
        <w:adjustRightInd w:val="0"/>
        <w:snapToGrid w:val="0"/>
        <w:spacing w:line="360" w:lineRule="auto"/>
        <w:ind w:left="321" w:leftChars="-100" w:hanging="531" w:hangingChars="252"/>
        <w:jc w:val="left"/>
        <w:rPr>
          <w:rFonts w:ascii="宋体" w:hAnsi="宋体" w:eastAsia="宋体" w:cs="宋体"/>
          <w:b/>
          <w:color w:val="auto"/>
          <w:szCs w:val="21"/>
          <w:highlight w:val="none"/>
        </w:rPr>
      </w:pPr>
      <w:r>
        <w:rPr>
          <w:rFonts w:hint="eastAsia" w:ascii="宋体" w:hAnsi="宋体" w:eastAsia="宋体" w:cs="宋体"/>
          <w:b/>
          <w:color w:val="auto"/>
          <w:szCs w:val="21"/>
          <w:highlight w:val="none"/>
        </w:rPr>
        <w:t xml:space="preserve">32.1 </w:t>
      </w:r>
      <w:r>
        <w:rPr>
          <w:rFonts w:hint="eastAsia" w:ascii="宋体" w:hAnsi="宋体" w:eastAsia="宋体" w:cs="宋体"/>
          <w:b/>
          <w:color w:val="auto"/>
          <w:szCs w:val="21"/>
          <w:highlight w:val="none"/>
          <w:u w:val="single"/>
        </w:rPr>
        <w:t>在</w:t>
      </w:r>
      <w:r>
        <w:rPr>
          <w:rFonts w:hint="eastAsia" w:ascii="宋体" w:hAnsi="宋体" w:eastAsia="宋体" w:cs="Times New Roman"/>
          <w:b/>
          <w:color w:val="auto"/>
          <w:kern w:val="0"/>
          <w:szCs w:val="21"/>
          <w:highlight w:val="none"/>
          <w:u w:val="single"/>
        </w:rPr>
        <w:t>授予合同前，</w:t>
      </w:r>
      <w:r>
        <w:rPr>
          <w:rFonts w:hint="eastAsia" w:ascii="宋体" w:hAnsi="宋体" w:eastAsia="宋体" w:cs="Times New Roman"/>
          <w:b/>
          <w:color w:val="auto"/>
          <w:kern w:val="0"/>
          <w:szCs w:val="21"/>
          <w:highlight w:val="none"/>
          <w:u w:val="single"/>
          <w:lang w:eastAsia="zh-CN"/>
        </w:rPr>
        <w:t>招标人</w:t>
      </w:r>
      <w:r>
        <w:rPr>
          <w:rFonts w:hint="eastAsia" w:ascii="宋体" w:hAnsi="宋体" w:eastAsia="宋体" w:cs="Times New Roman"/>
          <w:b/>
          <w:color w:val="auto"/>
          <w:kern w:val="0"/>
          <w:szCs w:val="21"/>
          <w:highlight w:val="none"/>
          <w:u w:val="single"/>
        </w:rPr>
        <w:t>（或其委托的</w:t>
      </w:r>
      <w:r>
        <w:rPr>
          <w:rFonts w:hint="eastAsia" w:ascii="宋体" w:hAnsi="宋体" w:eastAsia="宋体" w:cs="Times New Roman"/>
          <w:b/>
          <w:color w:val="auto"/>
          <w:kern w:val="0"/>
          <w:szCs w:val="21"/>
          <w:highlight w:val="none"/>
          <w:u w:val="single"/>
          <w:lang w:eastAsia="zh-CN"/>
        </w:rPr>
        <w:t>招标代理机构</w:t>
      </w:r>
      <w:r>
        <w:rPr>
          <w:rFonts w:hint="eastAsia" w:ascii="宋体" w:hAnsi="宋体" w:eastAsia="宋体" w:cs="Times New Roman"/>
          <w:b/>
          <w:color w:val="auto"/>
          <w:kern w:val="0"/>
          <w:szCs w:val="21"/>
          <w:highlight w:val="none"/>
          <w:u w:val="single"/>
        </w:rPr>
        <w:t>）、或</w:t>
      </w:r>
      <w:r>
        <w:rPr>
          <w:rFonts w:hint="eastAsia" w:ascii="宋体" w:hAnsi="宋体" w:eastAsia="宋体" w:cs="Times New Roman"/>
          <w:b/>
          <w:color w:val="auto"/>
          <w:kern w:val="0"/>
          <w:szCs w:val="21"/>
          <w:highlight w:val="none"/>
          <w:u w:val="single"/>
          <w:lang w:eastAsia="zh-CN"/>
        </w:rPr>
        <w:t>评标委员会</w:t>
      </w:r>
      <w:r>
        <w:rPr>
          <w:rFonts w:hint="eastAsia" w:ascii="宋体" w:hAnsi="宋体" w:eastAsia="宋体" w:cs="Times New Roman"/>
          <w:b/>
          <w:color w:val="auto"/>
          <w:kern w:val="0"/>
          <w:szCs w:val="21"/>
          <w:highlight w:val="none"/>
          <w:u w:val="single"/>
        </w:rPr>
        <w:t>有权组织对</w:t>
      </w:r>
      <w:r>
        <w:rPr>
          <w:rFonts w:hint="eastAsia" w:ascii="宋体" w:hAnsi="宋体" w:eastAsia="宋体" w:cs="宋体"/>
          <w:b/>
          <w:color w:val="auto"/>
          <w:kern w:val="0"/>
          <w:szCs w:val="21"/>
          <w:highlight w:val="none"/>
          <w:u w:val="single"/>
        </w:rPr>
        <w:t>投标人</w:t>
      </w:r>
      <w:r>
        <w:rPr>
          <w:rFonts w:hint="eastAsia" w:ascii="宋体" w:hAnsi="宋体" w:eastAsia="宋体" w:cs="Times New Roman"/>
          <w:b/>
          <w:color w:val="auto"/>
          <w:kern w:val="0"/>
          <w:szCs w:val="21"/>
          <w:highlight w:val="none"/>
          <w:u w:val="single"/>
        </w:rPr>
        <w:t>的真实性审查。包括对</w:t>
      </w:r>
      <w:r>
        <w:rPr>
          <w:rFonts w:hint="eastAsia" w:ascii="宋体" w:hAnsi="宋体" w:eastAsia="宋体" w:cs="Times New Roman"/>
          <w:b/>
          <w:color w:val="auto"/>
          <w:kern w:val="0"/>
          <w:szCs w:val="21"/>
          <w:highlight w:val="none"/>
          <w:u w:val="single"/>
          <w:lang w:eastAsia="zh-CN"/>
        </w:rPr>
        <w:t>投标人</w:t>
      </w:r>
      <w:r>
        <w:rPr>
          <w:rFonts w:hint="eastAsia" w:ascii="宋体" w:hAnsi="宋体" w:eastAsia="宋体" w:cs="Times New Roman"/>
          <w:b/>
          <w:color w:val="auto"/>
          <w:kern w:val="0"/>
          <w:szCs w:val="21"/>
          <w:highlight w:val="none"/>
          <w:u w:val="single"/>
        </w:rPr>
        <w:t>的资格证明文件、业绩证明文件、对</w:t>
      </w:r>
      <w:r>
        <w:rPr>
          <w:rFonts w:hint="eastAsia" w:ascii="宋体" w:hAnsi="宋体" w:eastAsia="宋体" w:cs="Times New Roman"/>
          <w:b/>
          <w:color w:val="auto"/>
          <w:kern w:val="0"/>
          <w:szCs w:val="21"/>
          <w:highlight w:val="none"/>
          <w:u w:val="single"/>
          <w:lang w:eastAsia="zh-CN"/>
        </w:rPr>
        <w:t>招标文件</w:t>
      </w:r>
      <w:r>
        <w:rPr>
          <w:rFonts w:hint="eastAsia" w:ascii="宋体" w:hAnsi="宋体" w:eastAsia="宋体" w:cs="Times New Roman"/>
          <w:b/>
          <w:color w:val="auto"/>
          <w:kern w:val="0"/>
          <w:szCs w:val="21"/>
          <w:highlight w:val="none"/>
          <w:u w:val="single"/>
        </w:rPr>
        <w:t>实质性条款响应文件、履约能力证明文件的原件真实性进行核查。</w:t>
      </w:r>
      <w:r>
        <w:rPr>
          <w:rFonts w:hint="eastAsia" w:ascii="宋体" w:hAnsi="宋体" w:eastAsia="宋体" w:cs="Times New Roman"/>
          <w:b/>
          <w:color w:val="auto"/>
          <w:kern w:val="0"/>
          <w:szCs w:val="21"/>
          <w:highlight w:val="none"/>
          <w:u w:val="single"/>
          <w:lang w:eastAsia="zh-CN"/>
        </w:rPr>
        <w:t>招标人</w:t>
      </w:r>
      <w:r>
        <w:rPr>
          <w:rFonts w:hint="eastAsia" w:ascii="宋体" w:hAnsi="宋体" w:eastAsia="宋体" w:cs="Times New Roman"/>
          <w:b/>
          <w:color w:val="auto"/>
          <w:szCs w:val="21"/>
          <w:highlight w:val="none"/>
          <w:u w:val="single"/>
          <w:lang w:val="zh-CN"/>
        </w:rPr>
        <w:t>如有需要，投标人有义务提供投标文件外其他相关证明资料原件（包括但不限于业绩合同对应的发票等）供招标人核查。</w:t>
      </w:r>
      <w:r>
        <w:rPr>
          <w:rFonts w:hint="eastAsia" w:ascii="宋体" w:hAnsi="宋体" w:eastAsia="宋体" w:cs="Times New Roman"/>
          <w:b/>
          <w:color w:val="auto"/>
          <w:kern w:val="0"/>
          <w:szCs w:val="21"/>
          <w:highlight w:val="none"/>
          <w:u w:val="single"/>
        </w:rPr>
        <w:t>若发现</w:t>
      </w:r>
      <w:r>
        <w:rPr>
          <w:rFonts w:hint="eastAsia" w:ascii="宋体" w:hAnsi="宋体" w:eastAsia="宋体" w:cs="Times New Roman"/>
          <w:b/>
          <w:color w:val="auto"/>
          <w:kern w:val="0"/>
          <w:szCs w:val="21"/>
          <w:highlight w:val="none"/>
          <w:u w:val="single"/>
          <w:lang w:eastAsia="zh-CN"/>
        </w:rPr>
        <w:t>投标人</w:t>
      </w:r>
      <w:r>
        <w:rPr>
          <w:rFonts w:hint="eastAsia" w:ascii="宋体" w:hAnsi="宋体" w:eastAsia="宋体" w:cs="Times New Roman"/>
          <w:b/>
          <w:color w:val="auto"/>
          <w:kern w:val="0"/>
          <w:szCs w:val="21"/>
          <w:highlight w:val="none"/>
          <w:u w:val="single"/>
        </w:rPr>
        <w:t>提供虚假证明文件、虚假响应文件等弄虚作假行为的，或经审查确认其经营、财务状况发生较大变化（或者存在违法行为）导致无法按照</w:t>
      </w:r>
      <w:r>
        <w:rPr>
          <w:rFonts w:hint="eastAsia" w:ascii="宋体" w:hAnsi="宋体" w:eastAsia="宋体" w:cs="Times New Roman"/>
          <w:b/>
          <w:color w:val="auto"/>
          <w:kern w:val="0"/>
          <w:szCs w:val="21"/>
          <w:highlight w:val="none"/>
          <w:u w:val="single"/>
          <w:lang w:eastAsia="zh-CN"/>
        </w:rPr>
        <w:t>投标文件</w:t>
      </w:r>
      <w:r>
        <w:rPr>
          <w:rFonts w:hint="eastAsia" w:ascii="宋体" w:hAnsi="宋体" w:eastAsia="宋体" w:cs="Times New Roman"/>
          <w:b/>
          <w:color w:val="auto"/>
          <w:kern w:val="0"/>
          <w:szCs w:val="21"/>
          <w:highlight w:val="none"/>
          <w:u w:val="single"/>
        </w:rPr>
        <w:t>的承诺履约的，或其明确表示不按照</w:t>
      </w:r>
      <w:r>
        <w:rPr>
          <w:rFonts w:hint="eastAsia" w:ascii="宋体" w:hAnsi="宋体" w:eastAsia="宋体" w:cs="Times New Roman"/>
          <w:b/>
          <w:color w:val="auto"/>
          <w:kern w:val="0"/>
          <w:szCs w:val="21"/>
          <w:highlight w:val="none"/>
          <w:u w:val="single"/>
          <w:lang w:eastAsia="zh-CN"/>
        </w:rPr>
        <w:t>投标文件</w:t>
      </w:r>
      <w:r>
        <w:rPr>
          <w:rFonts w:hint="eastAsia" w:ascii="宋体" w:hAnsi="宋体" w:eastAsia="宋体" w:cs="Times New Roman"/>
          <w:b/>
          <w:color w:val="auto"/>
          <w:kern w:val="0"/>
          <w:szCs w:val="21"/>
          <w:highlight w:val="none"/>
          <w:u w:val="single"/>
        </w:rPr>
        <w:t>承诺履约等影响</w:t>
      </w:r>
      <w:r>
        <w:rPr>
          <w:rFonts w:hint="eastAsia" w:ascii="宋体" w:hAnsi="宋体" w:eastAsia="宋体" w:cs="Times New Roman"/>
          <w:b/>
          <w:color w:val="auto"/>
          <w:kern w:val="0"/>
          <w:szCs w:val="21"/>
          <w:highlight w:val="none"/>
          <w:u w:val="single"/>
          <w:lang w:val="en-US" w:eastAsia="zh-CN"/>
        </w:rPr>
        <w:t>中标</w:t>
      </w:r>
      <w:r>
        <w:rPr>
          <w:rFonts w:hint="eastAsia" w:ascii="宋体" w:hAnsi="宋体" w:eastAsia="宋体" w:cs="Times New Roman"/>
          <w:b/>
          <w:color w:val="auto"/>
          <w:kern w:val="0"/>
          <w:szCs w:val="21"/>
          <w:highlight w:val="none"/>
          <w:u w:val="single"/>
        </w:rPr>
        <w:t>结果的行为，</w:t>
      </w:r>
      <w:r>
        <w:rPr>
          <w:rFonts w:hint="eastAsia" w:ascii="宋体" w:hAnsi="宋体" w:eastAsia="宋体" w:cs="Times New Roman"/>
          <w:b/>
          <w:color w:val="auto"/>
          <w:kern w:val="0"/>
          <w:szCs w:val="21"/>
          <w:highlight w:val="none"/>
          <w:u w:val="single"/>
          <w:lang w:eastAsia="zh-CN"/>
        </w:rPr>
        <w:t>招标人</w:t>
      </w:r>
      <w:r>
        <w:rPr>
          <w:rFonts w:hint="eastAsia" w:ascii="宋体" w:hAnsi="宋体" w:eastAsia="宋体" w:cs="Times New Roman"/>
          <w:b/>
          <w:color w:val="auto"/>
          <w:kern w:val="0"/>
          <w:szCs w:val="21"/>
          <w:highlight w:val="none"/>
          <w:u w:val="single"/>
        </w:rPr>
        <w:t>有权取消其</w:t>
      </w:r>
      <w:r>
        <w:rPr>
          <w:rFonts w:hint="eastAsia" w:ascii="宋体" w:hAnsi="宋体" w:eastAsia="宋体" w:cs="Times New Roman"/>
          <w:b/>
          <w:color w:val="auto"/>
          <w:kern w:val="0"/>
          <w:szCs w:val="21"/>
          <w:highlight w:val="none"/>
          <w:u w:val="single"/>
          <w:lang w:val="en-US" w:eastAsia="zh-CN"/>
        </w:rPr>
        <w:t>中标</w:t>
      </w:r>
      <w:r>
        <w:rPr>
          <w:rFonts w:hint="eastAsia" w:ascii="宋体" w:hAnsi="宋体" w:eastAsia="宋体" w:cs="Times New Roman"/>
          <w:b/>
          <w:color w:val="auto"/>
          <w:kern w:val="0"/>
          <w:szCs w:val="21"/>
          <w:highlight w:val="none"/>
          <w:u w:val="single"/>
        </w:rPr>
        <w:t>资格</w:t>
      </w:r>
      <w:r>
        <w:rPr>
          <w:rFonts w:hint="eastAsia" w:ascii="宋体" w:hAnsi="宋体" w:eastAsia="宋体" w:cs="宋体"/>
          <w:b/>
          <w:color w:val="auto"/>
          <w:szCs w:val="21"/>
          <w:highlight w:val="none"/>
        </w:rPr>
        <w:t>。</w:t>
      </w:r>
    </w:p>
    <w:p w14:paraId="5D8A0A00">
      <w:pPr>
        <w:autoSpaceDE w:val="0"/>
        <w:autoSpaceDN w:val="0"/>
        <w:adjustRightInd w:val="0"/>
        <w:snapToGrid w:val="0"/>
        <w:spacing w:line="360" w:lineRule="auto"/>
        <w:ind w:left="321" w:leftChars="-100" w:hanging="531" w:hangingChars="252"/>
        <w:jc w:val="left"/>
        <w:rPr>
          <w:rFonts w:ascii="宋体" w:hAnsi="宋体" w:eastAsia="宋体" w:cs="宋体"/>
          <w:b/>
          <w:color w:val="auto"/>
          <w:szCs w:val="21"/>
          <w:highlight w:val="none"/>
        </w:rPr>
      </w:pPr>
      <w:r>
        <w:rPr>
          <w:rFonts w:hint="eastAsia" w:ascii="宋体" w:hAnsi="宋体" w:eastAsia="宋体" w:cs="宋体"/>
          <w:b/>
          <w:color w:val="auto"/>
          <w:szCs w:val="21"/>
          <w:highlight w:val="none"/>
        </w:rPr>
        <w:t xml:space="preserve">32.2 </w:t>
      </w:r>
      <w:r>
        <w:rPr>
          <w:rFonts w:hint="eastAsia" w:ascii="宋体" w:hAnsi="宋体" w:eastAsia="宋体" w:cs="宋体"/>
          <w:b/>
          <w:color w:val="auto"/>
          <w:szCs w:val="21"/>
          <w:highlight w:val="none"/>
          <w:u w:val="single"/>
          <w:lang w:eastAsia="zh-CN"/>
        </w:rPr>
        <w:t>投标人</w:t>
      </w:r>
      <w:r>
        <w:rPr>
          <w:rFonts w:hint="eastAsia" w:ascii="宋体" w:hAnsi="宋体" w:eastAsia="宋体" w:cs="Times New Roman"/>
          <w:b/>
          <w:color w:val="auto"/>
          <w:kern w:val="0"/>
          <w:szCs w:val="21"/>
          <w:highlight w:val="none"/>
          <w:u w:val="single"/>
        </w:rPr>
        <w:t>在</w:t>
      </w:r>
      <w:r>
        <w:rPr>
          <w:rFonts w:hint="eastAsia" w:ascii="宋体" w:hAnsi="宋体" w:eastAsia="宋体" w:cs="Times New Roman"/>
          <w:b/>
          <w:color w:val="auto"/>
          <w:kern w:val="0"/>
          <w:szCs w:val="21"/>
          <w:highlight w:val="none"/>
          <w:u w:val="single"/>
          <w:lang w:eastAsia="zh-CN"/>
        </w:rPr>
        <w:t>招标人</w:t>
      </w:r>
      <w:r>
        <w:rPr>
          <w:rFonts w:hint="eastAsia" w:ascii="宋体" w:hAnsi="宋体" w:eastAsia="宋体" w:cs="Times New Roman"/>
          <w:b/>
          <w:color w:val="auto"/>
          <w:kern w:val="0"/>
          <w:szCs w:val="21"/>
          <w:highlight w:val="none"/>
          <w:u w:val="single"/>
        </w:rPr>
        <w:t>（或其委托的</w:t>
      </w:r>
      <w:r>
        <w:rPr>
          <w:rFonts w:hint="eastAsia" w:ascii="宋体" w:hAnsi="宋体" w:eastAsia="宋体" w:cs="Times New Roman"/>
          <w:b/>
          <w:color w:val="auto"/>
          <w:kern w:val="0"/>
          <w:szCs w:val="21"/>
          <w:highlight w:val="none"/>
          <w:u w:val="single"/>
          <w:lang w:eastAsia="zh-CN"/>
        </w:rPr>
        <w:t>招标代理机构</w:t>
      </w:r>
      <w:r>
        <w:rPr>
          <w:rFonts w:hint="eastAsia" w:ascii="宋体" w:hAnsi="宋体" w:eastAsia="宋体" w:cs="Times New Roman"/>
          <w:b/>
          <w:color w:val="auto"/>
          <w:kern w:val="0"/>
          <w:szCs w:val="21"/>
          <w:highlight w:val="none"/>
          <w:u w:val="single"/>
        </w:rPr>
        <w:t>）、或</w:t>
      </w:r>
      <w:r>
        <w:rPr>
          <w:rFonts w:hint="eastAsia" w:ascii="宋体" w:hAnsi="宋体" w:eastAsia="宋体" w:cs="Times New Roman"/>
          <w:b/>
          <w:color w:val="auto"/>
          <w:kern w:val="0"/>
          <w:szCs w:val="21"/>
          <w:highlight w:val="none"/>
          <w:u w:val="single"/>
          <w:lang w:eastAsia="zh-CN"/>
        </w:rPr>
        <w:t>评标委员会</w:t>
      </w:r>
      <w:r>
        <w:rPr>
          <w:rFonts w:hint="eastAsia" w:ascii="宋体" w:hAnsi="宋体" w:eastAsia="宋体" w:cs="Times New Roman"/>
          <w:b/>
          <w:color w:val="auto"/>
          <w:kern w:val="0"/>
          <w:szCs w:val="21"/>
          <w:highlight w:val="none"/>
          <w:u w:val="single"/>
        </w:rPr>
        <w:t>通知其提供</w:t>
      </w:r>
      <w:r>
        <w:rPr>
          <w:rFonts w:hint="eastAsia" w:ascii="宋体" w:hAnsi="宋体" w:eastAsia="宋体" w:cs="Times New Roman"/>
          <w:b/>
          <w:color w:val="auto"/>
          <w:szCs w:val="21"/>
          <w:highlight w:val="none"/>
          <w:u w:val="single"/>
          <w:lang w:val="zh-CN"/>
        </w:rPr>
        <w:t>上述投标文件或投标文件外其他相关（包括但不限于业绩合同对应的发票等）的证明资料原件</w:t>
      </w:r>
      <w:r>
        <w:rPr>
          <w:rFonts w:hint="eastAsia" w:ascii="宋体" w:hAnsi="宋体" w:eastAsia="宋体" w:cs="Times New Roman"/>
          <w:b/>
          <w:color w:val="auto"/>
          <w:kern w:val="0"/>
          <w:szCs w:val="21"/>
          <w:highlight w:val="none"/>
          <w:u w:val="single"/>
        </w:rPr>
        <w:t>进行核查的要求后，未能在约定的时间内提供原件进行核查的，视为</w:t>
      </w:r>
      <w:r>
        <w:rPr>
          <w:rFonts w:hint="eastAsia" w:ascii="宋体" w:hAnsi="宋体" w:eastAsia="宋体" w:cs="Times New Roman"/>
          <w:b/>
          <w:color w:val="auto"/>
          <w:kern w:val="0"/>
          <w:szCs w:val="21"/>
          <w:highlight w:val="none"/>
          <w:u w:val="single"/>
          <w:lang w:eastAsia="zh-CN"/>
        </w:rPr>
        <w:t>投标人</w:t>
      </w:r>
      <w:r>
        <w:rPr>
          <w:rFonts w:hint="eastAsia" w:ascii="宋体" w:hAnsi="宋体" w:eastAsia="宋体" w:cs="Times New Roman"/>
          <w:b/>
          <w:color w:val="auto"/>
          <w:kern w:val="0"/>
          <w:szCs w:val="21"/>
          <w:highlight w:val="none"/>
          <w:u w:val="single"/>
        </w:rPr>
        <w:t>无法提供真实的资料，</w:t>
      </w:r>
      <w:r>
        <w:rPr>
          <w:rFonts w:hint="eastAsia" w:ascii="宋体" w:hAnsi="宋体" w:eastAsia="宋体" w:cs="Times New Roman"/>
          <w:b/>
          <w:color w:val="auto"/>
          <w:kern w:val="0"/>
          <w:szCs w:val="21"/>
          <w:highlight w:val="none"/>
          <w:u w:val="single"/>
          <w:lang w:eastAsia="zh-CN"/>
        </w:rPr>
        <w:t>招标</w:t>
      </w:r>
      <w:r>
        <w:rPr>
          <w:rFonts w:hint="eastAsia" w:ascii="宋体" w:hAnsi="宋体" w:eastAsia="宋体" w:cs="Times New Roman"/>
          <w:b/>
          <w:color w:val="auto"/>
          <w:kern w:val="0"/>
          <w:szCs w:val="21"/>
          <w:highlight w:val="none"/>
          <w:u w:val="single"/>
        </w:rPr>
        <w:t>人有权取消其</w:t>
      </w:r>
      <w:r>
        <w:rPr>
          <w:rFonts w:hint="eastAsia" w:ascii="宋体" w:hAnsi="宋体" w:eastAsia="宋体" w:cs="Times New Roman"/>
          <w:b/>
          <w:color w:val="auto"/>
          <w:kern w:val="0"/>
          <w:szCs w:val="21"/>
          <w:highlight w:val="none"/>
          <w:u w:val="single"/>
          <w:lang w:val="en-US" w:eastAsia="zh-CN"/>
        </w:rPr>
        <w:t>中标</w:t>
      </w:r>
      <w:r>
        <w:rPr>
          <w:rFonts w:hint="eastAsia" w:ascii="宋体" w:hAnsi="宋体" w:eastAsia="宋体" w:cs="Times New Roman"/>
          <w:b/>
          <w:color w:val="auto"/>
          <w:kern w:val="0"/>
          <w:szCs w:val="21"/>
          <w:highlight w:val="none"/>
          <w:u w:val="single"/>
        </w:rPr>
        <w:t>资格</w:t>
      </w:r>
      <w:r>
        <w:rPr>
          <w:rFonts w:hint="eastAsia" w:ascii="宋体" w:hAnsi="宋体" w:eastAsia="宋体" w:cs="宋体"/>
          <w:b/>
          <w:color w:val="auto"/>
          <w:szCs w:val="21"/>
          <w:highlight w:val="none"/>
        </w:rPr>
        <w:t>。</w:t>
      </w:r>
    </w:p>
    <w:p w14:paraId="746A03E0">
      <w:pPr>
        <w:snapToGrid w:val="0"/>
        <w:spacing w:line="360" w:lineRule="auto"/>
        <w:ind w:left="321" w:leftChars="-100" w:hanging="531" w:hangingChars="252"/>
        <w:jc w:val="left"/>
        <w:rPr>
          <w:highlight w:val="none"/>
        </w:rPr>
      </w:pPr>
      <w:r>
        <w:rPr>
          <w:rFonts w:hint="eastAsia" w:ascii="宋体" w:hAnsi="宋体" w:eastAsia="宋体" w:cs="宋体"/>
          <w:b/>
          <w:color w:val="auto"/>
          <w:szCs w:val="21"/>
          <w:highlight w:val="none"/>
        </w:rPr>
        <w:t xml:space="preserve">32.3 </w:t>
      </w:r>
      <w:r>
        <w:rPr>
          <w:rFonts w:hint="eastAsia" w:ascii="宋体" w:hAnsi="宋体" w:eastAsia="宋体" w:cs="宋体"/>
          <w:b/>
          <w:color w:val="auto"/>
          <w:szCs w:val="21"/>
          <w:highlight w:val="none"/>
          <w:u w:val="single"/>
        </w:rPr>
        <w:t>若</w:t>
      </w:r>
      <w:r>
        <w:rPr>
          <w:rFonts w:hint="eastAsia" w:ascii="宋体" w:hAnsi="宋体" w:eastAsia="宋体" w:cs="宋体"/>
          <w:b/>
          <w:color w:val="auto"/>
          <w:szCs w:val="21"/>
          <w:highlight w:val="none"/>
          <w:u w:val="single"/>
          <w:lang w:eastAsia="zh-CN"/>
        </w:rPr>
        <w:t>投标人</w:t>
      </w:r>
      <w:r>
        <w:rPr>
          <w:rFonts w:hint="eastAsia" w:ascii="宋体" w:hAnsi="宋体" w:eastAsia="宋体" w:cs="宋体"/>
          <w:b/>
          <w:color w:val="auto"/>
          <w:szCs w:val="21"/>
          <w:highlight w:val="none"/>
          <w:u w:val="single"/>
        </w:rPr>
        <w:t>在</w:t>
      </w:r>
      <w:r>
        <w:rPr>
          <w:rFonts w:hint="eastAsia" w:ascii="宋体" w:hAnsi="宋体" w:eastAsia="宋体" w:cs="宋体"/>
          <w:b/>
          <w:color w:val="auto"/>
          <w:szCs w:val="21"/>
          <w:highlight w:val="none"/>
          <w:u w:val="single"/>
          <w:lang w:eastAsia="zh-CN"/>
        </w:rPr>
        <w:t>投标</w:t>
      </w:r>
      <w:r>
        <w:rPr>
          <w:rFonts w:hint="eastAsia" w:ascii="宋体" w:hAnsi="宋体" w:eastAsia="宋体" w:cs="宋体"/>
          <w:b/>
          <w:color w:val="auto"/>
          <w:szCs w:val="21"/>
          <w:highlight w:val="none"/>
          <w:u w:val="single"/>
        </w:rPr>
        <w:t>或履约过程中存在提供虚假材料、</w:t>
      </w:r>
      <w:r>
        <w:rPr>
          <w:rFonts w:ascii="宋体" w:hAnsi="宋体" w:eastAsia="宋体" w:cs="宋体"/>
          <w:b/>
          <w:color w:val="auto"/>
          <w:szCs w:val="21"/>
          <w:highlight w:val="none"/>
          <w:u w:val="single"/>
        </w:rPr>
        <w:t>虚假响应</w:t>
      </w:r>
      <w:r>
        <w:rPr>
          <w:rFonts w:hint="eastAsia" w:ascii="宋体" w:hAnsi="宋体" w:eastAsia="宋体" w:cs="宋体"/>
          <w:b/>
          <w:color w:val="auto"/>
          <w:szCs w:val="21"/>
          <w:highlight w:val="none"/>
          <w:u w:val="single"/>
          <w:lang w:eastAsia="zh-CN"/>
        </w:rPr>
        <w:t>招标文件</w:t>
      </w:r>
      <w:r>
        <w:rPr>
          <w:rFonts w:hint="eastAsia" w:ascii="宋体" w:hAnsi="宋体" w:eastAsia="宋体" w:cs="宋体"/>
          <w:b/>
          <w:color w:val="auto"/>
          <w:szCs w:val="21"/>
          <w:highlight w:val="none"/>
          <w:u w:val="single"/>
        </w:rPr>
        <w:t>要求等弄虚作假行为，或未能根据</w:t>
      </w:r>
      <w:r>
        <w:rPr>
          <w:rFonts w:hint="eastAsia" w:ascii="宋体" w:hAnsi="宋体" w:eastAsia="宋体" w:cs="宋体"/>
          <w:b/>
          <w:color w:val="auto"/>
          <w:szCs w:val="21"/>
          <w:highlight w:val="none"/>
          <w:u w:val="single"/>
          <w:lang w:eastAsia="zh-CN"/>
        </w:rPr>
        <w:t>本投标人须知</w:t>
      </w:r>
      <w:r>
        <w:rPr>
          <w:rFonts w:hint="eastAsia" w:ascii="宋体" w:hAnsi="宋体" w:eastAsia="宋体" w:cs="宋体"/>
          <w:b/>
          <w:color w:val="auto"/>
          <w:szCs w:val="21"/>
          <w:highlight w:val="none"/>
          <w:u w:val="single"/>
        </w:rPr>
        <w:t>31</w:t>
      </w:r>
      <w:r>
        <w:rPr>
          <w:rFonts w:ascii="宋体" w:hAnsi="宋体" w:eastAsia="宋体" w:cs="宋体"/>
          <w:b/>
          <w:color w:val="auto"/>
          <w:szCs w:val="21"/>
          <w:highlight w:val="none"/>
          <w:u w:val="single"/>
        </w:rPr>
        <w:t>.2</w:t>
      </w:r>
      <w:r>
        <w:rPr>
          <w:rFonts w:hint="eastAsia" w:ascii="宋体" w:hAnsi="宋体" w:eastAsia="宋体" w:cs="宋体"/>
          <w:b/>
          <w:color w:val="auto"/>
          <w:szCs w:val="21"/>
          <w:highlight w:val="none"/>
          <w:u w:val="single"/>
        </w:rPr>
        <w:t>款约定按时提供原件进行核查的，</w:t>
      </w:r>
      <w:r>
        <w:rPr>
          <w:rFonts w:ascii="宋体" w:hAnsi="宋体" w:eastAsia="宋体" w:cs="宋体"/>
          <w:b/>
          <w:color w:val="auto"/>
          <w:szCs w:val="21"/>
          <w:highlight w:val="none"/>
          <w:u w:val="single"/>
        </w:rPr>
        <w:t>或不按照</w:t>
      </w:r>
      <w:r>
        <w:rPr>
          <w:rFonts w:hint="eastAsia" w:ascii="宋体" w:hAnsi="宋体" w:eastAsia="宋体" w:cs="宋体"/>
          <w:b/>
          <w:color w:val="auto"/>
          <w:szCs w:val="21"/>
          <w:highlight w:val="none"/>
          <w:u w:val="single"/>
          <w:lang w:eastAsia="zh-CN"/>
        </w:rPr>
        <w:t>投标文件</w:t>
      </w:r>
      <w:r>
        <w:rPr>
          <w:rFonts w:ascii="宋体" w:hAnsi="宋体" w:eastAsia="宋体" w:cs="宋体"/>
          <w:b/>
          <w:color w:val="auto"/>
          <w:szCs w:val="21"/>
          <w:highlight w:val="none"/>
          <w:u w:val="single"/>
        </w:rPr>
        <w:t>承诺履约</w:t>
      </w:r>
      <w:r>
        <w:rPr>
          <w:rFonts w:hint="eastAsia" w:ascii="宋体" w:hAnsi="宋体" w:eastAsia="宋体" w:cs="宋体"/>
          <w:b/>
          <w:color w:val="auto"/>
          <w:szCs w:val="21"/>
          <w:highlight w:val="none"/>
          <w:u w:val="single"/>
        </w:rPr>
        <w:t>或</w:t>
      </w:r>
      <w:r>
        <w:rPr>
          <w:rFonts w:hint="eastAsia" w:ascii="宋体" w:hAnsi="宋体" w:eastAsia="宋体" w:cs="宋体"/>
          <w:b/>
          <w:color w:val="auto"/>
          <w:szCs w:val="21"/>
          <w:highlight w:val="none"/>
          <w:u w:val="single"/>
          <w:lang w:eastAsia="zh-CN"/>
        </w:rPr>
        <w:t>撤销投标</w:t>
      </w:r>
      <w:r>
        <w:rPr>
          <w:rFonts w:hint="eastAsia" w:ascii="宋体" w:hAnsi="宋体" w:eastAsia="宋体" w:cs="宋体"/>
          <w:b/>
          <w:color w:val="auto"/>
          <w:szCs w:val="21"/>
          <w:highlight w:val="none"/>
          <w:u w:val="single"/>
        </w:rPr>
        <w:t>或放弃中标资格或</w:t>
      </w:r>
      <w:r>
        <w:rPr>
          <w:rFonts w:ascii="宋体" w:hAnsi="宋体" w:eastAsia="宋体" w:cs="宋体"/>
          <w:b/>
          <w:color w:val="auto"/>
          <w:szCs w:val="21"/>
          <w:highlight w:val="none"/>
          <w:u w:val="single"/>
        </w:rPr>
        <w:t>不按要求与</w:t>
      </w:r>
      <w:r>
        <w:rPr>
          <w:rFonts w:hint="eastAsia" w:ascii="宋体" w:hAnsi="宋体" w:eastAsia="宋体" w:cs="宋体"/>
          <w:b/>
          <w:color w:val="auto"/>
          <w:szCs w:val="21"/>
          <w:highlight w:val="none"/>
          <w:u w:val="single"/>
          <w:lang w:eastAsia="zh-CN"/>
        </w:rPr>
        <w:t>招标人</w:t>
      </w:r>
      <w:r>
        <w:rPr>
          <w:rFonts w:ascii="宋体" w:hAnsi="宋体" w:eastAsia="宋体" w:cs="宋体"/>
          <w:b/>
          <w:color w:val="auto"/>
          <w:szCs w:val="21"/>
          <w:highlight w:val="none"/>
          <w:u w:val="single"/>
        </w:rPr>
        <w:t>签订合同等影响</w:t>
      </w:r>
      <w:r>
        <w:rPr>
          <w:rFonts w:hint="eastAsia" w:ascii="宋体" w:hAnsi="宋体" w:eastAsia="宋体" w:cs="宋体"/>
          <w:b/>
          <w:color w:val="auto"/>
          <w:szCs w:val="21"/>
          <w:highlight w:val="none"/>
          <w:u w:val="single"/>
        </w:rPr>
        <w:t>中标</w:t>
      </w:r>
      <w:r>
        <w:rPr>
          <w:rFonts w:ascii="宋体" w:hAnsi="宋体" w:eastAsia="宋体" w:cs="宋体"/>
          <w:b/>
          <w:color w:val="auto"/>
          <w:szCs w:val="21"/>
          <w:highlight w:val="none"/>
          <w:u w:val="single"/>
        </w:rPr>
        <w:t>结果的行为</w:t>
      </w:r>
      <w:r>
        <w:rPr>
          <w:rFonts w:hint="eastAsia" w:ascii="宋体" w:hAnsi="宋体" w:eastAsia="宋体" w:cs="宋体"/>
          <w:b/>
          <w:color w:val="auto"/>
          <w:szCs w:val="21"/>
          <w:highlight w:val="none"/>
          <w:u w:val="single"/>
        </w:rPr>
        <w:t>，因此导致</w:t>
      </w:r>
      <w:r>
        <w:rPr>
          <w:rFonts w:hint="eastAsia" w:ascii="宋体" w:hAnsi="宋体" w:eastAsia="宋体" w:cs="宋体"/>
          <w:b/>
          <w:color w:val="auto"/>
          <w:szCs w:val="21"/>
          <w:highlight w:val="none"/>
          <w:u w:val="single"/>
          <w:lang w:eastAsia="zh-CN"/>
        </w:rPr>
        <w:t>投标人</w:t>
      </w:r>
      <w:r>
        <w:rPr>
          <w:rFonts w:hint="eastAsia" w:ascii="宋体" w:hAnsi="宋体" w:eastAsia="宋体" w:cs="宋体"/>
          <w:b/>
          <w:color w:val="auto"/>
          <w:szCs w:val="21"/>
          <w:highlight w:val="none"/>
          <w:u w:val="single"/>
        </w:rPr>
        <w:t>无法参与</w:t>
      </w:r>
      <w:r>
        <w:rPr>
          <w:rFonts w:hint="eastAsia" w:ascii="宋体" w:hAnsi="宋体" w:eastAsia="宋体" w:cs="宋体"/>
          <w:b/>
          <w:color w:val="auto"/>
          <w:szCs w:val="21"/>
          <w:highlight w:val="none"/>
          <w:u w:val="single"/>
          <w:lang w:eastAsia="zh-CN"/>
        </w:rPr>
        <w:t>东莞市水务环境投资控股集团有限公司（含其全资公司、控股公司、由其管理的参股公司）</w:t>
      </w:r>
      <w:r>
        <w:rPr>
          <w:rFonts w:hint="eastAsia" w:ascii="宋体" w:hAnsi="宋体" w:eastAsia="宋体" w:cs="宋体"/>
          <w:b/>
          <w:color w:val="auto"/>
          <w:szCs w:val="21"/>
          <w:highlight w:val="none"/>
          <w:u w:val="single"/>
        </w:rPr>
        <w:t>相关招标采购等活动的，由</w:t>
      </w:r>
      <w:r>
        <w:rPr>
          <w:rFonts w:hint="eastAsia" w:ascii="宋体" w:hAnsi="宋体" w:eastAsia="宋体" w:cs="宋体"/>
          <w:b/>
          <w:color w:val="auto"/>
          <w:szCs w:val="21"/>
          <w:highlight w:val="none"/>
          <w:u w:val="single"/>
          <w:lang w:eastAsia="zh-CN"/>
        </w:rPr>
        <w:t>投标人</w:t>
      </w:r>
      <w:r>
        <w:rPr>
          <w:rFonts w:hint="eastAsia" w:ascii="宋体" w:hAnsi="宋体" w:eastAsia="宋体" w:cs="宋体"/>
          <w:b/>
          <w:color w:val="auto"/>
          <w:szCs w:val="21"/>
          <w:highlight w:val="none"/>
          <w:u w:val="single"/>
        </w:rPr>
        <w:t>自行承担全部后果</w:t>
      </w:r>
      <w:r>
        <w:rPr>
          <w:rFonts w:hint="eastAsia" w:ascii="宋体" w:hAnsi="宋体" w:eastAsia="宋体" w:cs="宋体"/>
          <w:b/>
          <w:color w:val="auto"/>
          <w:szCs w:val="21"/>
          <w:highlight w:val="none"/>
        </w:rPr>
        <w:t>。</w:t>
      </w:r>
    </w:p>
    <w:p w14:paraId="31ACC4C0">
      <w:pPr>
        <w:autoSpaceDE w:val="0"/>
        <w:autoSpaceDN w:val="0"/>
        <w:adjustRightInd w:val="0"/>
        <w:snapToGrid w:val="0"/>
        <w:spacing w:line="360" w:lineRule="auto"/>
        <w:jc w:val="left"/>
        <w:rPr>
          <w:rFonts w:ascii="宋体" w:hAnsi="宋体" w:eastAsia="宋体" w:cs="宋体"/>
          <w:color w:val="auto"/>
          <w:szCs w:val="21"/>
          <w:highlight w:val="none"/>
        </w:rPr>
      </w:pPr>
      <w:bookmarkStart w:id="446" w:name="_Toc466882019"/>
      <w:bookmarkStart w:id="447" w:name="_Toc465358971"/>
    </w:p>
    <w:p w14:paraId="3DC6EA4E">
      <w:pPr>
        <w:tabs>
          <w:tab w:val="left" w:pos="567"/>
        </w:tabs>
        <w:autoSpaceDE w:val="0"/>
        <w:autoSpaceDN w:val="0"/>
        <w:adjustRightInd w:val="0"/>
        <w:spacing w:line="360" w:lineRule="auto"/>
        <w:ind w:left="16" w:leftChars="-59" w:hanging="140" w:hangingChars="67"/>
        <w:outlineLvl w:val="2"/>
        <w:rPr>
          <w:rFonts w:ascii="宋体" w:hAnsi="宋体" w:eastAsia="宋体" w:cs="宋体"/>
          <w:color w:val="auto"/>
          <w:szCs w:val="21"/>
          <w:highlight w:val="none"/>
          <w:lang w:val="zh-CN"/>
        </w:rPr>
      </w:pPr>
      <w:bookmarkStart w:id="448" w:name="_Toc8654"/>
      <w:bookmarkStart w:id="449" w:name="_Toc142508347"/>
      <w:bookmarkStart w:id="450" w:name="_Toc26327"/>
      <w:bookmarkStart w:id="451" w:name="_Toc23672"/>
      <w:bookmarkStart w:id="452" w:name="_Toc486167696"/>
      <w:bookmarkStart w:id="453" w:name="_Toc17036"/>
      <w:bookmarkStart w:id="454" w:name="_Toc32262"/>
      <w:bookmarkStart w:id="455" w:name="_Toc7303"/>
      <w:bookmarkStart w:id="456" w:name="_Toc195714253"/>
      <w:bookmarkStart w:id="457" w:name="_Toc17785"/>
      <w:bookmarkStart w:id="458" w:name="_Toc10867_WPSOffice_Level3"/>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val="zh-CN"/>
        </w:rPr>
        <w:t xml:space="preserve"> 评标委员会和招标人接受或拒绝任何投标或所有投标的权利</w:t>
      </w:r>
      <w:bookmarkEnd w:id="446"/>
      <w:bookmarkEnd w:id="447"/>
      <w:bookmarkEnd w:id="448"/>
      <w:bookmarkEnd w:id="449"/>
      <w:bookmarkEnd w:id="450"/>
      <w:bookmarkEnd w:id="451"/>
      <w:bookmarkEnd w:id="452"/>
      <w:bookmarkEnd w:id="453"/>
      <w:bookmarkEnd w:id="454"/>
      <w:bookmarkEnd w:id="455"/>
      <w:bookmarkEnd w:id="456"/>
      <w:bookmarkEnd w:id="457"/>
      <w:bookmarkEnd w:id="458"/>
    </w:p>
    <w:p w14:paraId="68D0469A">
      <w:pPr>
        <w:autoSpaceDE w:val="0"/>
        <w:autoSpaceDN w:val="0"/>
        <w:adjustRightInd w:val="0"/>
        <w:spacing w:line="360" w:lineRule="auto"/>
        <w:ind w:left="248" w:leftChars="118" w:firstLine="1"/>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在授予合同前的任何时候，</w:t>
      </w:r>
      <w:r>
        <w:rPr>
          <w:rFonts w:hint="eastAsia" w:ascii="宋体" w:hAnsi="宋体" w:eastAsia="宋体" w:cs="宋体"/>
          <w:color w:val="auto"/>
          <w:kern w:val="0"/>
          <w:szCs w:val="21"/>
          <w:highlight w:val="none"/>
          <w:lang w:eastAsia="zh-CN"/>
        </w:rPr>
        <w:t>招标人</w:t>
      </w:r>
      <w:r>
        <w:rPr>
          <w:rFonts w:hint="eastAsia" w:ascii="宋体" w:hAnsi="宋体" w:eastAsia="宋体" w:cs="宋体"/>
          <w:color w:val="auto"/>
          <w:kern w:val="0"/>
          <w:szCs w:val="21"/>
          <w:highlight w:val="none"/>
        </w:rPr>
        <w:t>仍保留接受或拒绝任何</w:t>
      </w:r>
      <w:r>
        <w:rPr>
          <w:rFonts w:hint="eastAsia" w:ascii="宋体" w:hAnsi="宋体" w:eastAsia="宋体" w:cs="宋体"/>
          <w:color w:val="auto"/>
          <w:kern w:val="0"/>
          <w:szCs w:val="21"/>
          <w:highlight w:val="none"/>
          <w:lang w:eastAsia="zh-CN"/>
        </w:rPr>
        <w:t>投标</w:t>
      </w:r>
      <w:r>
        <w:rPr>
          <w:rFonts w:hint="eastAsia" w:ascii="宋体" w:hAnsi="宋体" w:eastAsia="宋体" w:cs="宋体"/>
          <w:color w:val="auto"/>
          <w:kern w:val="0"/>
          <w:szCs w:val="21"/>
          <w:highlight w:val="none"/>
        </w:rPr>
        <w:t>，宣布</w:t>
      </w:r>
      <w:r>
        <w:rPr>
          <w:rFonts w:hint="eastAsia" w:ascii="宋体" w:hAnsi="宋体" w:eastAsia="宋体" w:cs="宋体"/>
          <w:color w:val="auto"/>
          <w:kern w:val="0"/>
          <w:szCs w:val="21"/>
          <w:highlight w:val="none"/>
          <w:lang w:eastAsia="zh-CN"/>
        </w:rPr>
        <w:t>招标</w:t>
      </w:r>
      <w:r>
        <w:rPr>
          <w:rFonts w:hint="eastAsia" w:ascii="宋体" w:hAnsi="宋体" w:eastAsia="宋体" w:cs="宋体"/>
          <w:color w:val="auto"/>
          <w:kern w:val="0"/>
          <w:szCs w:val="21"/>
          <w:highlight w:val="none"/>
        </w:rPr>
        <w:t>程序无效或拒绝所有</w:t>
      </w:r>
      <w:r>
        <w:rPr>
          <w:rFonts w:hint="eastAsia" w:ascii="宋体" w:hAnsi="宋体" w:eastAsia="宋体" w:cs="宋体"/>
          <w:color w:val="auto"/>
          <w:kern w:val="0"/>
          <w:szCs w:val="21"/>
          <w:highlight w:val="none"/>
          <w:lang w:eastAsia="zh-CN"/>
        </w:rPr>
        <w:t>投标</w:t>
      </w:r>
      <w:r>
        <w:rPr>
          <w:rFonts w:hint="eastAsia" w:ascii="宋体" w:hAnsi="宋体" w:eastAsia="宋体" w:cs="宋体"/>
          <w:color w:val="auto"/>
          <w:kern w:val="0"/>
          <w:szCs w:val="21"/>
          <w:highlight w:val="none"/>
        </w:rPr>
        <w:t>的权利，无需向受影响的</w:t>
      </w:r>
      <w:r>
        <w:rPr>
          <w:rFonts w:hint="eastAsia" w:ascii="宋体" w:hAnsi="宋体" w:eastAsia="宋体" w:cs="宋体"/>
          <w:color w:val="auto"/>
          <w:kern w:val="0"/>
          <w:szCs w:val="21"/>
          <w:highlight w:val="none"/>
          <w:lang w:eastAsia="zh-CN"/>
        </w:rPr>
        <w:t>投标人</w:t>
      </w:r>
      <w:r>
        <w:rPr>
          <w:rFonts w:hint="eastAsia" w:ascii="宋体" w:hAnsi="宋体" w:eastAsia="宋体" w:cs="宋体"/>
          <w:color w:val="auto"/>
          <w:kern w:val="0"/>
          <w:szCs w:val="21"/>
          <w:highlight w:val="none"/>
        </w:rPr>
        <w:t>承担任何责任。</w:t>
      </w:r>
    </w:p>
    <w:p w14:paraId="433841D5">
      <w:pPr>
        <w:autoSpaceDE w:val="0"/>
        <w:autoSpaceDN w:val="0"/>
        <w:adjustRightInd w:val="0"/>
        <w:snapToGrid w:val="0"/>
        <w:spacing w:line="360" w:lineRule="auto"/>
        <w:ind w:left="436" w:leftChars="-158" w:hanging="768" w:hangingChars="320"/>
        <w:jc w:val="left"/>
        <w:rPr>
          <w:rFonts w:ascii="宋体" w:hAnsi="宋体" w:eastAsia="宋体" w:cs="宋体"/>
          <w:color w:val="auto"/>
          <w:kern w:val="44"/>
          <w:sz w:val="24"/>
          <w:szCs w:val="24"/>
          <w:highlight w:val="none"/>
          <w:lang w:val="zh-CN"/>
        </w:rPr>
      </w:pPr>
      <w:bookmarkStart w:id="459" w:name="_Toc450662880"/>
    </w:p>
    <w:p w14:paraId="1579E109">
      <w:pPr>
        <w:keepNext/>
        <w:keepLines/>
        <w:autoSpaceDE w:val="0"/>
        <w:autoSpaceDN w:val="0"/>
        <w:adjustRightInd w:val="0"/>
        <w:spacing w:line="360" w:lineRule="auto"/>
        <w:jc w:val="left"/>
        <w:outlineLvl w:val="0"/>
        <w:rPr>
          <w:rFonts w:ascii="宋体" w:hAnsi="宋体" w:eastAsia="宋体" w:cs="宋体"/>
          <w:b/>
          <w:bCs/>
          <w:color w:val="auto"/>
          <w:kern w:val="44"/>
          <w:szCs w:val="21"/>
          <w:highlight w:val="none"/>
          <w:lang w:val="zh-CN"/>
        </w:rPr>
      </w:pPr>
      <w:bookmarkStart w:id="460" w:name="_Toc8221"/>
      <w:bookmarkStart w:id="461" w:name="_Toc16848_WPSOffice_Level2"/>
      <w:bookmarkStart w:id="462" w:name="_Toc15263"/>
      <w:bookmarkStart w:id="463" w:name="_Toc16789"/>
      <w:bookmarkStart w:id="464" w:name="_Toc195714254"/>
      <w:bookmarkStart w:id="465" w:name="_Toc140596907"/>
      <w:bookmarkStart w:id="466" w:name="_Toc18956"/>
      <w:bookmarkStart w:id="467" w:name="_Toc27480"/>
      <w:bookmarkStart w:id="468" w:name="_Toc486167697"/>
      <w:bookmarkStart w:id="469" w:name="_Toc27936"/>
      <w:bookmarkStart w:id="470" w:name="_Toc9450"/>
      <w:bookmarkStart w:id="471" w:name="_Toc142508348"/>
      <w:r>
        <w:rPr>
          <w:rFonts w:hint="eastAsia" w:ascii="宋体" w:hAnsi="宋体" w:eastAsia="宋体" w:cs="宋体"/>
          <w:b/>
          <w:bCs/>
          <w:color w:val="auto"/>
          <w:kern w:val="44"/>
          <w:szCs w:val="21"/>
          <w:highlight w:val="none"/>
          <w:lang w:val="zh-CN"/>
        </w:rPr>
        <w:t>六、授予合同</w:t>
      </w:r>
      <w:bookmarkEnd w:id="459"/>
      <w:bookmarkEnd w:id="460"/>
      <w:bookmarkEnd w:id="461"/>
      <w:bookmarkEnd w:id="462"/>
      <w:bookmarkEnd w:id="463"/>
      <w:bookmarkEnd w:id="464"/>
      <w:bookmarkEnd w:id="465"/>
      <w:bookmarkEnd w:id="466"/>
      <w:bookmarkEnd w:id="467"/>
      <w:bookmarkEnd w:id="468"/>
      <w:bookmarkEnd w:id="469"/>
      <w:bookmarkEnd w:id="470"/>
      <w:bookmarkEnd w:id="471"/>
    </w:p>
    <w:p w14:paraId="6B6AEF7D">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472" w:name="_Toc31713"/>
      <w:bookmarkStart w:id="473" w:name="_Toc195714255"/>
      <w:bookmarkStart w:id="474" w:name="_Toc29383"/>
      <w:bookmarkStart w:id="475" w:name="_Toc8174"/>
      <w:bookmarkStart w:id="476" w:name="_Toc23421"/>
      <w:bookmarkStart w:id="477" w:name="_Toc142508349"/>
      <w:bookmarkStart w:id="478" w:name="_Toc24465"/>
      <w:bookmarkStart w:id="479" w:name="_Toc486167698"/>
      <w:bookmarkStart w:id="480" w:name="_Toc22827"/>
      <w:bookmarkStart w:id="481" w:name="_Toc30988"/>
      <w:bookmarkStart w:id="482" w:name="_Toc450662881"/>
      <w:bookmarkStart w:id="483" w:name="_Toc6401_WPSOffice_Level3"/>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4</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授予合同的准则</w:t>
      </w:r>
      <w:bookmarkEnd w:id="472"/>
      <w:bookmarkEnd w:id="473"/>
      <w:bookmarkEnd w:id="474"/>
      <w:bookmarkEnd w:id="475"/>
      <w:bookmarkEnd w:id="476"/>
      <w:bookmarkEnd w:id="477"/>
      <w:bookmarkEnd w:id="478"/>
      <w:bookmarkEnd w:id="479"/>
      <w:bookmarkEnd w:id="480"/>
      <w:bookmarkEnd w:id="481"/>
      <w:bookmarkEnd w:id="482"/>
      <w:bookmarkEnd w:id="483"/>
    </w:p>
    <w:p w14:paraId="6F523E4E">
      <w:pPr>
        <w:tabs>
          <w:tab w:val="left" w:pos="645"/>
        </w:tabs>
        <w:autoSpaceDE w:val="0"/>
        <w:autoSpaceDN w:val="0"/>
        <w:adjustRightInd w:val="0"/>
        <w:spacing w:line="360" w:lineRule="auto"/>
        <w:ind w:left="330" w:leftChars="-100" w:right="44" w:rightChars="21"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除第</w:t>
      </w:r>
      <w:r>
        <w:rPr>
          <w:rFonts w:hint="eastAsia" w:ascii="宋体" w:hAnsi="宋体" w:eastAsia="宋体" w:cs="宋体"/>
          <w:color w:val="auto"/>
          <w:szCs w:val="21"/>
          <w:highlight w:val="none"/>
        </w:rPr>
        <w:t>31</w:t>
      </w:r>
      <w:r>
        <w:rPr>
          <w:rFonts w:hint="eastAsia" w:ascii="宋体" w:hAnsi="宋体" w:eastAsia="宋体" w:cs="宋体"/>
          <w:color w:val="auto"/>
          <w:szCs w:val="21"/>
          <w:highlight w:val="none"/>
          <w:lang w:val="zh-CN"/>
        </w:rPr>
        <w:t>条、</w:t>
      </w:r>
      <w:r>
        <w:rPr>
          <w:rFonts w:hint="eastAsia" w:ascii="宋体" w:hAnsi="宋体" w:eastAsia="宋体" w:cs="宋体"/>
          <w:color w:val="auto"/>
          <w:szCs w:val="21"/>
          <w:highlight w:val="none"/>
        </w:rPr>
        <w:t>32</w:t>
      </w:r>
      <w:r>
        <w:rPr>
          <w:rFonts w:hint="eastAsia" w:ascii="宋体" w:hAnsi="宋体" w:eastAsia="宋体" w:cs="宋体"/>
          <w:color w:val="auto"/>
          <w:szCs w:val="21"/>
          <w:highlight w:val="none"/>
          <w:lang w:val="zh-CN"/>
        </w:rPr>
        <w:t>条</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Cs w:val="24"/>
          <w:highlight w:val="none"/>
        </w:rPr>
        <w:t>33</w:t>
      </w:r>
      <w:r>
        <w:rPr>
          <w:rFonts w:hint="eastAsia" w:ascii="宋体" w:hAnsi="宋体" w:eastAsia="宋体" w:cs="宋体"/>
          <w:color w:val="auto"/>
          <w:szCs w:val="21"/>
          <w:highlight w:val="none"/>
          <w:lang w:val="zh-CN"/>
        </w:rPr>
        <w:t>条规定外，招标人将合同授予其投标文件符合招标文件要求，并且能承诺履行合同，对招标人最为有利的投标人。</w:t>
      </w:r>
    </w:p>
    <w:p w14:paraId="04445B29">
      <w:pPr>
        <w:numPr>
          <w:ilvl w:val="1"/>
          <w:numId w:val="0"/>
        </w:numPr>
        <w:tabs>
          <w:tab w:val="left" w:pos="540"/>
        </w:tabs>
        <w:autoSpaceDE w:val="0"/>
        <w:autoSpaceDN w:val="0"/>
        <w:adjustRightInd w:val="0"/>
        <w:spacing w:line="360" w:lineRule="auto"/>
        <w:ind w:left="330" w:leftChars="-100" w:right="44" w:rightChars="21"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val="zh-CN"/>
        </w:rPr>
        <w:t>.2 招标人依法</w:t>
      </w:r>
      <w:r>
        <w:rPr>
          <w:rFonts w:hint="eastAsia" w:ascii="宋体" w:hAnsi="宋体" w:eastAsia="宋体" w:cs="宋体"/>
          <w:color w:val="auto"/>
          <w:kern w:val="0"/>
          <w:szCs w:val="21"/>
          <w:highlight w:val="none"/>
        </w:rPr>
        <w:t>按照</w:t>
      </w:r>
      <w:r>
        <w:rPr>
          <w:rFonts w:hint="eastAsia" w:ascii="宋体" w:hAnsi="宋体" w:eastAsia="宋体" w:cs="宋体"/>
          <w:color w:val="auto"/>
          <w:kern w:val="0"/>
          <w:szCs w:val="21"/>
          <w:highlight w:val="none"/>
          <w:lang w:val="en-US" w:eastAsia="zh-CN"/>
        </w:rPr>
        <w:t>评标</w:t>
      </w:r>
      <w:r>
        <w:rPr>
          <w:rFonts w:hint="eastAsia" w:ascii="宋体" w:hAnsi="宋体" w:eastAsia="宋体" w:cs="宋体"/>
          <w:color w:val="auto"/>
          <w:kern w:val="0"/>
          <w:szCs w:val="21"/>
          <w:highlight w:val="none"/>
        </w:rPr>
        <w:t>报告中推荐的中标候选人顺序</w:t>
      </w:r>
      <w:r>
        <w:rPr>
          <w:rFonts w:hint="eastAsia" w:ascii="宋体" w:hAnsi="宋体" w:eastAsia="宋体" w:cs="宋体"/>
          <w:color w:val="auto"/>
          <w:szCs w:val="21"/>
          <w:highlight w:val="none"/>
          <w:lang w:val="zh-CN"/>
        </w:rPr>
        <w:t>确定</w:t>
      </w:r>
      <w:r>
        <w:rPr>
          <w:rFonts w:hint="eastAsia" w:ascii="宋体" w:hAnsi="宋体" w:eastAsia="宋体" w:cs="宋体"/>
          <w:color w:val="auto"/>
          <w:szCs w:val="21"/>
          <w:highlight w:val="none"/>
          <w:lang w:val="en-US" w:eastAsia="zh-CN"/>
        </w:rPr>
        <w:t>中标</w:t>
      </w:r>
      <w:r>
        <w:rPr>
          <w:rFonts w:hint="eastAsia" w:ascii="宋体" w:hAnsi="宋体" w:eastAsia="宋体" w:cs="宋体"/>
          <w:color w:val="auto"/>
          <w:szCs w:val="21"/>
          <w:highlight w:val="none"/>
          <w:lang w:val="zh-CN"/>
        </w:rPr>
        <w:t>人。</w:t>
      </w:r>
    </w:p>
    <w:p w14:paraId="1963C824">
      <w:pPr>
        <w:autoSpaceDE w:val="0"/>
        <w:autoSpaceDN w:val="0"/>
        <w:adjustRightInd w:val="0"/>
        <w:snapToGrid w:val="0"/>
        <w:spacing w:line="360" w:lineRule="auto"/>
        <w:ind w:left="315" w:leftChars="-100" w:hanging="525" w:hangingChars="250"/>
        <w:jc w:val="left"/>
        <w:rPr>
          <w:rFonts w:hint="default" w:ascii="宋体" w:hAnsi="宋体" w:cs="宋体" w:eastAsiaTheme="minorEastAsia"/>
          <w:b/>
          <w:color w:val="auto"/>
          <w:kern w:val="0"/>
          <w:szCs w:val="21"/>
          <w:highlight w:val="none"/>
          <w:lang w:val="en-US" w:eastAsia="zh-CN"/>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4</w:t>
      </w:r>
      <w:r>
        <w:rPr>
          <w:rFonts w:hint="eastAsia" w:ascii="宋体" w:hAnsi="宋体" w:eastAsia="宋体" w:cs="宋体"/>
          <w:color w:val="auto"/>
          <w:kern w:val="0"/>
          <w:szCs w:val="21"/>
          <w:highlight w:val="none"/>
        </w:rPr>
        <w:t>.3 因不可抗力或自身原因不能履行合同的、不按要求与</w:t>
      </w:r>
      <w:r>
        <w:rPr>
          <w:rFonts w:hint="eastAsia" w:ascii="宋体" w:hAnsi="宋体" w:eastAsia="宋体" w:cs="宋体"/>
          <w:color w:val="auto"/>
          <w:kern w:val="0"/>
          <w:szCs w:val="21"/>
          <w:highlight w:val="none"/>
          <w:lang w:eastAsia="zh-CN"/>
        </w:rPr>
        <w:t>招标人</w:t>
      </w:r>
      <w:r>
        <w:rPr>
          <w:rFonts w:hint="eastAsia" w:ascii="宋体" w:hAnsi="宋体" w:eastAsia="宋体" w:cs="宋体"/>
          <w:color w:val="auto"/>
          <w:kern w:val="0"/>
          <w:szCs w:val="21"/>
          <w:highlight w:val="none"/>
        </w:rPr>
        <w:t>签订合同、</w:t>
      </w:r>
      <w:r>
        <w:rPr>
          <w:rFonts w:hint="eastAsia" w:ascii="宋体" w:hAnsi="宋体" w:eastAsia="宋体" w:cs="宋体"/>
          <w:color w:val="auto"/>
          <w:szCs w:val="21"/>
          <w:highlight w:val="none"/>
          <w:lang w:val="en-US" w:eastAsia="zh-CN"/>
        </w:rPr>
        <w:t>中标</w:t>
      </w:r>
      <w:r>
        <w:rPr>
          <w:rFonts w:hint="eastAsia" w:ascii="宋体" w:hAnsi="宋体" w:eastAsia="宋体" w:cs="宋体"/>
          <w:color w:val="auto"/>
          <w:szCs w:val="21"/>
          <w:highlight w:val="none"/>
          <w:lang w:val="zh-CN"/>
        </w:rPr>
        <w:t>人</w:t>
      </w:r>
      <w:r>
        <w:rPr>
          <w:rFonts w:hint="eastAsia" w:ascii="宋体" w:hAnsi="宋体" w:eastAsia="宋体" w:cs="宋体"/>
          <w:color w:val="auto"/>
          <w:kern w:val="0"/>
          <w:szCs w:val="21"/>
          <w:highlight w:val="none"/>
        </w:rPr>
        <w:t>放弃</w:t>
      </w:r>
      <w:r>
        <w:rPr>
          <w:rFonts w:hint="eastAsia" w:ascii="宋体" w:hAnsi="宋体" w:eastAsia="宋体" w:cs="宋体"/>
          <w:color w:val="auto"/>
          <w:szCs w:val="21"/>
          <w:highlight w:val="none"/>
          <w:lang w:val="en-US" w:eastAsia="zh-CN"/>
        </w:rPr>
        <w:t>中标</w:t>
      </w:r>
      <w:r>
        <w:rPr>
          <w:rFonts w:hint="eastAsia" w:ascii="宋体" w:hAnsi="宋体" w:eastAsia="宋体" w:cs="宋体"/>
          <w:color w:val="auto"/>
          <w:kern w:val="0"/>
          <w:szCs w:val="21"/>
          <w:highlight w:val="none"/>
        </w:rPr>
        <w:t>、</w:t>
      </w:r>
      <w:r>
        <w:rPr>
          <w:rFonts w:hint="eastAsia" w:ascii="宋体" w:hAnsi="宋体" w:eastAsia="宋体" w:cs="宋体"/>
          <w:color w:val="auto"/>
          <w:szCs w:val="21"/>
          <w:highlight w:val="none"/>
          <w:lang w:val="en-US" w:eastAsia="zh-CN"/>
        </w:rPr>
        <w:t>中标</w:t>
      </w:r>
      <w:r>
        <w:rPr>
          <w:rFonts w:hint="eastAsia" w:ascii="宋体" w:hAnsi="宋体" w:eastAsia="宋体" w:cs="宋体"/>
          <w:color w:val="auto"/>
          <w:kern w:val="0"/>
          <w:szCs w:val="21"/>
          <w:highlight w:val="none"/>
        </w:rPr>
        <w:t>资格被依法确认无效的，</w:t>
      </w:r>
      <w:r>
        <w:rPr>
          <w:rFonts w:hint="eastAsia" w:ascii="宋体" w:hAnsi="宋体" w:eastAsia="宋体" w:cs="宋体"/>
          <w:color w:val="auto"/>
          <w:kern w:val="0"/>
          <w:szCs w:val="21"/>
          <w:highlight w:val="none"/>
          <w:lang w:eastAsia="zh-CN"/>
        </w:rPr>
        <w:t>招标人</w:t>
      </w:r>
      <w:r>
        <w:rPr>
          <w:rFonts w:hint="eastAsia" w:ascii="宋体" w:hAnsi="宋体" w:eastAsia="宋体" w:cs="宋体"/>
          <w:sz w:val="21"/>
          <w:szCs w:val="21"/>
          <w:highlight w:val="none"/>
        </w:rPr>
        <w:t>将不满足要求的</w:t>
      </w:r>
      <w:r>
        <w:rPr>
          <w:rFonts w:hint="eastAsia" w:ascii="宋体" w:hAnsi="宋体" w:eastAsia="宋体" w:cs="宋体"/>
          <w:color w:val="auto"/>
          <w:szCs w:val="21"/>
          <w:highlight w:val="none"/>
          <w:lang w:val="en-US" w:eastAsia="zh-CN"/>
        </w:rPr>
        <w:t>中标</w:t>
      </w:r>
      <w:r>
        <w:rPr>
          <w:rFonts w:hint="eastAsia" w:ascii="宋体" w:hAnsi="宋体" w:eastAsia="宋体" w:cs="宋体"/>
          <w:color w:val="auto"/>
          <w:szCs w:val="21"/>
          <w:highlight w:val="none"/>
          <w:lang w:val="zh-CN"/>
        </w:rPr>
        <w:t>人</w:t>
      </w:r>
      <w:r>
        <w:rPr>
          <w:rFonts w:hint="eastAsia" w:ascii="宋体" w:hAnsi="宋体" w:eastAsia="宋体" w:cs="宋体"/>
          <w:sz w:val="21"/>
          <w:szCs w:val="21"/>
          <w:highlight w:val="none"/>
        </w:rPr>
        <w:t>进行强制退出</w:t>
      </w:r>
      <w:r>
        <w:rPr>
          <w:rFonts w:hint="eastAsia" w:ascii="宋体" w:hAnsi="宋体" w:eastAsia="宋体" w:cs="宋体"/>
          <w:sz w:val="21"/>
          <w:szCs w:val="21"/>
          <w:highlight w:val="none"/>
          <w:lang w:val="en-US" w:eastAsia="zh-CN"/>
        </w:rPr>
        <w:t>入</w:t>
      </w:r>
      <w:r>
        <w:rPr>
          <w:rFonts w:hint="eastAsia" w:ascii="宋体" w:hAnsi="宋体" w:eastAsia="宋体" w:cs="宋体"/>
          <w:sz w:val="21"/>
          <w:szCs w:val="21"/>
          <w:highlight w:val="none"/>
        </w:rPr>
        <w:t>库处理</w:t>
      </w:r>
      <w:r>
        <w:rPr>
          <w:rFonts w:hint="eastAsia" w:ascii="宋体" w:hAnsi="宋体" w:eastAsia="宋体" w:cs="宋体"/>
          <w:b w:val="0"/>
          <w:bCs/>
          <w:color w:val="auto"/>
          <w:kern w:val="0"/>
          <w:szCs w:val="21"/>
          <w:highlight w:val="none"/>
        </w:rPr>
        <w:t>。</w:t>
      </w:r>
      <w:r>
        <w:rPr>
          <w:rFonts w:hint="eastAsia" w:ascii="宋体" w:hAnsi="宋体" w:eastAsia="宋体" w:cs="宋体"/>
          <w:highlight w:val="none"/>
          <w:lang w:val="en-US" w:eastAsia="zh-CN"/>
        </w:rPr>
        <w:t>如本项目有入库备选供应商的，招标人有权按照入库备选供应商综合得分的由高到低的顺序将入库备选供应商补充入库。</w:t>
      </w:r>
    </w:p>
    <w:p w14:paraId="3666E898">
      <w:pPr>
        <w:autoSpaceDE w:val="0"/>
        <w:autoSpaceDN w:val="0"/>
        <w:adjustRightInd w:val="0"/>
        <w:snapToGrid w:val="0"/>
        <w:spacing w:line="360" w:lineRule="auto"/>
        <w:ind w:left="315" w:leftChars="-100" w:hanging="525" w:hangingChars="250"/>
        <w:jc w:val="left"/>
        <w:rPr>
          <w:rFonts w:hint="eastAsia" w:ascii="宋体" w:hAnsi="宋体" w:eastAsia="宋体" w:cs="宋体"/>
          <w:color w:val="auto"/>
          <w:szCs w:val="21"/>
          <w:highlight w:val="none"/>
          <w:lang w:val="zh-CN"/>
        </w:rPr>
      </w:pPr>
      <w:bookmarkStart w:id="484" w:name="_Toc450662885"/>
      <w:r>
        <w:rPr>
          <w:rFonts w:hint="eastAsia" w:ascii="宋体" w:hAnsi="宋体" w:eastAsia="宋体" w:cs="宋体"/>
          <w:color w:val="auto"/>
          <w:szCs w:val="21"/>
          <w:highlight w:val="none"/>
          <w:lang w:val="en-US" w:eastAsia="zh-CN"/>
        </w:rPr>
        <w:t>34</w:t>
      </w:r>
      <w:r>
        <w:rPr>
          <w:rFonts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4</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招标人有权根据投标人的履约情况及半干泥粉外运/接收处置情况，适时补充处置单位入</w:t>
      </w:r>
      <w:r>
        <w:rPr>
          <w:rFonts w:hint="eastAsia" w:ascii="宋体" w:hAnsi="宋体" w:eastAsia="宋体" w:cs="宋体"/>
          <w:color w:val="auto"/>
          <w:szCs w:val="21"/>
          <w:highlight w:val="none"/>
          <w:lang w:val="en-US" w:eastAsia="zh-CN"/>
        </w:rPr>
        <w:t>供应商</w:t>
      </w:r>
      <w:r>
        <w:rPr>
          <w:rFonts w:hint="eastAsia" w:ascii="宋体" w:hAnsi="宋体" w:eastAsia="宋体" w:cs="宋体"/>
          <w:color w:val="auto"/>
          <w:szCs w:val="21"/>
          <w:highlight w:val="none"/>
          <w:lang w:val="zh-CN"/>
        </w:rPr>
        <w:t>库。</w:t>
      </w:r>
    </w:p>
    <w:p w14:paraId="6C0A6423">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lang w:val="zh-CN"/>
        </w:rPr>
      </w:pPr>
    </w:p>
    <w:p w14:paraId="19D4507A">
      <w:pPr>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485" w:name="_Toc18984"/>
      <w:bookmarkStart w:id="486" w:name="_Toc10187"/>
      <w:bookmarkStart w:id="487" w:name="_Toc142508350"/>
      <w:bookmarkStart w:id="488" w:name="_Toc8196"/>
      <w:bookmarkStart w:id="489" w:name="_Toc3034"/>
      <w:bookmarkStart w:id="490" w:name="_Toc6726_WPSOffice_Level3"/>
      <w:bookmarkStart w:id="491" w:name="_Toc486167699"/>
      <w:bookmarkStart w:id="492" w:name="_Toc6728"/>
      <w:bookmarkStart w:id="493" w:name="_Toc18405"/>
      <w:bookmarkStart w:id="494" w:name="_Toc8625"/>
      <w:bookmarkStart w:id="495" w:name="_Toc195714256"/>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5</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中标通知</w:t>
      </w:r>
      <w:bookmarkEnd w:id="484"/>
      <w:bookmarkEnd w:id="485"/>
      <w:bookmarkEnd w:id="486"/>
      <w:bookmarkEnd w:id="487"/>
      <w:bookmarkEnd w:id="488"/>
      <w:bookmarkEnd w:id="489"/>
      <w:bookmarkEnd w:id="490"/>
      <w:bookmarkEnd w:id="491"/>
      <w:bookmarkEnd w:id="492"/>
      <w:bookmarkEnd w:id="493"/>
      <w:bookmarkEnd w:id="494"/>
      <w:bookmarkEnd w:id="495"/>
    </w:p>
    <w:p w14:paraId="382D5C91">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lang w:val="zh-CN"/>
        </w:rPr>
      </w:pPr>
      <w:bookmarkStart w:id="496" w:name="_Toc450662886"/>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招标代理机构向中标人发出书面通知，</w:t>
      </w:r>
      <w:r>
        <w:rPr>
          <w:rFonts w:hint="eastAsia" w:ascii="宋体" w:hAnsi="宋体" w:eastAsia="宋体" w:cs="宋体"/>
          <w:color w:val="auto"/>
          <w:szCs w:val="21"/>
          <w:highlight w:val="none"/>
          <w:lang w:val="en-US" w:eastAsia="zh-CN"/>
        </w:rPr>
        <w:t>入库结果</w:t>
      </w:r>
      <w:r>
        <w:rPr>
          <w:rFonts w:hint="eastAsia" w:ascii="宋体" w:hAnsi="宋体" w:eastAsia="宋体" w:cs="宋体"/>
          <w:color w:val="auto"/>
          <w:szCs w:val="21"/>
          <w:highlight w:val="none"/>
          <w:lang w:val="zh-CN"/>
        </w:rPr>
        <w:t>通知书是合同的一个组成部分。</w:t>
      </w:r>
    </w:p>
    <w:p w14:paraId="037621DE">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招标代理机构向中标人发出书面通知的同时，招标代理机构通知落选的投标人其投标文件未被接受而不提原因。</w:t>
      </w:r>
    </w:p>
    <w:p w14:paraId="6BF4AE9E">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lang w:val="zh-CN"/>
        </w:rPr>
      </w:pPr>
    </w:p>
    <w:p w14:paraId="27F9C140">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497" w:name="_Toc18607"/>
      <w:bookmarkStart w:id="498" w:name="_Toc30199"/>
      <w:bookmarkStart w:id="499" w:name="_Toc11654"/>
      <w:bookmarkStart w:id="500" w:name="_Toc28020"/>
      <w:bookmarkStart w:id="501" w:name="_Toc19127"/>
      <w:bookmarkStart w:id="502" w:name="_Toc195714257"/>
      <w:bookmarkStart w:id="503" w:name="_Toc8729"/>
      <w:bookmarkStart w:id="504" w:name="_Toc142508351"/>
      <w:bookmarkStart w:id="505" w:name="_Toc9694_WPSOffice_Level3"/>
      <w:bookmarkStart w:id="506" w:name="_Toc17956"/>
      <w:bookmarkStart w:id="507" w:name="_Toc486167700"/>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6</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签署合同</w:t>
      </w:r>
      <w:bookmarkEnd w:id="496"/>
      <w:bookmarkEnd w:id="497"/>
      <w:bookmarkEnd w:id="498"/>
      <w:bookmarkEnd w:id="499"/>
      <w:bookmarkEnd w:id="500"/>
      <w:bookmarkEnd w:id="501"/>
      <w:bookmarkEnd w:id="502"/>
      <w:bookmarkEnd w:id="503"/>
      <w:bookmarkEnd w:id="504"/>
      <w:bookmarkEnd w:id="505"/>
      <w:bookmarkEnd w:id="506"/>
      <w:bookmarkEnd w:id="507"/>
    </w:p>
    <w:p w14:paraId="48294E0C">
      <w:pPr>
        <w:tabs>
          <w:tab w:val="left" w:pos="540"/>
        </w:tabs>
        <w:autoSpaceDE w:val="0"/>
        <w:autoSpaceDN w:val="0"/>
        <w:adjustRightInd w:val="0"/>
        <w:spacing w:line="360" w:lineRule="auto"/>
        <w:ind w:left="330" w:leftChars="-100" w:right="15" w:rightChars="7"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Times New Roman"/>
          <w:b/>
          <w:color w:val="auto"/>
          <w:szCs w:val="21"/>
          <w:highlight w:val="none"/>
          <w:u w:val="single"/>
          <w:lang w:val="en-US" w:eastAsia="zh-CN"/>
        </w:rPr>
        <w:t>中</w:t>
      </w:r>
      <w:r>
        <w:rPr>
          <w:rFonts w:hint="eastAsia" w:ascii="宋体" w:hAnsi="宋体" w:eastAsia="宋体" w:cs="Times New Roman"/>
          <w:b/>
          <w:color w:val="auto"/>
          <w:szCs w:val="21"/>
          <w:highlight w:val="none"/>
          <w:u w:val="single"/>
          <w:lang w:val="zh-CN"/>
        </w:rPr>
        <w:t>标人在自入库结果通知书发出之日起30日内，按照招标文件和</w:t>
      </w:r>
      <w:r>
        <w:rPr>
          <w:rFonts w:hint="eastAsia" w:ascii="宋体" w:hAnsi="宋体" w:eastAsia="宋体" w:cs="Times New Roman"/>
          <w:b/>
          <w:color w:val="auto"/>
          <w:szCs w:val="21"/>
          <w:highlight w:val="none"/>
          <w:u w:val="single"/>
          <w:lang w:val="en-US" w:eastAsia="zh-CN"/>
        </w:rPr>
        <w:t>中</w:t>
      </w:r>
      <w:r>
        <w:rPr>
          <w:rFonts w:hint="eastAsia" w:ascii="宋体" w:hAnsi="宋体" w:eastAsia="宋体" w:cs="Times New Roman"/>
          <w:b/>
          <w:color w:val="auto"/>
          <w:szCs w:val="21"/>
          <w:highlight w:val="none"/>
          <w:u w:val="single"/>
          <w:lang w:val="zh-CN"/>
        </w:rPr>
        <w:t>标人的投标文件的约定，与招标人签订书面合同，具体签订方式以招标人通知为准。否则招标人有权取消</w:t>
      </w:r>
      <w:r>
        <w:rPr>
          <w:rFonts w:hint="eastAsia" w:ascii="宋体" w:hAnsi="宋体" w:eastAsia="宋体" w:cs="Times New Roman"/>
          <w:b/>
          <w:color w:val="auto"/>
          <w:szCs w:val="21"/>
          <w:highlight w:val="none"/>
          <w:u w:val="single"/>
          <w:lang w:val="en-US" w:eastAsia="zh-CN"/>
        </w:rPr>
        <w:t>中标</w:t>
      </w:r>
      <w:r>
        <w:rPr>
          <w:rFonts w:hint="eastAsia" w:ascii="宋体" w:hAnsi="宋体" w:eastAsia="宋体" w:cs="Times New Roman"/>
          <w:b/>
          <w:color w:val="auto"/>
          <w:szCs w:val="21"/>
          <w:highlight w:val="none"/>
          <w:u w:val="single"/>
          <w:lang w:val="zh-CN"/>
        </w:rPr>
        <w:t>资格并按招标文件及法律、法规的规定进行处理</w:t>
      </w:r>
      <w:r>
        <w:rPr>
          <w:rFonts w:hint="eastAsia" w:ascii="宋体" w:hAnsi="宋体" w:eastAsia="宋体" w:cs="宋体"/>
          <w:color w:val="auto"/>
          <w:szCs w:val="21"/>
          <w:highlight w:val="none"/>
          <w:lang w:val="zh-CN"/>
        </w:rPr>
        <w:t>。</w:t>
      </w:r>
    </w:p>
    <w:p w14:paraId="71210168">
      <w:pPr>
        <w:autoSpaceDE w:val="0"/>
        <w:autoSpaceDN w:val="0"/>
        <w:adjustRightInd w:val="0"/>
        <w:snapToGrid w:val="0"/>
        <w:spacing w:line="360" w:lineRule="auto"/>
        <w:ind w:left="315" w:leftChars="-100" w:hanging="525" w:hangingChars="250"/>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en-US" w:eastAsia="zh-CN"/>
        </w:rPr>
        <w:t>36</w:t>
      </w:r>
      <w:r>
        <w:rPr>
          <w:rFonts w:hint="eastAsia" w:ascii="宋体" w:hAnsi="宋体" w:eastAsia="宋体" w:cs="宋体"/>
          <w:color w:val="auto"/>
          <w:szCs w:val="21"/>
          <w:highlight w:val="none"/>
          <w:lang w:val="zh-CN"/>
        </w:rPr>
        <w:t xml:space="preserve">.2 </w:t>
      </w:r>
      <w:r>
        <w:rPr>
          <w:rFonts w:hint="eastAsia" w:ascii="宋体" w:hAnsi="宋体" w:eastAsia="宋体" w:cs="Times New Roman"/>
          <w:b/>
          <w:color w:val="auto"/>
          <w:szCs w:val="21"/>
          <w:highlight w:val="none"/>
          <w:u w:val="single"/>
          <w:lang w:val="zh-CN"/>
        </w:rPr>
        <w:t>中标</w:t>
      </w:r>
      <w:r>
        <w:rPr>
          <w:rFonts w:hint="eastAsia" w:ascii="宋体" w:hAnsi="宋体" w:eastAsia="宋体" w:cs="Times New Roman"/>
          <w:b/>
          <w:color w:val="auto"/>
          <w:szCs w:val="21"/>
          <w:highlight w:val="none"/>
          <w:u w:val="single"/>
          <w:lang w:val="en-US" w:eastAsia="zh-CN"/>
        </w:rPr>
        <w:t>人</w:t>
      </w:r>
      <w:r>
        <w:rPr>
          <w:rFonts w:hint="eastAsia" w:ascii="宋体" w:hAnsi="宋体" w:eastAsia="宋体" w:cs="宋体"/>
          <w:b/>
          <w:bCs/>
          <w:color w:val="auto"/>
          <w:szCs w:val="21"/>
          <w:highlight w:val="none"/>
          <w:u w:val="single"/>
          <w:lang w:val="zh-CN"/>
        </w:rPr>
        <w:t>签署东莞市众源环境投资有限公司半干化泥粉外运资源化处置服务供应商库入库合同后成为东莞市众源环境投资有限公司污泥外运资源化处置服务供应商库供应商</w:t>
      </w:r>
      <w:r>
        <w:rPr>
          <w:rFonts w:hint="eastAsia" w:ascii="宋体" w:hAnsi="宋体" w:eastAsia="宋体" w:cs="宋体"/>
          <w:b/>
          <w:bCs/>
          <w:color w:val="auto"/>
          <w:szCs w:val="21"/>
          <w:highlight w:val="none"/>
          <w:u w:val="none"/>
          <w:lang w:val="zh-CN"/>
        </w:rPr>
        <w:t>。</w:t>
      </w:r>
    </w:p>
    <w:p w14:paraId="2E7492C8">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lang w:val="zh-CN"/>
        </w:rPr>
      </w:pPr>
    </w:p>
    <w:p w14:paraId="63C8811A">
      <w:pPr>
        <w:tabs>
          <w:tab w:val="left" w:pos="360"/>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508" w:name="_Toc8181"/>
      <w:bookmarkStart w:id="509" w:name="_Toc450662887"/>
      <w:bookmarkStart w:id="510" w:name="_Toc486167701"/>
      <w:bookmarkStart w:id="511" w:name="_Toc142508352"/>
      <w:bookmarkStart w:id="512" w:name="_Toc5304"/>
      <w:bookmarkStart w:id="513" w:name="_Toc24445"/>
      <w:bookmarkStart w:id="514" w:name="_Toc10513_WPSOffice_Level3"/>
      <w:bookmarkStart w:id="515" w:name="_Toc11442"/>
      <w:bookmarkStart w:id="516" w:name="_Toc16066"/>
      <w:bookmarkStart w:id="517" w:name="_Toc2259"/>
      <w:bookmarkStart w:id="518" w:name="_Toc195714258"/>
      <w:bookmarkStart w:id="519" w:name="_Toc5350"/>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7</w:t>
      </w:r>
      <w:r>
        <w:rPr>
          <w:rFonts w:ascii="宋体" w:hAnsi="宋体" w:eastAsia="宋体" w:cs="宋体"/>
          <w:color w:val="auto"/>
          <w:szCs w:val="21"/>
          <w:highlight w:val="none"/>
        </w:rPr>
        <w:t xml:space="preserve"> </w:t>
      </w:r>
      <w:r>
        <w:rPr>
          <w:rFonts w:hint="eastAsia" w:ascii="宋体" w:hAnsi="宋体" w:eastAsia="宋体" w:cs="Arial"/>
          <w:bCs/>
          <w:color w:val="auto"/>
          <w:kern w:val="0"/>
          <w:szCs w:val="24"/>
          <w:highlight w:val="none"/>
          <w:lang w:eastAsia="zh-CN"/>
        </w:rPr>
        <w:t>入库</w:t>
      </w:r>
      <w:r>
        <w:rPr>
          <w:rFonts w:hint="eastAsia" w:ascii="宋体" w:hAnsi="宋体" w:eastAsia="宋体" w:cs="宋体"/>
          <w:color w:val="auto"/>
          <w:szCs w:val="21"/>
          <w:highlight w:val="none"/>
          <w:lang w:val="zh-CN"/>
        </w:rPr>
        <w:t>履约担保</w:t>
      </w:r>
      <w:bookmarkEnd w:id="508"/>
      <w:bookmarkEnd w:id="509"/>
      <w:bookmarkEnd w:id="510"/>
      <w:bookmarkEnd w:id="511"/>
      <w:bookmarkEnd w:id="512"/>
      <w:bookmarkEnd w:id="513"/>
      <w:bookmarkEnd w:id="514"/>
      <w:bookmarkEnd w:id="515"/>
      <w:bookmarkEnd w:id="516"/>
      <w:bookmarkEnd w:id="517"/>
      <w:bookmarkEnd w:id="518"/>
      <w:bookmarkEnd w:id="519"/>
    </w:p>
    <w:p w14:paraId="6E6F2D6C">
      <w:pPr>
        <w:numPr>
          <w:ilvl w:val="1"/>
          <w:numId w:val="0"/>
        </w:numPr>
        <w:autoSpaceDE w:val="0"/>
        <w:autoSpaceDN w:val="0"/>
        <w:adjustRightInd w:val="0"/>
        <w:spacing w:line="360" w:lineRule="auto"/>
        <w:ind w:left="354" w:leftChars="-100" w:right="15" w:rightChars="7" w:hanging="564" w:hangingChars="269"/>
        <w:rPr>
          <w:rFonts w:ascii="宋体" w:hAnsi="宋体" w:eastAsia="宋体" w:cs="宋体"/>
          <w:b/>
          <w:bCs/>
          <w:color w:val="auto"/>
          <w:szCs w:val="21"/>
          <w:highlight w:val="none"/>
          <w:lang w:val="zh-CN"/>
        </w:rPr>
      </w:pPr>
      <w:bookmarkStart w:id="520" w:name="_Toc465358977"/>
      <w:bookmarkStart w:id="521" w:name="_Toc466882025"/>
      <w:r>
        <w:rPr>
          <w:rFonts w:hint="eastAsia" w:ascii="宋体" w:hAnsi="宋体" w:eastAsia="宋体" w:cs="宋体"/>
          <w:bCs/>
          <w:color w:val="auto"/>
          <w:szCs w:val="21"/>
          <w:highlight w:val="none"/>
        </w:rPr>
        <w:t>3</w:t>
      </w:r>
      <w:r>
        <w:rPr>
          <w:rFonts w:hint="eastAsia" w:ascii="宋体" w:hAnsi="宋体" w:eastAsia="宋体" w:cs="宋体"/>
          <w:bCs/>
          <w:color w:val="auto"/>
          <w:szCs w:val="21"/>
          <w:highlight w:val="none"/>
          <w:lang w:val="en-US" w:eastAsia="zh-CN"/>
        </w:rPr>
        <w:t>7</w:t>
      </w:r>
      <w:r>
        <w:rPr>
          <w:rFonts w:hint="eastAsia" w:ascii="宋体" w:hAnsi="宋体" w:eastAsia="宋体" w:cs="宋体"/>
          <w:bCs/>
          <w:color w:val="auto"/>
          <w:szCs w:val="21"/>
          <w:highlight w:val="none"/>
          <w:lang w:val="zh-CN"/>
        </w:rPr>
        <w:t>.1</w:t>
      </w:r>
      <w:r>
        <w:rPr>
          <w:rFonts w:hint="eastAsia" w:ascii="宋体" w:hAnsi="宋体" w:eastAsia="宋体" w:cs="宋体"/>
          <w:b/>
          <w:bCs/>
          <w:color w:val="auto"/>
          <w:szCs w:val="21"/>
          <w:highlight w:val="none"/>
          <w:lang w:val="zh-CN"/>
        </w:rPr>
        <w:t xml:space="preserve"> </w:t>
      </w:r>
      <w:r>
        <w:rPr>
          <w:rFonts w:hint="eastAsia" w:ascii="宋体" w:hAnsi="宋体" w:eastAsia="宋体" w:cs="Times New Roman"/>
          <w:b/>
          <w:bCs/>
          <w:color w:val="auto"/>
          <w:szCs w:val="21"/>
          <w:highlight w:val="none"/>
          <w:u w:val="single"/>
          <w:lang w:val="en-US" w:eastAsia="zh-CN"/>
        </w:rPr>
        <w:t>中</w:t>
      </w:r>
      <w:r>
        <w:rPr>
          <w:rFonts w:hint="eastAsia" w:ascii="宋体" w:hAnsi="宋体" w:eastAsia="宋体" w:cs="Times New Roman"/>
          <w:b/>
          <w:bCs/>
          <w:color w:val="auto"/>
          <w:szCs w:val="21"/>
          <w:highlight w:val="none"/>
          <w:u w:val="single"/>
          <w:lang w:val="zh-CN"/>
        </w:rPr>
        <w:t>标人应在签订入库合同前，按本招标文件规定金额及形式要求，</w:t>
      </w:r>
      <w:r>
        <w:rPr>
          <w:rFonts w:hint="eastAsia" w:ascii="宋体" w:hAnsi="宋体" w:eastAsia="宋体" w:cs="Times New Roman"/>
          <w:b/>
          <w:bCs/>
          <w:color w:val="auto"/>
          <w:szCs w:val="21"/>
          <w:highlight w:val="none"/>
          <w:u w:val="single"/>
          <w:lang w:val="en-US" w:eastAsia="zh-CN"/>
        </w:rPr>
        <w:t>向招标人提交不可撤销银行履约保函（或履约保证金或履约保证保险或担保公司履约担保书）作为入库履约担保（所需费用由中标人自行承担），否则招标人可取消中标人的入库资格，不予退还其投标保证金。其中，采用履约保证金（银行转账形式）的金额为人民币壹拾万元整（¥100,000.00），采用不可撤销银行履约保函形式的金额为人民币壹拾陆万元整（¥160,000.00），采用履约保证保险形式的金额为人民币贰拾万元整（¥200,000.00），采用担保公司履约担保书形式的金额为人民币贰拾万元整（¥200,000.00）。</w:t>
      </w:r>
      <w:r>
        <w:rPr>
          <w:rFonts w:hint="eastAsia" w:ascii="宋体" w:hAnsi="宋体" w:eastAsia="宋体" w:cs="Arial"/>
          <w:bCs/>
          <w:color w:val="auto"/>
          <w:kern w:val="0"/>
          <w:szCs w:val="24"/>
          <w:highlight w:val="none"/>
        </w:rPr>
        <w:t>合同履行过程中，</w:t>
      </w:r>
      <w:r>
        <w:rPr>
          <w:rFonts w:hint="eastAsia" w:ascii="宋体" w:hAnsi="宋体" w:eastAsia="宋体" w:cs="Arial"/>
          <w:bCs/>
          <w:color w:val="auto"/>
          <w:kern w:val="0"/>
          <w:szCs w:val="24"/>
          <w:highlight w:val="none"/>
          <w:lang w:val="en-US" w:eastAsia="zh-CN"/>
        </w:rPr>
        <w:t>中标人</w:t>
      </w:r>
      <w:r>
        <w:rPr>
          <w:rFonts w:hint="eastAsia" w:ascii="宋体" w:hAnsi="宋体" w:eastAsia="宋体" w:cs="Arial"/>
          <w:color w:val="auto"/>
          <w:kern w:val="0"/>
          <w:szCs w:val="24"/>
          <w:highlight w:val="none"/>
        </w:rPr>
        <w:t>给</w:t>
      </w:r>
      <w:r>
        <w:rPr>
          <w:rFonts w:hint="eastAsia" w:ascii="宋体" w:hAnsi="宋体" w:eastAsia="宋体" w:cs="Arial"/>
          <w:color w:val="auto"/>
          <w:kern w:val="0"/>
          <w:szCs w:val="24"/>
          <w:highlight w:val="none"/>
          <w:lang w:eastAsia="zh-CN"/>
        </w:rPr>
        <w:t>招标人</w:t>
      </w:r>
      <w:r>
        <w:rPr>
          <w:rFonts w:hint="eastAsia" w:ascii="宋体" w:hAnsi="宋体" w:eastAsia="宋体" w:cs="Arial"/>
          <w:color w:val="auto"/>
          <w:kern w:val="0"/>
          <w:szCs w:val="24"/>
          <w:highlight w:val="none"/>
        </w:rPr>
        <w:t>造成的损失超过履约担保数额的，</w:t>
      </w:r>
      <w:r>
        <w:rPr>
          <w:rFonts w:hint="eastAsia" w:ascii="宋体" w:hAnsi="宋体" w:eastAsia="宋体" w:cs="Arial"/>
          <w:bCs/>
          <w:color w:val="auto"/>
          <w:kern w:val="0"/>
          <w:szCs w:val="24"/>
          <w:highlight w:val="none"/>
          <w:lang w:val="en-US" w:eastAsia="zh-CN"/>
        </w:rPr>
        <w:t>中标人</w:t>
      </w:r>
      <w:r>
        <w:rPr>
          <w:rFonts w:hint="eastAsia" w:ascii="宋体" w:hAnsi="宋体" w:eastAsia="宋体" w:cs="Arial"/>
          <w:color w:val="auto"/>
          <w:kern w:val="0"/>
          <w:szCs w:val="24"/>
          <w:highlight w:val="none"/>
        </w:rPr>
        <w:t>还应当对超过部分予以赔偿，</w:t>
      </w:r>
      <w:r>
        <w:rPr>
          <w:rFonts w:hint="eastAsia" w:ascii="宋体" w:hAnsi="宋体" w:eastAsia="宋体" w:cs="Arial"/>
          <w:color w:val="auto"/>
          <w:kern w:val="0"/>
          <w:szCs w:val="24"/>
          <w:highlight w:val="none"/>
          <w:lang w:eastAsia="zh-CN"/>
        </w:rPr>
        <w:t>招标人</w:t>
      </w:r>
      <w:r>
        <w:rPr>
          <w:rFonts w:hint="eastAsia" w:ascii="宋体" w:hAnsi="宋体" w:eastAsia="宋体" w:cs="Arial"/>
          <w:color w:val="auto"/>
          <w:kern w:val="0"/>
          <w:szCs w:val="24"/>
          <w:highlight w:val="none"/>
        </w:rPr>
        <w:t>并依法追究</w:t>
      </w:r>
      <w:r>
        <w:rPr>
          <w:rFonts w:hint="eastAsia" w:ascii="宋体" w:hAnsi="宋体" w:eastAsia="宋体" w:cs="Arial"/>
          <w:bCs/>
          <w:color w:val="auto"/>
          <w:kern w:val="0"/>
          <w:szCs w:val="24"/>
          <w:highlight w:val="none"/>
          <w:lang w:val="en-US" w:eastAsia="zh-CN"/>
        </w:rPr>
        <w:t>中标人</w:t>
      </w:r>
      <w:r>
        <w:rPr>
          <w:rFonts w:hint="eastAsia" w:ascii="宋体" w:hAnsi="宋体" w:eastAsia="宋体" w:cs="Arial"/>
          <w:color w:val="auto"/>
          <w:kern w:val="0"/>
          <w:szCs w:val="24"/>
          <w:highlight w:val="none"/>
        </w:rPr>
        <w:t>的相应责任。</w:t>
      </w:r>
    </w:p>
    <w:p w14:paraId="6152AC97">
      <w:pPr>
        <w:tabs>
          <w:tab w:val="left" w:pos="360"/>
          <w:tab w:val="left" w:pos="4725"/>
        </w:tabs>
        <w:autoSpaceDE w:val="0"/>
        <w:autoSpaceDN w:val="0"/>
        <w:adjustRightInd w:val="0"/>
        <w:spacing w:line="360" w:lineRule="auto"/>
        <w:ind w:left="315" w:leftChars="-100" w:hanging="525" w:hangingChars="25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 xml:space="preserve">.2 </w:t>
      </w:r>
      <w:r>
        <w:rPr>
          <w:rFonts w:hint="eastAsia" w:ascii="宋体" w:hAnsi="宋体" w:eastAsia="宋体" w:cs="Arial"/>
          <w:bCs/>
          <w:color w:val="auto"/>
          <w:kern w:val="0"/>
          <w:szCs w:val="24"/>
          <w:highlight w:val="none"/>
          <w:lang w:eastAsia="zh-CN"/>
        </w:rPr>
        <w:t>入库</w:t>
      </w:r>
      <w:r>
        <w:rPr>
          <w:rFonts w:hint="eastAsia" w:ascii="宋体" w:hAnsi="宋体" w:eastAsia="宋体" w:cs="Times New Roman"/>
          <w:color w:val="auto"/>
          <w:kern w:val="0"/>
          <w:szCs w:val="21"/>
          <w:highlight w:val="none"/>
        </w:rPr>
        <w:t>履约担保用于补偿</w:t>
      </w:r>
      <w:r>
        <w:rPr>
          <w:rFonts w:hint="eastAsia" w:ascii="宋体" w:hAnsi="宋体" w:eastAsia="宋体" w:cs="Times New Roman"/>
          <w:color w:val="auto"/>
          <w:kern w:val="0"/>
          <w:szCs w:val="21"/>
          <w:highlight w:val="none"/>
          <w:lang w:eastAsia="zh-CN"/>
        </w:rPr>
        <w:t>招标人</w:t>
      </w:r>
      <w:r>
        <w:rPr>
          <w:rFonts w:hint="eastAsia" w:ascii="宋体" w:hAnsi="宋体" w:eastAsia="宋体" w:cs="Times New Roman"/>
          <w:color w:val="auto"/>
          <w:kern w:val="0"/>
          <w:szCs w:val="21"/>
          <w:highlight w:val="none"/>
        </w:rPr>
        <w:t>因中标人不能完全履行其合同义务而蒙受的损失</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rPr>
        <w:t>如发生下列任一情况时，</w:t>
      </w:r>
      <w:r>
        <w:rPr>
          <w:rFonts w:hint="eastAsia" w:ascii="宋体" w:hAnsi="宋体" w:eastAsia="宋体" w:cs="Times New Roman"/>
          <w:color w:val="auto"/>
          <w:kern w:val="0"/>
          <w:szCs w:val="21"/>
          <w:highlight w:val="none"/>
          <w:lang w:eastAsia="zh-CN"/>
        </w:rPr>
        <w:t>招标人</w:t>
      </w:r>
      <w:r>
        <w:rPr>
          <w:rFonts w:hint="eastAsia" w:ascii="宋体" w:hAnsi="宋体" w:eastAsia="宋体" w:cs="Times New Roman"/>
          <w:color w:val="auto"/>
          <w:kern w:val="0"/>
          <w:szCs w:val="21"/>
          <w:highlight w:val="none"/>
        </w:rPr>
        <w:t>有权依合同追究违约责任外，</w:t>
      </w:r>
      <w:r>
        <w:rPr>
          <w:rFonts w:hint="eastAsia" w:ascii="宋体" w:hAnsi="宋体" w:eastAsia="宋体" w:cs="Times New Roman"/>
          <w:color w:val="auto"/>
          <w:kern w:val="0"/>
          <w:szCs w:val="21"/>
          <w:highlight w:val="none"/>
          <w:lang w:val="en-US" w:eastAsia="zh-CN"/>
        </w:rPr>
        <w:t>还</w:t>
      </w:r>
      <w:r>
        <w:rPr>
          <w:rFonts w:hint="eastAsia" w:ascii="宋体" w:hAnsi="宋体" w:eastAsia="宋体" w:cs="Times New Roman"/>
          <w:color w:val="auto"/>
          <w:kern w:val="0"/>
          <w:szCs w:val="21"/>
          <w:highlight w:val="none"/>
        </w:rPr>
        <w:t>有权提取</w:t>
      </w:r>
      <w:r>
        <w:rPr>
          <w:rFonts w:hint="eastAsia" w:ascii="宋体" w:hAnsi="宋体" w:eastAsia="宋体" w:cs="Times New Roman"/>
          <w:color w:val="auto"/>
          <w:kern w:val="0"/>
          <w:szCs w:val="21"/>
          <w:highlight w:val="none"/>
          <w:lang w:val="en-US" w:eastAsia="zh-CN"/>
        </w:rPr>
        <w:t>入库</w:t>
      </w:r>
      <w:r>
        <w:rPr>
          <w:rFonts w:hint="eastAsia" w:ascii="宋体" w:hAnsi="宋体" w:eastAsia="宋体" w:cs="Times New Roman"/>
          <w:color w:val="auto"/>
          <w:kern w:val="0"/>
          <w:szCs w:val="21"/>
          <w:highlight w:val="none"/>
        </w:rPr>
        <w:t>履约担保并进行相应处理</w:t>
      </w:r>
      <w:r>
        <w:rPr>
          <w:rFonts w:hint="eastAsia" w:ascii="宋体" w:hAnsi="宋体" w:eastAsia="宋体" w:cs="宋体"/>
          <w:color w:val="auto"/>
          <w:kern w:val="0"/>
          <w:szCs w:val="21"/>
          <w:highlight w:val="none"/>
        </w:rPr>
        <w:t>：</w:t>
      </w:r>
    </w:p>
    <w:p w14:paraId="44D2AEBF">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lang w:val="en-US" w:eastAsia="zh-CN"/>
        </w:rPr>
        <w:t>1</w:t>
      </w:r>
      <w:r>
        <w:rPr>
          <w:rFonts w:ascii="宋体" w:hAnsi="宋体" w:eastAsia="宋体" w:cs="Times New Roman"/>
          <w:color w:val="auto"/>
          <w:kern w:val="0"/>
          <w:szCs w:val="21"/>
          <w:highlight w:val="none"/>
        </w:rPr>
        <w:t>）在合同履行期间，因</w:t>
      </w:r>
      <w:r>
        <w:rPr>
          <w:rFonts w:hint="eastAsia" w:ascii="宋体" w:hAnsi="宋体" w:eastAsia="宋体" w:cs="Times New Roman"/>
          <w:color w:val="auto"/>
          <w:kern w:val="0"/>
          <w:szCs w:val="21"/>
          <w:highlight w:val="none"/>
        </w:rPr>
        <w:t>中标人</w:t>
      </w:r>
      <w:r>
        <w:rPr>
          <w:rFonts w:ascii="宋体" w:hAnsi="宋体" w:eastAsia="宋体" w:cs="Times New Roman"/>
          <w:color w:val="auto"/>
          <w:kern w:val="0"/>
          <w:szCs w:val="21"/>
          <w:highlight w:val="none"/>
        </w:rPr>
        <w:t>服务质量问题造成损害、侵权损失（包括但不限于</w:t>
      </w:r>
      <w:r>
        <w:rPr>
          <w:rFonts w:hint="eastAsia" w:ascii="宋体" w:hAnsi="宋体" w:eastAsia="宋体" w:cs="Times New Roman"/>
          <w:color w:val="auto"/>
          <w:kern w:val="0"/>
          <w:szCs w:val="21"/>
          <w:highlight w:val="none"/>
          <w:lang w:eastAsia="zh-CN"/>
        </w:rPr>
        <w:t>招标人</w:t>
      </w:r>
      <w:r>
        <w:rPr>
          <w:rFonts w:ascii="宋体" w:hAnsi="宋体" w:eastAsia="宋体" w:cs="Times New Roman"/>
          <w:color w:val="auto"/>
          <w:kern w:val="0"/>
          <w:szCs w:val="21"/>
          <w:highlight w:val="none"/>
        </w:rPr>
        <w:t>经济损失、</w:t>
      </w:r>
      <w:r>
        <w:rPr>
          <w:rFonts w:hint="eastAsia" w:ascii="宋体" w:hAnsi="宋体" w:eastAsia="宋体" w:cs="Times New Roman"/>
          <w:color w:val="auto"/>
          <w:kern w:val="0"/>
          <w:szCs w:val="21"/>
          <w:highlight w:val="none"/>
          <w:lang w:val="en-US" w:eastAsia="zh-CN"/>
        </w:rPr>
        <w:t>招标人人员</w:t>
      </w:r>
      <w:r>
        <w:rPr>
          <w:rFonts w:ascii="宋体" w:hAnsi="宋体" w:eastAsia="宋体" w:cs="Times New Roman"/>
          <w:color w:val="auto"/>
          <w:kern w:val="0"/>
          <w:szCs w:val="21"/>
          <w:highlight w:val="none"/>
        </w:rPr>
        <w:t>人身财产损失</w:t>
      </w:r>
      <w:r>
        <w:rPr>
          <w:rFonts w:hint="eastAsia" w:ascii="宋体" w:hAnsi="宋体" w:eastAsia="宋体" w:cs="Times New Roman"/>
          <w:color w:val="auto"/>
          <w:kern w:val="0"/>
          <w:szCs w:val="21"/>
          <w:highlight w:val="none"/>
          <w:lang w:eastAsia="zh-CN"/>
        </w:rPr>
        <w:t>、第三人人身财产损失</w:t>
      </w:r>
      <w:r>
        <w:rPr>
          <w:rFonts w:ascii="宋体" w:hAnsi="宋体" w:eastAsia="宋体" w:cs="Times New Roman"/>
          <w:color w:val="auto"/>
          <w:kern w:val="0"/>
          <w:szCs w:val="21"/>
          <w:highlight w:val="none"/>
        </w:rPr>
        <w:t>等）</w:t>
      </w:r>
      <w:r>
        <w:rPr>
          <w:rFonts w:hint="eastAsia" w:ascii="宋体" w:hAnsi="宋体" w:eastAsia="宋体" w:cs="Times New Roman"/>
          <w:color w:val="auto"/>
          <w:kern w:val="0"/>
          <w:szCs w:val="21"/>
          <w:highlight w:val="none"/>
        </w:rPr>
        <w:t>、与其所雇用员工发生劳资纠纷、上访、闹事或其他影响</w:t>
      </w:r>
      <w:r>
        <w:rPr>
          <w:rFonts w:hint="eastAsia" w:ascii="宋体" w:hAnsi="宋体" w:eastAsia="宋体" w:cs="Times New Roman"/>
          <w:color w:val="auto"/>
          <w:kern w:val="0"/>
          <w:szCs w:val="21"/>
          <w:highlight w:val="none"/>
          <w:lang w:eastAsia="zh-CN"/>
        </w:rPr>
        <w:t>招标人</w:t>
      </w:r>
      <w:r>
        <w:rPr>
          <w:rFonts w:hint="eastAsia" w:ascii="宋体" w:hAnsi="宋体" w:eastAsia="宋体" w:cs="Times New Roman"/>
          <w:color w:val="auto"/>
          <w:kern w:val="0"/>
          <w:szCs w:val="21"/>
          <w:highlight w:val="none"/>
        </w:rPr>
        <w:t>生产经营等情况而其未及时妥善处理的</w:t>
      </w:r>
      <w:r>
        <w:rPr>
          <w:rFonts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lang w:eastAsia="zh-CN"/>
        </w:rPr>
        <w:t>招标人</w:t>
      </w:r>
      <w:r>
        <w:rPr>
          <w:rFonts w:hint="eastAsia" w:ascii="宋体" w:hAnsi="宋体" w:eastAsia="宋体" w:cs="Times New Roman"/>
          <w:color w:val="auto"/>
          <w:kern w:val="0"/>
          <w:szCs w:val="21"/>
          <w:highlight w:val="none"/>
        </w:rPr>
        <w:t>有权使用履约担保予以支付或作出相应处理，由此产生的一切法律后果由中标人承担。</w:t>
      </w:r>
    </w:p>
    <w:p w14:paraId="42CC3A66">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lang w:val="en-US" w:eastAsia="zh-CN"/>
        </w:rPr>
        <w:t>2</w:t>
      </w:r>
      <w:r>
        <w:rPr>
          <w:rFonts w:ascii="宋体" w:hAnsi="宋体" w:eastAsia="宋体" w:cs="Times New Roman"/>
          <w:color w:val="auto"/>
          <w:kern w:val="0"/>
          <w:szCs w:val="21"/>
          <w:highlight w:val="none"/>
        </w:rPr>
        <w:t>）在合同履行期间，</w:t>
      </w:r>
      <w:r>
        <w:rPr>
          <w:rFonts w:hint="eastAsia" w:ascii="宋体" w:hAnsi="宋体" w:eastAsia="宋体" w:cs="Times New Roman"/>
          <w:color w:val="auto"/>
          <w:kern w:val="0"/>
          <w:szCs w:val="21"/>
          <w:highlight w:val="none"/>
        </w:rPr>
        <w:t>中标人</w:t>
      </w:r>
      <w:r>
        <w:rPr>
          <w:rFonts w:ascii="宋体" w:hAnsi="宋体" w:eastAsia="宋体" w:cs="Times New Roman"/>
          <w:color w:val="auto"/>
          <w:kern w:val="0"/>
          <w:szCs w:val="21"/>
          <w:highlight w:val="none"/>
        </w:rPr>
        <w:t>违约产生的违约金、赔偿、罚款或其他应付费用等款项，</w:t>
      </w:r>
      <w:r>
        <w:rPr>
          <w:rFonts w:hint="eastAsia" w:ascii="宋体" w:hAnsi="宋体" w:eastAsia="宋体" w:cs="Times New Roman"/>
          <w:color w:val="auto"/>
          <w:kern w:val="0"/>
          <w:szCs w:val="21"/>
          <w:highlight w:val="none"/>
          <w:lang w:eastAsia="zh-CN"/>
        </w:rPr>
        <w:t>招标人</w:t>
      </w:r>
      <w:r>
        <w:rPr>
          <w:rFonts w:ascii="宋体" w:hAnsi="宋体" w:eastAsia="宋体" w:cs="Times New Roman"/>
          <w:color w:val="auto"/>
          <w:kern w:val="0"/>
          <w:szCs w:val="21"/>
          <w:highlight w:val="none"/>
        </w:rPr>
        <w:t>有权直接从未付款项中直接扣除或启用</w:t>
      </w:r>
      <w:r>
        <w:rPr>
          <w:rFonts w:hint="eastAsia" w:ascii="宋体" w:hAnsi="宋体" w:eastAsia="宋体" w:cs="Times New Roman"/>
          <w:color w:val="auto"/>
          <w:kern w:val="0"/>
          <w:szCs w:val="21"/>
          <w:highlight w:val="none"/>
          <w:lang w:val="en-US" w:eastAsia="zh-CN"/>
        </w:rPr>
        <w:t>入库</w:t>
      </w:r>
      <w:r>
        <w:rPr>
          <w:rFonts w:ascii="宋体" w:hAnsi="宋体" w:eastAsia="宋体" w:cs="Times New Roman"/>
          <w:color w:val="auto"/>
          <w:kern w:val="0"/>
          <w:szCs w:val="21"/>
          <w:highlight w:val="none"/>
        </w:rPr>
        <w:t>履约</w:t>
      </w:r>
      <w:r>
        <w:rPr>
          <w:rFonts w:hint="eastAsia" w:ascii="宋体" w:hAnsi="宋体" w:eastAsia="宋体" w:cs="Times New Roman"/>
          <w:color w:val="auto"/>
          <w:kern w:val="0"/>
          <w:szCs w:val="21"/>
          <w:highlight w:val="none"/>
        </w:rPr>
        <w:t>担保</w:t>
      </w:r>
      <w:r>
        <w:rPr>
          <w:rFonts w:ascii="宋体" w:hAnsi="宋体" w:eastAsia="宋体" w:cs="Times New Roman"/>
          <w:color w:val="auto"/>
          <w:kern w:val="0"/>
          <w:szCs w:val="21"/>
          <w:highlight w:val="none"/>
        </w:rPr>
        <w:t>予以支付。</w:t>
      </w:r>
    </w:p>
    <w:p w14:paraId="19B64FF0">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lang w:val="en-US" w:eastAsia="zh-CN"/>
        </w:rPr>
        <w:t>3</w:t>
      </w:r>
      <w:r>
        <w:rPr>
          <w:rFonts w:ascii="宋体" w:hAnsi="宋体" w:eastAsia="宋体" w:cs="Times New Roman"/>
          <w:color w:val="auto"/>
          <w:kern w:val="0"/>
          <w:szCs w:val="21"/>
          <w:highlight w:val="none"/>
        </w:rPr>
        <w:t>）合同期内，</w:t>
      </w:r>
      <w:r>
        <w:rPr>
          <w:rFonts w:hint="eastAsia" w:ascii="宋体" w:hAnsi="宋体" w:eastAsia="宋体" w:cs="Times New Roman"/>
          <w:color w:val="auto"/>
          <w:kern w:val="0"/>
          <w:szCs w:val="21"/>
          <w:highlight w:val="none"/>
        </w:rPr>
        <w:t>中标人</w:t>
      </w:r>
      <w:r>
        <w:rPr>
          <w:rFonts w:ascii="宋体" w:hAnsi="宋体" w:eastAsia="宋体" w:cs="Times New Roman"/>
          <w:color w:val="auto"/>
          <w:kern w:val="0"/>
          <w:szCs w:val="21"/>
          <w:highlight w:val="none"/>
        </w:rPr>
        <w:t>不能及时完成合同某项义务的，</w:t>
      </w:r>
      <w:r>
        <w:rPr>
          <w:rFonts w:hint="eastAsia" w:ascii="宋体" w:hAnsi="宋体" w:eastAsia="宋体" w:cs="Times New Roman"/>
          <w:color w:val="auto"/>
          <w:kern w:val="0"/>
          <w:szCs w:val="21"/>
          <w:highlight w:val="none"/>
          <w:lang w:eastAsia="zh-CN"/>
        </w:rPr>
        <w:t>招标人</w:t>
      </w:r>
      <w:r>
        <w:rPr>
          <w:rFonts w:ascii="宋体" w:hAnsi="宋体" w:eastAsia="宋体" w:cs="Times New Roman"/>
          <w:color w:val="auto"/>
          <w:kern w:val="0"/>
          <w:szCs w:val="21"/>
          <w:highlight w:val="none"/>
        </w:rPr>
        <w:t>有权提取</w:t>
      </w:r>
      <w:r>
        <w:rPr>
          <w:rFonts w:hint="eastAsia" w:ascii="宋体" w:hAnsi="宋体" w:eastAsia="宋体" w:cs="Times New Roman"/>
          <w:color w:val="auto"/>
          <w:kern w:val="0"/>
          <w:szCs w:val="21"/>
          <w:highlight w:val="none"/>
          <w:lang w:val="en-US" w:eastAsia="zh-CN"/>
        </w:rPr>
        <w:t>入库</w:t>
      </w:r>
      <w:r>
        <w:rPr>
          <w:rFonts w:ascii="宋体" w:hAnsi="宋体" w:eastAsia="宋体" w:cs="Times New Roman"/>
          <w:color w:val="auto"/>
          <w:kern w:val="0"/>
          <w:szCs w:val="21"/>
          <w:highlight w:val="none"/>
        </w:rPr>
        <w:t>履约</w:t>
      </w:r>
      <w:r>
        <w:rPr>
          <w:rFonts w:hint="eastAsia" w:ascii="宋体" w:hAnsi="宋体" w:eastAsia="宋体" w:cs="Times New Roman"/>
          <w:color w:val="auto"/>
          <w:kern w:val="0"/>
          <w:szCs w:val="21"/>
          <w:highlight w:val="none"/>
        </w:rPr>
        <w:t>担保</w:t>
      </w:r>
      <w:r>
        <w:rPr>
          <w:rFonts w:ascii="宋体" w:hAnsi="宋体" w:eastAsia="宋体" w:cs="Times New Roman"/>
          <w:color w:val="auto"/>
          <w:kern w:val="0"/>
          <w:szCs w:val="21"/>
          <w:highlight w:val="none"/>
        </w:rPr>
        <w:t>用于处理该项工作。</w:t>
      </w:r>
    </w:p>
    <w:p w14:paraId="477CC6F8">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lang w:val="en-US" w:eastAsia="zh-CN"/>
        </w:rPr>
        <w:t>4</w:t>
      </w:r>
      <w:r>
        <w:rPr>
          <w:rFonts w:ascii="宋体" w:hAnsi="宋体" w:eastAsia="宋体" w:cs="Times New Roman"/>
          <w:color w:val="auto"/>
          <w:kern w:val="0"/>
          <w:szCs w:val="21"/>
          <w:highlight w:val="none"/>
        </w:rPr>
        <w:t>）其他根据本合同约定或法律规定，</w:t>
      </w:r>
      <w:r>
        <w:rPr>
          <w:rFonts w:hint="eastAsia" w:ascii="宋体" w:hAnsi="宋体" w:eastAsia="宋体" w:cs="Times New Roman"/>
          <w:color w:val="auto"/>
          <w:kern w:val="0"/>
          <w:szCs w:val="21"/>
          <w:highlight w:val="none"/>
          <w:lang w:eastAsia="zh-CN"/>
        </w:rPr>
        <w:t>招标人</w:t>
      </w:r>
      <w:r>
        <w:rPr>
          <w:rFonts w:ascii="宋体" w:hAnsi="宋体" w:eastAsia="宋体" w:cs="Times New Roman"/>
          <w:color w:val="auto"/>
          <w:kern w:val="0"/>
          <w:szCs w:val="21"/>
          <w:highlight w:val="none"/>
        </w:rPr>
        <w:t>可</w:t>
      </w:r>
      <w:r>
        <w:rPr>
          <w:rFonts w:hint="eastAsia" w:ascii="宋体" w:hAnsi="宋体" w:eastAsia="宋体" w:cs="宋体"/>
          <w:bCs/>
          <w:szCs w:val="21"/>
          <w:highlight w:val="none"/>
          <w:lang w:val="en-US" w:eastAsia="zh-CN"/>
        </w:rPr>
        <w:t>提取</w:t>
      </w:r>
      <w:r>
        <w:rPr>
          <w:rFonts w:hint="eastAsia" w:ascii="宋体" w:hAnsi="宋体" w:eastAsia="宋体" w:cs="Times New Roman"/>
          <w:color w:val="auto"/>
          <w:kern w:val="0"/>
          <w:szCs w:val="21"/>
          <w:highlight w:val="none"/>
          <w:lang w:val="en-US" w:eastAsia="zh-CN"/>
        </w:rPr>
        <w:t>入库</w:t>
      </w:r>
      <w:r>
        <w:rPr>
          <w:rFonts w:ascii="宋体" w:hAnsi="宋体" w:eastAsia="宋体" w:cs="Times New Roman"/>
          <w:color w:val="auto"/>
          <w:kern w:val="0"/>
          <w:szCs w:val="21"/>
          <w:highlight w:val="none"/>
        </w:rPr>
        <w:t>履约</w:t>
      </w:r>
      <w:r>
        <w:rPr>
          <w:rFonts w:hint="eastAsia" w:ascii="宋体" w:hAnsi="宋体" w:eastAsia="宋体" w:cs="Times New Roman"/>
          <w:color w:val="auto"/>
          <w:kern w:val="0"/>
          <w:szCs w:val="21"/>
          <w:highlight w:val="none"/>
        </w:rPr>
        <w:t>担保</w:t>
      </w:r>
      <w:r>
        <w:rPr>
          <w:rFonts w:ascii="宋体" w:hAnsi="宋体" w:eastAsia="宋体" w:cs="Times New Roman"/>
          <w:color w:val="auto"/>
          <w:kern w:val="0"/>
          <w:szCs w:val="21"/>
          <w:highlight w:val="none"/>
        </w:rPr>
        <w:t>的情形。</w:t>
      </w:r>
    </w:p>
    <w:p w14:paraId="75E0CBAE">
      <w:pPr>
        <w:tabs>
          <w:tab w:val="left" w:pos="360"/>
          <w:tab w:val="left" w:pos="4725"/>
        </w:tabs>
        <w:autoSpaceDE w:val="0"/>
        <w:autoSpaceDN w:val="0"/>
        <w:adjustRightInd w:val="0"/>
        <w:spacing w:line="360" w:lineRule="auto"/>
        <w:ind w:left="315" w:leftChars="-100" w:hanging="525" w:hangingChars="25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 xml:space="preserve">.3 </w:t>
      </w:r>
      <w:r>
        <w:rPr>
          <w:rFonts w:hint="eastAsia" w:ascii="宋体" w:hAnsi="宋体" w:eastAsia="宋体" w:cs="宋体"/>
          <w:color w:val="auto"/>
          <w:kern w:val="0"/>
          <w:szCs w:val="21"/>
          <w:highlight w:val="none"/>
          <w:lang w:val="en-US" w:eastAsia="zh-CN"/>
        </w:rPr>
        <w:t>入库</w:t>
      </w:r>
      <w:r>
        <w:rPr>
          <w:rFonts w:hint="eastAsia" w:ascii="宋体" w:hAnsi="宋体" w:eastAsia="宋体" w:cs="宋体"/>
          <w:color w:val="auto"/>
          <w:kern w:val="0"/>
          <w:szCs w:val="21"/>
          <w:highlight w:val="none"/>
        </w:rPr>
        <w:t>履约担保应符合如下规定：</w:t>
      </w:r>
    </w:p>
    <w:p w14:paraId="2EC460F7">
      <w:pPr>
        <w:numPr>
          <w:ilvl w:val="-1"/>
          <w:numId w:val="0"/>
        </w:num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Times New Roman"/>
          <w:bCs w:val="0"/>
          <w:color w:val="auto"/>
          <w:kern w:val="0"/>
          <w:sz w:val="21"/>
          <w:szCs w:val="21"/>
          <w:highlight w:val="none"/>
          <w:lang w:val="zh-CN"/>
        </w:rPr>
      </w:pPr>
      <w:r>
        <w:rPr>
          <w:rFonts w:hint="eastAsia" w:ascii="宋体" w:hAnsi="宋体" w:eastAsia="宋体" w:cs="Times New Roman"/>
          <w:bCs w:val="0"/>
          <w:color w:val="auto"/>
          <w:kern w:val="0"/>
          <w:sz w:val="21"/>
          <w:szCs w:val="21"/>
          <w:highlight w:val="none"/>
          <w:lang w:val="zh-CN"/>
        </w:rPr>
        <w:t>（1）出具履约保函的银行必须是境内支行一级以上机构，并经</w:t>
      </w:r>
      <w:r>
        <w:rPr>
          <w:rFonts w:hint="eastAsia" w:ascii="宋体" w:hAnsi="宋体" w:eastAsia="宋体" w:cs="Times New Roman"/>
          <w:bCs w:val="0"/>
          <w:color w:val="auto"/>
          <w:kern w:val="0"/>
          <w:sz w:val="21"/>
          <w:szCs w:val="21"/>
          <w:highlight w:val="none"/>
          <w:lang w:val="en-US" w:eastAsia="zh-CN"/>
        </w:rPr>
        <w:t>招标</w:t>
      </w:r>
      <w:r>
        <w:rPr>
          <w:rFonts w:hint="eastAsia" w:ascii="宋体" w:hAnsi="宋体" w:eastAsia="宋体" w:cs="Times New Roman"/>
          <w:bCs w:val="0"/>
          <w:color w:val="auto"/>
          <w:kern w:val="0"/>
          <w:sz w:val="21"/>
          <w:szCs w:val="21"/>
          <w:highlight w:val="none"/>
          <w:lang w:val="zh-CN"/>
        </w:rPr>
        <w:t>人同意，执行本款时所发生的费用由</w:t>
      </w:r>
      <w:r>
        <w:rPr>
          <w:rFonts w:hint="eastAsia" w:ascii="宋体" w:hAnsi="宋体" w:eastAsia="宋体" w:cs="Times New Roman"/>
          <w:color w:val="auto"/>
          <w:kern w:val="0"/>
          <w:szCs w:val="21"/>
          <w:highlight w:val="none"/>
        </w:rPr>
        <w:t>中标人</w:t>
      </w:r>
      <w:r>
        <w:rPr>
          <w:rFonts w:hint="eastAsia" w:ascii="宋体" w:hAnsi="宋体" w:eastAsia="宋体" w:cs="Times New Roman"/>
          <w:bCs w:val="0"/>
          <w:color w:val="auto"/>
          <w:kern w:val="0"/>
          <w:sz w:val="21"/>
          <w:szCs w:val="21"/>
          <w:highlight w:val="none"/>
          <w:lang w:val="zh-CN"/>
        </w:rPr>
        <w:t>承担。</w:t>
      </w:r>
    </w:p>
    <w:p w14:paraId="702CF1A4">
      <w:pPr>
        <w:numPr>
          <w:ilvl w:val="-1"/>
          <w:numId w:val="0"/>
        </w:num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Times New Roman"/>
          <w:bCs w:val="0"/>
          <w:color w:val="auto"/>
          <w:kern w:val="0"/>
          <w:sz w:val="21"/>
          <w:szCs w:val="21"/>
          <w:highlight w:val="none"/>
          <w:lang w:val="zh-CN"/>
        </w:rPr>
      </w:pPr>
      <w:r>
        <w:rPr>
          <w:rFonts w:hint="eastAsia" w:ascii="宋体" w:hAnsi="宋体" w:eastAsia="宋体" w:cs="Times New Roman"/>
          <w:bCs w:val="0"/>
          <w:color w:val="auto"/>
          <w:kern w:val="0"/>
          <w:sz w:val="21"/>
          <w:szCs w:val="21"/>
          <w:highlight w:val="none"/>
          <w:lang w:val="zh-CN"/>
        </w:rPr>
        <w:t>（2）入库履约担保格式应采用</w:t>
      </w:r>
      <w:r>
        <w:rPr>
          <w:rFonts w:hint="eastAsia" w:ascii="宋体" w:hAnsi="宋体" w:eastAsia="宋体" w:cs="Times New Roman"/>
          <w:bCs w:val="0"/>
          <w:color w:val="auto"/>
          <w:kern w:val="0"/>
          <w:sz w:val="21"/>
          <w:szCs w:val="21"/>
          <w:highlight w:val="none"/>
          <w:lang w:val="en-US" w:eastAsia="zh-CN"/>
        </w:rPr>
        <w:t>招标</w:t>
      </w:r>
      <w:r>
        <w:rPr>
          <w:rFonts w:hint="eastAsia" w:ascii="宋体" w:hAnsi="宋体" w:eastAsia="宋体" w:cs="Times New Roman"/>
          <w:bCs w:val="0"/>
          <w:color w:val="auto"/>
          <w:kern w:val="0"/>
          <w:sz w:val="21"/>
          <w:szCs w:val="21"/>
          <w:highlight w:val="none"/>
          <w:lang w:val="zh-CN"/>
        </w:rPr>
        <w:t>文件中提供的（格式参见第五篇），</w:t>
      </w:r>
      <w:r>
        <w:rPr>
          <w:rFonts w:hint="eastAsia" w:ascii="宋体" w:hAnsi="宋体" w:eastAsia="宋体" w:cs="Times New Roman"/>
          <w:color w:val="auto"/>
          <w:kern w:val="0"/>
          <w:szCs w:val="21"/>
          <w:highlight w:val="none"/>
          <w:lang w:val="en-US" w:eastAsia="zh-CN"/>
        </w:rPr>
        <w:t>投</w:t>
      </w:r>
      <w:r>
        <w:rPr>
          <w:rFonts w:hint="eastAsia" w:ascii="宋体" w:hAnsi="宋体" w:eastAsia="宋体" w:cs="Times New Roman"/>
          <w:color w:val="auto"/>
          <w:kern w:val="0"/>
          <w:szCs w:val="21"/>
          <w:highlight w:val="none"/>
        </w:rPr>
        <w:t>标人</w:t>
      </w:r>
      <w:r>
        <w:rPr>
          <w:rFonts w:hint="eastAsia" w:ascii="宋体" w:hAnsi="宋体" w:eastAsia="宋体" w:cs="Times New Roman"/>
          <w:bCs w:val="0"/>
          <w:color w:val="auto"/>
          <w:kern w:val="0"/>
          <w:sz w:val="21"/>
          <w:szCs w:val="21"/>
          <w:highlight w:val="none"/>
          <w:lang w:val="zh-CN"/>
        </w:rPr>
        <w:t>如以履约保函（或履约保证保险或担保公司履约担保书）形式提供</w:t>
      </w:r>
      <w:r>
        <w:rPr>
          <w:rFonts w:hint="eastAsia" w:ascii="宋体" w:hAnsi="宋体" w:eastAsia="宋体" w:cs="Times New Roman"/>
          <w:bCs w:val="0"/>
          <w:color w:val="auto"/>
          <w:kern w:val="0"/>
          <w:sz w:val="21"/>
          <w:szCs w:val="21"/>
          <w:highlight w:val="none"/>
          <w:lang w:val="en-US" w:eastAsia="zh-CN"/>
        </w:rPr>
        <w:t>入库</w:t>
      </w:r>
      <w:r>
        <w:rPr>
          <w:rFonts w:hint="eastAsia" w:ascii="宋体" w:hAnsi="宋体" w:eastAsia="宋体" w:cs="Times New Roman"/>
          <w:bCs w:val="0"/>
          <w:color w:val="auto"/>
          <w:kern w:val="0"/>
          <w:sz w:val="21"/>
          <w:szCs w:val="21"/>
          <w:highlight w:val="none"/>
          <w:lang w:val="zh-CN"/>
        </w:rPr>
        <w:t>履约担保的，</w:t>
      </w:r>
      <w:r>
        <w:rPr>
          <w:rFonts w:hint="eastAsia" w:ascii="宋体" w:hAnsi="宋体" w:eastAsia="宋体" w:cs="Times New Roman"/>
          <w:bCs w:val="0"/>
          <w:color w:val="auto"/>
          <w:kern w:val="0"/>
          <w:sz w:val="21"/>
          <w:szCs w:val="21"/>
          <w:highlight w:val="none"/>
          <w:lang w:val="en-US" w:eastAsia="zh-CN"/>
        </w:rPr>
        <w:t>投标</w:t>
      </w:r>
      <w:r>
        <w:rPr>
          <w:rFonts w:hint="eastAsia" w:ascii="宋体" w:hAnsi="宋体" w:eastAsia="宋体" w:cs="Times New Roman"/>
          <w:bCs w:val="0"/>
          <w:color w:val="auto"/>
          <w:kern w:val="0"/>
          <w:sz w:val="21"/>
          <w:szCs w:val="21"/>
          <w:highlight w:val="none"/>
          <w:lang w:val="zh-CN"/>
        </w:rPr>
        <w:t>前应当自行向其拟</w:t>
      </w:r>
      <w:r>
        <w:rPr>
          <w:rFonts w:hint="eastAsia" w:ascii="宋体" w:hAnsi="宋体" w:eastAsia="宋体" w:cs="Times New Roman"/>
          <w:bCs w:val="0"/>
          <w:color w:val="auto"/>
          <w:kern w:val="0"/>
          <w:sz w:val="21"/>
          <w:szCs w:val="21"/>
          <w:highlight w:val="none"/>
          <w:lang w:val="en-US" w:eastAsia="zh-CN"/>
        </w:rPr>
        <w:t>申请</w:t>
      </w:r>
      <w:r>
        <w:rPr>
          <w:rFonts w:hint="eastAsia" w:ascii="宋体" w:hAnsi="宋体" w:eastAsia="宋体" w:cs="Times New Roman"/>
          <w:bCs w:val="0"/>
          <w:color w:val="auto"/>
          <w:kern w:val="0"/>
          <w:sz w:val="21"/>
          <w:szCs w:val="21"/>
          <w:highlight w:val="none"/>
          <w:lang w:val="zh-CN"/>
        </w:rPr>
        <w:t>开具保函的银行（或保险或担保）机构落实履约保函（或履约保证保险或担保公司履约担保书）格式情况，以确保能按本</w:t>
      </w:r>
      <w:r>
        <w:rPr>
          <w:rFonts w:hint="eastAsia" w:ascii="宋体" w:hAnsi="宋体" w:eastAsia="宋体" w:cs="Times New Roman"/>
          <w:bCs w:val="0"/>
          <w:color w:val="auto"/>
          <w:kern w:val="0"/>
          <w:sz w:val="21"/>
          <w:szCs w:val="21"/>
          <w:highlight w:val="none"/>
          <w:lang w:val="en-US" w:eastAsia="zh-CN"/>
        </w:rPr>
        <w:t>招标</w:t>
      </w:r>
      <w:r>
        <w:rPr>
          <w:rFonts w:hint="eastAsia" w:ascii="宋体" w:hAnsi="宋体" w:eastAsia="宋体" w:cs="Times New Roman"/>
          <w:bCs w:val="0"/>
          <w:color w:val="auto"/>
          <w:kern w:val="0"/>
          <w:sz w:val="21"/>
          <w:szCs w:val="21"/>
          <w:highlight w:val="none"/>
          <w:lang w:val="zh-CN"/>
        </w:rPr>
        <w:t>文件规定的格式提供入库履约担保。如使用其他格式的履约保函（或履约保证保险或担保公司履约担保书），须事先经</w:t>
      </w:r>
      <w:r>
        <w:rPr>
          <w:rFonts w:hint="eastAsia" w:ascii="宋体" w:hAnsi="宋体" w:eastAsia="宋体" w:cs="Times New Roman"/>
          <w:bCs w:val="0"/>
          <w:color w:val="auto"/>
          <w:kern w:val="0"/>
          <w:sz w:val="21"/>
          <w:szCs w:val="21"/>
          <w:highlight w:val="none"/>
          <w:lang w:val="en-US" w:eastAsia="zh-CN"/>
        </w:rPr>
        <w:t>招标</w:t>
      </w:r>
      <w:r>
        <w:rPr>
          <w:rFonts w:hint="eastAsia" w:ascii="宋体" w:hAnsi="宋体" w:eastAsia="宋体" w:cs="Times New Roman"/>
          <w:bCs w:val="0"/>
          <w:color w:val="auto"/>
          <w:kern w:val="0"/>
          <w:sz w:val="21"/>
          <w:szCs w:val="21"/>
          <w:highlight w:val="none"/>
          <w:lang w:val="zh-CN"/>
        </w:rPr>
        <w:t>人的书面同意。</w:t>
      </w:r>
    </w:p>
    <w:p w14:paraId="4280C7E3">
      <w:pPr>
        <w:numPr>
          <w:ilvl w:val="-1"/>
          <w:numId w:val="0"/>
        </w:num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Times New Roman"/>
          <w:bCs w:val="0"/>
          <w:color w:val="auto"/>
          <w:kern w:val="0"/>
          <w:sz w:val="21"/>
          <w:szCs w:val="21"/>
          <w:highlight w:val="none"/>
          <w:lang w:val="zh-CN"/>
        </w:rPr>
      </w:pPr>
      <w:r>
        <w:rPr>
          <w:rFonts w:hint="eastAsia" w:ascii="宋体" w:hAnsi="宋体" w:eastAsia="宋体" w:cs="Times New Roman"/>
          <w:bCs w:val="0"/>
          <w:color w:val="auto"/>
          <w:kern w:val="0"/>
          <w:sz w:val="21"/>
          <w:szCs w:val="21"/>
          <w:highlight w:val="none"/>
          <w:lang w:val="zh-CN"/>
        </w:rPr>
        <w:t>（3）提供担保</w:t>
      </w:r>
      <w:r>
        <w:rPr>
          <w:rFonts w:hint="eastAsia" w:ascii="宋体" w:hAnsi="宋体" w:eastAsia="宋体" w:cs="Times New Roman"/>
          <w:bCs w:val="0"/>
          <w:color w:val="auto"/>
          <w:kern w:val="0"/>
          <w:sz w:val="21"/>
          <w:szCs w:val="21"/>
          <w:highlight w:val="none"/>
          <w:lang w:val="en-US" w:eastAsia="zh-CN"/>
        </w:rPr>
        <w:t>书</w:t>
      </w:r>
      <w:r>
        <w:rPr>
          <w:rFonts w:hint="eastAsia" w:ascii="宋体" w:hAnsi="宋体" w:eastAsia="宋体" w:cs="Times New Roman"/>
          <w:bCs w:val="0"/>
          <w:color w:val="auto"/>
          <w:kern w:val="0"/>
          <w:sz w:val="21"/>
          <w:szCs w:val="21"/>
          <w:highlight w:val="none"/>
          <w:lang w:val="zh-CN"/>
        </w:rPr>
        <w:t>的担保机构经济性质须为东莞市国有企业，或政府性融资担保机构（</w:t>
      </w:r>
      <w:r>
        <w:rPr>
          <w:rFonts w:hint="eastAsia" w:ascii="宋体" w:hAnsi="宋体" w:eastAsia="宋体" w:cs="Times New Roman"/>
          <w:bCs w:val="0"/>
          <w:color w:val="auto"/>
          <w:kern w:val="0"/>
          <w:sz w:val="21"/>
          <w:szCs w:val="21"/>
          <w:highlight w:val="none"/>
          <w:lang w:val="en-US" w:eastAsia="zh-CN"/>
        </w:rPr>
        <w:t>中标人</w:t>
      </w:r>
      <w:r>
        <w:rPr>
          <w:rFonts w:hint="eastAsia" w:ascii="宋体" w:hAnsi="宋体" w:eastAsia="宋体" w:cs="Times New Roman"/>
          <w:bCs w:val="0"/>
          <w:color w:val="auto"/>
          <w:kern w:val="0"/>
          <w:sz w:val="21"/>
          <w:szCs w:val="21"/>
          <w:highlight w:val="none"/>
          <w:lang w:val="zh-CN"/>
        </w:rPr>
        <w:t>须提供能证明其属于政府性融资担保机构的证明文件），并经</w:t>
      </w:r>
      <w:r>
        <w:rPr>
          <w:rFonts w:hint="eastAsia" w:ascii="宋体" w:hAnsi="宋体" w:eastAsia="宋体" w:cs="Times New Roman"/>
          <w:bCs w:val="0"/>
          <w:color w:val="auto"/>
          <w:kern w:val="0"/>
          <w:sz w:val="21"/>
          <w:szCs w:val="21"/>
          <w:highlight w:val="none"/>
          <w:lang w:val="en-US" w:eastAsia="zh-CN"/>
        </w:rPr>
        <w:t>招标</w:t>
      </w:r>
      <w:r>
        <w:rPr>
          <w:rFonts w:hint="eastAsia" w:ascii="宋体" w:hAnsi="宋体" w:eastAsia="宋体" w:cs="Times New Roman"/>
          <w:bCs w:val="0"/>
          <w:color w:val="auto"/>
          <w:kern w:val="0"/>
          <w:sz w:val="21"/>
          <w:szCs w:val="21"/>
          <w:highlight w:val="none"/>
          <w:lang w:val="zh-CN"/>
        </w:rPr>
        <w:t>人同意，执行本款时所发生的费用由</w:t>
      </w:r>
      <w:r>
        <w:rPr>
          <w:rFonts w:hint="eastAsia" w:ascii="宋体" w:hAnsi="宋体" w:eastAsia="宋体" w:cs="Times New Roman"/>
          <w:color w:val="auto"/>
          <w:kern w:val="0"/>
          <w:szCs w:val="21"/>
          <w:highlight w:val="none"/>
        </w:rPr>
        <w:t>中标人</w:t>
      </w:r>
      <w:r>
        <w:rPr>
          <w:rFonts w:hint="eastAsia" w:ascii="宋体" w:hAnsi="宋体" w:eastAsia="宋体" w:cs="Times New Roman"/>
          <w:bCs w:val="0"/>
          <w:color w:val="auto"/>
          <w:kern w:val="0"/>
          <w:sz w:val="21"/>
          <w:szCs w:val="21"/>
          <w:highlight w:val="none"/>
          <w:lang w:val="zh-CN"/>
        </w:rPr>
        <w:t>承担。如</w:t>
      </w:r>
      <w:r>
        <w:rPr>
          <w:rFonts w:hint="eastAsia" w:ascii="宋体" w:hAnsi="宋体" w:eastAsia="宋体" w:cs="Times New Roman"/>
          <w:bCs w:val="0"/>
          <w:color w:val="auto"/>
          <w:kern w:val="0"/>
          <w:sz w:val="21"/>
          <w:szCs w:val="21"/>
          <w:highlight w:val="none"/>
          <w:lang w:val="en-US" w:eastAsia="zh-CN"/>
        </w:rPr>
        <w:t>招标</w:t>
      </w:r>
      <w:r>
        <w:rPr>
          <w:rFonts w:hint="eastAsia" w:ascii="宋体" w:hAnsi="宋体" w:eastAsia="宋体" w:cs="Times New Roman"/>
          <w:bCs w:val="0"/>
          <w:color w:val="auto"/>
          <w:kern w:val="0"/>
          <w:sz w:val="21"/>
          <w:szCs w:val="21"/>
          <w:highlight w:val="none"/>
          <w:lang w:val="zh-CN"/>
        </w:rPr>
        <w:t>人合同条款接受担保公司预付款担保函的，对担保机构要求参照本条执行。</w:t>
      </w:r>
    </w:p>
    <w:p w14:paraId="35C22966">
      <w:pPr>
        <w:numPr>
          <w:ilvl w:val="-1"/>
          <w:numId w:val="0"/>
        </w:num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Times New Roman"/>
          <w:bCs w:val="0"/>
          <w:color w:val="auto"/>
          <w:kern w:val="0"/>
          <w:sz w:val="21"/>
          <w:szCs w:val="21"/>
          <w:highlight w:val="none"/>
          <w:lang w:val="zh-CN"/>
        </w:rPr>
      </w:pPr>
      <w:r>
        <w:rPr>
          <w:rFonts w:hint="eastAsia" w:ascii="宋体" w:hAnsi="宋体" w:eastAsia="宋体" w:cs="Times New Roman"/>
          <w:bCs w:val="0"/>
          <w:color w:val="auto"/>
          <w:kern w:val="0"/>
          <w:sz w:val="21"/>
          <w:szCs w:val="21"/>
          <w:highlight w:val="none"/>
          <w:lang w:val="zh-CN"/>
        </w:rPr>
        <w:t>（4）如果</w:t>
      </w:r>
      <w:r>
        <w:rPr>
          <w:rFonts w:hint="eastAsia" w:ascii="宋体" w:hAnsi="宋体" w:eastAsia="宋体" w:cs="Times New Roman"/>
          <w:color w:val="auto"/>
          <w:kern w:val="0"/>
          <w:szCs w:val="21"/>
          <w:highlight w:val="none"/>
        </w:rPr>
        <w:t>中标人</w:t>
      </w:r>
      <w:r>
        <w:rPr>
          <w:rFonts w:hint="eastAsia" w:ascii="宋体" w:hAnsi="宋体" w:eastAsia="宋体" w:cs="Times New Roman"/>
          <w:bCs w:val="0"/>
          <w:color w:val="auto"/>
          <w:kern w:val="0"/>
          <w:sz w:val="21"/>
          <w:szCs w:val="21"/>
          <w:highlight w:val="none"/>
          <w:lang w:val="zh-CN"/>
        </w:rPr>
        <w:t>提交的</w:t>
      </w:r>
      <w:r>
        <w:rPr>
          <w:rFonts w:hint="eastAsia" w:ascii="宋体" w:hAnsi="宋体" w:eastAsia="宋体" w:cs="Times New Roman"/>
          <w:bCs w:val="0"/>
          <w:color w:val="auto"/>
          <w:kern w:val="0"/>
          <w:sz w:val="21"/>
          <w:szCs w:val="21"/>
          <w:highlight w:val="none"/>
          <w:lang w:val="en-US" w:eastAsia="zh-CN"/>
        </w:rPr>
        <w:t>入库</w:t>
      </w:r>
      <w:r>
        <w:rPr>
          <w:rFonts w:hint="eastAsia" w:ascii="宋体" w:hAnsi="宋体" w:eastAsia="宋体" w:cs="Times New Roman"/>
          <w:bCs w:val="0"/>
          <w:color w:val="auto"/>
          <w:kern w:val="0"/>
          <w:sz w:val="21"/>
          <w:szCs w:val="21"/>
          <w:highlight w:val="none"/>
          <w:lang w:val="zh-CN"/>
        </w:rPr>
        <w:t>履约担保的有效期届满时间先于</w:t>
      </w:r>
      <w:r>
        <w:rPr>
          <w:rFonts w:hint="eastAsia" w:ascii="宋体" w:hAnsi="宋体" w:eastAsia="宋体" w:cs="Times New Roman"/>
          <w:bCs w:val="0"/>
          <w:color w:val="auto"/>
          <w:kern w:val="0"/>
          <w:sz w:val="21"/>
          <w:szCs w:val="21"/>
          <w:highlight w:val="none"/>
          <w:lang w:val="en-US" w:eastAsia="zh-CN"/>
        </w:rPr>
        <w:t>招标</w:t>
      </w:r>
      <w:r>
        <w:rPr>
          <w:rFonts w:hint="eastAsia" w:ascii="宋体" w:hAnsi="宋体" w:eastAsia="宋体" w:cs="Times New Roman"/>
          <w:bCs w:val="0"/>
          <w:color w:val="auto"/>
          <w:kern w:val="0"/>
          <w:sz w:val="21"/>
          <w:szCs w:val="21"/>
          <w:highlight w:val="none"/>
          <w:lang w:val="zh-CN"/>
        </w:rPr>
        <w:t>文件、合同文件要求的，</w:t>
      </w:r>
      <w:r>
        <w:rPr>
          <w:rFonts w:hint="eastAsia" w:ascii="宋体" w:hAnsi="宋体" w:eastAsia="宋体" w:cs="Times New Roman"/>
          <w:color w:val="auto"/>
          <w:kern w:val="0"/>
          <w:szCs w:val="21"/>
          <w:highlight w:val="none"/>
        </w:rPr>
        <w:t>中标人</w:t>
      </w:r>
      <w:r>
        <w:rPr>
          <w:rFonts w:hint="eastAsia" w:ascii="宋体" w:hAnsi="宋体" w:eastAsia="宋体" w:cs="Times New Roman"/>
          <w:bCs w:val="0"/>
          <w:color w:val="auto"/>
          <w:kern w:val="0"/>
          <w:sz w:val="21"/>
          <w:szCs w:val="21"/>
          <w:highlight w:val="none"/>
          <w:lang w:val="zh-CN"/>
        </w:rPr>
        <w:t>应在原提交的</w:t>
      </w:r>
      <w:r>
        <w:rPr>
          <w:rFonts w:hint="eastAsia" w:ascii="宋体" w:hAnsi="宋体" w:eastAsia="宋体" w:cs="Times New Roman"/>
          <w:bCs w:val="0"/>
          <w:color w:val="auto"/>
          <w:kern w:val="0"/>
          <w:sz w:val="21"/>
          <w:szCs w:val="21"/>
          <w:highlight w:val="none"/>
          <w:lang w:val="en-US" w:eastAsia="zh-CN"/>
        </w:rPr>
        <w:t>入库</w:t>
      </w:r>
      <w:r>
        <w:rPr>
          <w:rFonts w:hint="eastAsia" w:ascii="宋体" w:hAnsi="宋体" w:eastAsia="宋体" w:cs="Times New Roman"/>
          <w:bCs w:val="0"/>
          <w:color w:val="auto"/>
          <w:kern w:val="0"/>
          <w:sz w:val="21"/>
          <w:szCs w:val="21"/>
          <w:highlight w:val="none"/>
          <w:lang w:val="zh-CN"/>
        </w:rPr>
        <w:t>履约担保有效期届满前15日内，无条件办理符合</w:t>
      </w:r>
      <w:r>
        <w:rPr>
          <w:rFonts w:hint="eastAsia" w:ascii="宋体" w:hAnsi="宋体" w:eastAsia="宋体" w:cs="Times New Roman"/>
          <w:bCs w:val="0"/>
          <w:color w:val="auto"/>
          <w:kern w:val="0"/>
          <w:sz w:val="21"/>
          <w:szCs w:val="21"/>
          <w:highlight w:val="none"/>
          <w:lang w:val="en-US" w:eastAsia="zh-CN"/>
        </w:rPr>
        <w:t>招标</w:t>
      </w:r>
      <w:r>
        <w:rPr>
          <w:rFonts w:hint="eastAsia" w:ascii="宋体" w:hAnsi="宋体" w:eastAsia="宋体" w:cs="Times New Roman"/>
          <w:bCs w:val="0"/>
          <w:color w:val="auto"/>
          <w:kern w:val="0"/>
          <w:sz w:val="21"/>
          <w:szCs w:val="21"/>
          <w:highlight w:val="none"/>
          <w:lang w:val="zh-CN"/>
        </w:rPr>
        <w:t>人要求的</w:t>
      </w:r>
      <w:r>
        <w:rPr>
          <w:rFonts w:hint="eastAsia" w:ascii="宋体" w:hAnsi="宋体" w:eastAsia="宋体" w:cs="Times New Roman"/>
          <w:bCs w:val="0"/>
          <w:color w:val="auto"/>
          <w:kern w:val="0"/>
          <w:sz w:val="21"/>
          <w:szCs w:val="21"/>
          <w:highlight w:val="none"/>
          <w:lang w:val="en-US" w:eastAsia="zh-CN"/>
        </w:rPr>
        <w:t>入库</w:t>
      </w:r>
      <w:r>
        <w:rPr>
          <w:rFonts w:hint="eastAsia" w:ascii="宋体" w:hAnsi="宋体" w:eastAsia="宋体" w:cs="Times New Roman"/>
          <w:bCs w:val="0"/>
          <w:color w:val="auto"/>
          <w:kern w:val="0"/>
          <w:sz w:val="21"/>
          <w:szCs w:val="21"/>
          <w:highlight w:val="none"/>
          <w:lang w:val="zh-CN"/>
        </w:rPr>
        <w:t>履约担保延期手续，否则视为</w:t>
      </w:r>
      <w:r>
        <w:rPr>
          <w:rFonts w:hint="eastAsia" w:ascii="宋体" w:hAnsi="宋体" w:eastAsia="宋体" w:cs="Times New Roman"/>
          <w:color w:val="auto"/>
          <w:kern w:val="0"/>
          <w:szCs w:val="21"/>
          <w:highlight w:val="none"/>
        </w:rPr>
        <w:t>中标人</w:t>
      </w:r>
      <w:r>
        <w:rPr>
          <w:rFonts w:hint="eastAsia" w:ascii="宋体" w:hAnsi="宋体" w:eastAsia="宋体" w:cs="Times New Roman"/>
          <w:bCs w:val="0"/>
          <w:color w:val="auto"/>
          <w:kern w:val="0"/>
          <w:sz w:val="21"/>
          <w:szCs w:val="21"/>
          <w:highlight w:val="none"/>
          <w:lang w:val="zh-CN"/>
        </w:rPr>
        <w:t>违约，</w:t>
      </w:r>
      <w:r>
        <w:rPr>
          <w:rFonts w:hint="eastAsia" w:ascii="宋体" w:hAnsi="宋体" w:eastAsia="宋体" w:cs="Times New Roman"/>
          <w:bCs w:val="0"/>
          <w:color w:val="auto"/>
          <w:kern w:val="0"/>
          <w:sz w:val="21"/>
          <w:szCs w:val="21"/>
          <w:highlight w:val="none"/>
          <w:lang w:val="en-US" w:eastAsia="zh-CN"/>
        </w:rPr>
        <w:t>招标</w:t>
      </w:r>
      <w:r>
        <w:rPr>
          <w:rFonts w:hint="eastAsia" w:ascii="宋体" w:hAnsi="宋体" w:eastAsia="宋体" w:cs="Times New Roman"/>
          <w:bCs w:val="0"/>
          <w:color w:val="auto"/>
          <w:kern w:val="0"/>
          <w:sz w:val="21"/>
          <w:szCs w:val="21"/>
          <w:highlight w:val="none"/>
          <w:lang w:val="zh-CN"/>
        </w:rPr>
        <w:t>人有权在不可撤销银行履约保函或履约保证保险或担保公司履约担保书到期前向出具履约担保的机构提取履约担保。在不可撤销银行履约保函（或履约保证保险或担保公司履约担保书）到期后</w:t>
      </w:r>
      <w:r>
        <w:rPr>
          <w:rFonts w:hint="eastAsia" w:ascii="宋体" w:hAnsi="宋体" w:eastAsia="宋体" w:cs="Times New Roman"/>
          <w:color w:val="auto"/>
          <w:kern w:val="0"/>
          <w:szCs w:val="21"/>
          <w:highlight w:val="none"/>
        </w:rPr>
        <w:t>中标人</w:t>
      </w:r>
      <w:r>
        <w:rPr>
          <w:rFonts w:hint="eastAsia" w:ascii="宋体" w:hAnsi="宋体" w:eastAsia="宋体" w:cs="Times New Roman"/>
          <w:bCs w:val="0"/>
          <w:color w:val="auto"/>
          <w:kern w:val="0"/>
          <w:sz w:val="21"/>
          <w:szCs w:val="21"/>
          <w:highlight w:val="none"/>
          <w:lang w:val="zh-CN"/>
        </w:rPr>
        <w:t>未按</w:t>
      </w:r>
      <w:r>
        <w:rPr>
          <w:rFonts w:hint="eastAsia" w:ascii="宋体" w:hAnsi="宋体" w:eastAsia="宋体" w:cs="Times New Roman"/>
          <w:bCs w:val="0"/>
          <w:color w:val="auto"/>
          <w:kern w:val="0"/>
          <w:sz w:val="21"/>
          <w:szCs w:val="21"/>
          <w:highlight w:val="none"/>
          <w:lang w:val="en-US" w:eastAsia="zh-CN"/>
        </w:rPr>
        <w:t>招标</w:t>
      </w:r>
      <w:r>
        <w:rPr>
          <w:rFonts w:hint="eastAsia" w:ascii="宋体" w:hAnsi="宋体" w:eastAsia="宋体" w:cs="Times New Roman"/>
          <w:bCs w:val="0"/>
          <w:color w:val="auto"/>
          <w:kern w:val="0"/>
          <w:sz w:val="21"/>
          <w:szCs w:val="21"/>
          <w:highlight w:val="none"/>
          <w:lang w:val="zh-CN"/>
        </w:rPr>
        <w:t>人要求重新提供的，中标人应向</w:t>
      </w:r>
      <w:r>
        <w:rPr>
          <w:rFonts w:hint="eastAsia" w:ascii="宋体" w:hAnsi="宋体" w:eastAsia="宋体" w:cs="Times New Roman"/>
          <w:bCs w:val="0"/>
          <w:color w:val="auto"/>
          <w:kern w:val="0"/>
          <w:sz w:val="21"/>
          <w:szCs w:val="21"/>
          <w:highlight w:val="none"/>
          <w:lang w:val="en-US" w:eastAsia="zh-CN"/>
        </w:rPr>
        <w:t>招标人</w:t>
      </w:r>
      <w:r>
        <w:rPr>
          <w:rFonts w:hint="eastAsia" w:ascii="宋体" w:hAnsi="宋体" w:eastAsia="宋体" w:cs="Times New Roman"/>
          <w:bCs w:val="0"/>
          <w:color w:val="auto"/>
          <w:kern w:val="0"/>
          <w:sz w:val="21"/>
          <w:szCs w:val="21"/>
          <w:highlight w:val="none"/>
          <w:lang w:val="zh-CN"/>
        </w:rPr>
        <w:t>支付【10】万元违约金，该违约金招标人有权从未付款项中扣除。</w:t>
      </w:r>
      <w:r>
        <w:rPr>
          <w:rFonts w:hint="eastAsia" w:ascii="宋体" w:hAnsi="宋体" w:eastAsia="宋体" w:cs="宋体"/>
          <w:color w:val="auto"/>
          <w:sz w:val="21"/>
          <w:szCs w:val="21"/>
          <w:highlight w:val="none"/>
        </w:rPr>
        <w:t>在</w:t>
      </w:r>
      <w:r>
        <w:rPr>
          <w:rFonts w:hint="eastAsia" w:ascii="宋体" w:hAnsi="宋体" w:eastAsia="宋体" w:cs="Times New Roman"/>
          <w:bCs w:val="0"/>
          <w:color w:val="auto"/>
          <w:kern w:val="0"/>
          <w:sz w:val="21"/>
          <w:szCs w:val="21"/>
          <w:highlight w:val="none"/>
          <w:lang w:val="zh-CN"/>
        </w:rPr>
        <w:t>中标人</w:t>
      </w:r>
      <w:r>
        <w:rPr>
          <w:rFonts w:hint="eastAsia" w:ascii="宋体" w:hAnsi="宋体" w:eastAsia="宋体" w:cs="宋体"/>
          <w:color w:val="auto"/>
          <w:sz w:val="21"/>
          <w:szCs w:val="21"/>
          <w:highlight w:val="none"/>
        </w:rPr>
        <w:t>重新提供前</w:t>
      </w:r>
      <w:r>
        <w:rPr>
          <w:rFonts w:hint="eastAsia" w:ascii="宋体" w:hAnsi="宋体" w:eastAsia="宋体" w:cs="Times New Roman"/>
          <w:bCs w:val="0"/>
          <w:color w:val="auto"/>
          <w:kern w:val="0"/>
          <w:sz w:val="21"/>
          <w:szCs w:val="21"/>
          <w:highlight w:val="none"/>
          <w:lang w:val="zh-CN"/>
        </w:rPr>
        <w:t>招标人</w:t>
      </w:r>
      <w:r>
        <w:rPr>
          <w:rFonts w:hint="eastAsia" w:ascii="宋体" w:hAnsi="宋体" w:eastAsia="宋体" w:cs="宋体"/>
          <w:color w:val="auto"/>
          <w:sz w:val="21"/>
          <w:szCs w:val="21"/>
          <w:highlight w:val="none"/>
        </w:rPr>
        <w:t>无需向</w:t>
      </w:r>
      <w:r>
        <w:rPr>
          <w:rFonts w:hint="eastAsia" w:ascii="宋体" w:hAnsi="宋体" w:eastAsia="宋体" w:cs="Times New Roman"/>
          <w:bCs w:val="0"/>
          <w:color w:val="auto"/>
          <w:kern w:val="0"/>
          <w:sz w:val="21"/>
          <w:szCs w:val="21"/>
          <w:highlight w:val="none"/>
          <w:lang w:val="zh-CN"/>
        </w:rPr>
        <w:t>中标人</w:t>
      </w:r>
      <w:r>
        <w:rPr>
          <w:rFonts w:hint="eastAsia" w:ascii="宋体" w:hAnsi="宋体" w:eastAsia="宋体" w:cs="宋体"/>
          <w:color w:val="auto"/>
          <w:sz w:val="21"/>
          <w:szCs w:val="21"/>
          <w:highlight w:val="none"/>
        </w:rPr>
        <w:t>支付合同款项，且不视为</w:t>
      </w:r>
      <w:r>
        <w:rPr>
          <w:rFonts w:hint="eastAsia" w:ascii="宋体" w:hAnsi="宋体" w:eastAsia="宋体" w:cs="Times New Roman"/>
          <w:bCs w:val="0"/>
          <w:color w:val="auto"/>
          <w:kern w:val="0"/>
          <w:sz w:val="21"/>
          <w:szCs w:val="21"/>
          <w:highlight w:val="none"/>
          <w:lang w:val="zh-CN"/>
        </w:rPr>
        <w:t>招标人</w:t>
      </w:r>
      <w:r>
        <w:rPr>
          <w:rFonts w:hint="eastAsia" w:ascii="宋体" w:hAnsi="宋体" w:eastAsia="宋体" w:cs="宋体"/>
          <w:color w:val="auto"/>
          <w:sz w:val="21"/>
          <w:szCs w:val="21"/>
          <w:highlight w:val="none"/>
        </w:rPr>
        <w:t>违约。</w:t>
      </w:r>
    </w:p>
    <w:p w14:paraId="7BD3B5E5">
      <w:pPr>
        <w:numPr>
          <w:ilvl w:val="-1"/>
          <w:numId w:val="0"/>
        </w:num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Times New Roman"/>
          <w:bCs w:val="0"/>
          <w:color w:val="auto"/>
          <w:kern w:val="0"/>
          <w:sz w:val="21"/>
          <w:szCs w:val="21"/>
          <w:highlight w:val="none"/>
          <w:lang w:val="zh-CN"/>
        </w:rPr>
      </w:pPr>
      <w:r>
        <w:rPr>
          <w:rFonts w:hint="eastAsia" w:ascii="宋体" w:hAnsi="宋体" w:eastAsia="宋体" w:cs="Times New Roman"/>
          <w:bCs w:val="0"/>
          <w:color w:val="auto"/>
          <w:kern w:val="0"/>
          <w:sz w:val="21"/>
          <w:szCs w:val="21"/>
          <w:highlight w:val="none"/>
          <w:lang w:val="zh-CN"/>
        </w:rPr>
        <w:t>（5）在合同履行过程中，不论何种原因导致</w:t>
      </w:r>
      <w:r>
        <w:rPr>
          <w:rFonts w:hint="eastAsia" w:ascii="宋体" w:hAnsi="宋体" w:eastAsia="宋体" w:cs="Times New Roman"/>
          <w:bCs w:val="0"/>
          <w:color w:val="auto"/>
          <w:kern w:val="0"/>
          <w:sz w:val="21"/>
          <w:szCs w:val="21"/>
          <w:highlight w:val="none"/>
          <w:lang w:val="en-US" w:eastAsia="zh-CN"/>
        </w:rPr>
        <w:t>入库</w:t>
      </w:r>
      <w:r>
        <w:rPr>
          <w:rFonts w:hint="eastAsia" w:ascii="宋体" w:hAnsi="宋体" w:eastAsia="宋体" w:cs="Times New Roman"/>
          <w:bCs w:val="0"/>
          <w:color w:val="auto"/>
          <w:kern w:val="0"/>
          <w:sz w:val="21"/>
          <w:szCs w:val="21"/>
          <w:highlight w:val="none"/>
          <w:lang w:val="zh-CN"/>
        </w:rPr>
        <w:t>履约担保金数额不符合</w:t>
      </w:r>
      <w:r>
        <w:rPr>
          <w:rFonts w:hint="eastAsia" w:ascii="宋体" w:hAnsi="宋体" w:eastAsia="宋体" w:cs="Times New Roman"/>
          <w:bCs w:val="0"/>
          <w:color w:val="auto"/>
          <w:kern w:val="0"/>
          <w:sz w:val="21"/>
          <w:szCs w:val="21"/>
          <w:highlight w:val="none"/>
          <w:lang w:val="en-US" w:eastAsia="zh-CN"/>
        </w:rPr>
        <w:t>招标</w:t>
      </w:r>
      <w:r>
        <w:rPr>
          <w:rFonts w:hint="eastAsia" w:ascii="宋体" w:hAnsi="宋体" w:eastAsia="宋体" w:cs="Times New Roman"/>
          <w:bCs w:val="0"/>
          <w:color w:val="auto"/>
          <w:kern w:val="0"/>
          <w:sz w:val="21"/>
          <w:szCs w:val="21"/>
          <w:highlight w:val="none"/>
          <w:lang w:val="zh-CN"/>
        </w:rPr>
        <w:t>文件要求的，</w:t>
      </w:r>
      <w:r>
        <w:rPr>
          <w:rFonts w:hint="eastAsia" w:ascii="宋体" w:hAnsi="宋体" w:eastAsia="宋体" w:cs="Times New Roman"/>
          <w:bCs w:val="0"/>
          <w:color w:val="auto"/>
          <w:kern w:val="0"/>
          <w:sz w:val="21"/>
          <w:szCs w:val="21"/>
          <w:highlight w:val="none"/>
          <w:lang w:val="en-US" w:eastAsia="zh-CN"/>
        </w:rPr>
        <w:t>中标人</w:t>
      </w:r>
      <w:r>
        <w:rPr>
          <w:rFonts w:hint="eastAsia" w:ascii="宋体" w:hAnsi="宋体" w:eastAsia="宋体" w:cs="Times New Roman"/>
          <w:bCs w:val="0"/>
          <w:color w:val="auto"/>
          <w:kern w:val="0"/>
          <w:sz w:val="21"/>
          <w:szCs w:val="21"/>
          <w:highlight w:val="none"/>
          <w:lang w:val="zh-CN"/>
        </w:rPr>
        <w:t>应当在5日内予以补足。逾期不予补足的，</w:t>
      </w:r>
      <w:r>
        <w:rPr>
          <w:rFonts w:hint="eastAsia" w:ascii="宋体" w:hAnsi="宋体" w:eastAsia="宋体" w:cs="Times New Roman"/>
          <w:bCs w:val="0"/>
          <w:color w:val="auto"/>
          <w:kern w:val="0"/>
          <w:sz w:val="21"/>
          <w:szCs w:val="21"/>
          <w:highlight w:val="none"/>
          <w:lang w:val="en-US" w:eastAsia="zh-CN"/>
        </w:rPr>
        <w:t>招标</w:t>
      </w:r>
      <w:r>
        <w:rPr>
          <w:rFonts w:hint="eastAsia" w:ascii="宋体" w:hAnsi="宋体" w:eastAsia="宋体" w:cs="Times New Roman"/>
          <w:bCs w:val="0"/>
          <w:color w:val="auto"/>
          <w:kern w:val="0"/>
          <w:sz w:val="21"/>
          <w:szCs w:val="21"/>
          <w:highlight w:val="none"/>
          <w:lang w:val="zh-CN"/>
        </w:rPr>
        <w:t>人有权按需补足的金额要求</w:t>
      </w:r>
      <w:r>
        <w:rPr>
          <w:rFonts w:hint="eastAsia" w:ascii="宋体" w:hAnsi="宋体" w:eastAsia="宋体" w:cs="Times New Roman"/>
          <w:color w:val="auto"/>
          <w:kern w:val="0"/>
          <w:szCs w:val="21"/>
          <w:highlight w:val="none"/>
        </w:rPr>
        <w:t>中标人</w:t>
      </w:r>
      <w:r>
        <w:rPr>
          <w:rFonts w:hint="eastAsia" w:ascii="宋体" w:hAnsi="宋体" w:eastAsia="宋体" w:cs="Times New Roman"/>
          <w:bCs w:val="0"/>
          <w:color w:val="auto"/>
          <w:kern w:val="0"/>
          <w:sz w:val="21"/>
          <w:szCs w:val="21"/>
          <w:highlight w:val="none"/>
          <w:lang w:val="zh-CN"/>
        </w:rPr>
        <w:t>承担违约金，并要求中标人限期补足，在中标人补足前招标人无需向中标人支付合同款项，且不视为招标人违约。</w:t>
      </w:r>
    </w:p>
    <w:p w14:paraId="055B6DA1">
      <w:pPr>
        <w:numPr>
          <w:ilvl w:val="-1"/>
          <w:numId w:val="0"/>
        </w:num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Times New Roman"/>
          <w:bCs w:val="0"/>
          <w:color w:val="auto"/>
          <w:kern w:val="0"/>
          <w:sz w:val="21"/>
          <w:szCs w:val="21"/>
          <w:highlight w:val="none"/>
          <w:lang w:val="zh-CN"/>
        </w:rPr>
      </w:pPr>
      <w:r>
        <w:rPr>
          <w:rFonts w:hint="eastAsia" w:ascii="宋体" w:hAnsi="宋体" w:eastAsia="宋体" w:cs="Times New Roman"/>
          <w:bCs w:val="0"/>
          <w:color w:val="auto"/>
          <w:kern w:val="0"/>
          <w:sz w:val="21"/>
          <w:szCs w:val="21"/>
          <w:highlight w:val="none"/>
          <w:lang w:val="zh-CN"/>
        </w:rPr>
        <w:t>（6）不可撤销银行履约保函（或履约保证保险或担保公司履约担保书）应从合同签订之日起（或签订合同前）至合同期限届满并完成本项目的所有合同（包括补充协议及单项合同）全部服务义务（或其它非强制退库的情况），</w:t>
      </w:r>
      <w:r>
        <w:rPr>
          <w:rFonts w:hint="eastAsia" w:ascii="宋体" w:hAnsi="宋体" w:eastAsia="宋体" w:cs="Times New Roman"/>
          <w:bCs w:val="0"/>
          <w:color w:val="auto"/>
          <w:kern w:val="0"/>
          <w:sz w:val="21"/>
          <w:szCs w:val="21"/>
          <w:highlight w:val="none"/>
          <w:lang w:val="en-US" w:eastAsia="zh-CN"/>
        </w:rPr>
        <w:t>招标人</w:t>
      </w:r>
      <w:r>
        <w:rPr>
          <w:rFonts w:hint="eastAsia" w:ascii="宋体" w:hAnsi="宋体" w:eastAsia="宋体" w:cs="Times New Roman"/>
          <w:bCs w:val="0"/>
          <w:color w:val="auto"/>
          <w:kern w:val="0"/>
          <w:sz w:val="21"/>
          <w:szCs w:val="21"/>
          <w:highlight w:val="none"/>
          <w:lang w:val="zh-CN"/>
        </w:rPr>
        <w:t>向</w:t>
      </w:r>
      <w:r>
        <w:rPr>
          <w:rFonts w:hint="eastAsia" w:ascii="宋体" w:hAnsi="宋体" w:eastAsia="宋体" w:cs="Times New Roman"/>
          <w:bCs w:val="0"/>
          <w:color w:val="auto"/>
          <w:kern w:val="0"/>
          <w:sz w:val="21"/>
          <w:szCs w:val="21"/>
          <w:highlight w:val="none"/>
          <w:lang w:val="en-US" w:eastAsia="zh-CN"/>
        </w:rPr>
        <w:t>中标人</w:t>
      </w:r>
      <w:r>
        <w:rPr>
          <w:rFonts w:hint="eastAsia" w:ascii="宋体" w:hAnsi="宋体" w:eastAsia="宋体" w:cs="Times New Roman"/>
          <w:bCs w:val="0"/>
          <w:color w:val="auto"/>
          <w:kern w:val="0"/>
          <w:sz w:val="21"/>
          <w:szCs w:val="21"/>
          <w:highlight w:val="none"/>
          <w:lang w:val="zh-CN"/>
        </w:rPr>
        <w:t>支付全部款项后二十八（28）日内保持有效。</w:t>
      </w:r>
    </w:p>
    <w:p w14:paraId="1294AEF6">
      <w:pPr>
        <w:tabs>
          <w:tab w:val="left" w:pos="360"/>
          <w:tab w:val="left" w:pos="4725"/>
        </w:tabs>
        <w:autoSpaceDE w:val="0"/>
        <w:autoSpaceDN w:val="0"/>
        <w:adjustRightInd w:val="0"/>
        <w:spacing w:line="360" w:lineRule="auto"/>
        <w:ind w:left="315" w:leftChars="-100" w:hanging="525" w:hangingChars="25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.4 入库履约担保应用</w:t>
      </w:r>
      <w:r>
        <w:rPr>
          <w:rFonts w:hint="eastAsia" w:ascii="宋体" w:hAnsi="宋体" w:eastAsia="宋体" w:cs="宋体"/>
          <w:color w:val="auto"/>
          <w:kern w:val="0"/>
          <w:szCs w:val="21"/>
          <w:highlight w:val="none"/>
          <w:lang w:val="en-US" w:eastAsia="zh-CN"/>
        </w:rPr>
        <w:t>本合同货币</w:t>
      </w:r>
      <w:r>
        <w:rPr>
          <w:rFonts w:hint="eastAsia" w:ascii="宋体" w:hAnsi="宋体" w:eastAsia="宋体" w:cs="宋体"/>
          <w:color w:val="auto"/>
          <w:kern w:val="0"/>
          <w:szCs w:val="21"/>
          <w:highlight w:val="none"/>
        </w:rPr>
        <w:t>。</w:t>
      </w:r>
    </w:p>
    <w:p w14:paraId="23B3EBD0">
      <w:pPr>
        <w:numPr>
          <w:ilvl w:val="-1"/>
          <w:numId w:val="0"/>
        </w:numPr>
        <w:tabs>
          <w:tab w:val="left" w:pos="360"/>
          <w:tab w:val="left" w:pos="4725"/>
        </w:tabs>
        <w:autoSpaceDE w:val="0"/>
        <w:autoSpaceDN w:val="0"/>
        <w:adjustRightInd w:val="0"/>
        <w:spacing w:line="360" w:lineRule="auto"/>
        <w:ind w:left="315" w:leftChars="-100" w:right="0" w:hanging="525" w:hangingChars="250"/>
        <w:jc w:val="left"/>
        <w:rPr>
          <w:rFonts w:hint="eastAsia" w:ascii="宋体" w:hAnsi="宋体" w:eastAsia="宋体" w:cs="宋体"/>
          <w:bCs w:val="0"/>
          <w:color w:val="auto"/>
          <w:kern w:val="0"/>
          <w:sz w:val="21"/>
          <w:szCs w:val="21"/>
          <w:highlight w:val="none"/>
          <w:lang w:val="zh-CN"/>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 xml:space="preserve">.5 </w:t>
      </w:r>
      <w:r>
        <w:rPr>
          <w:rFonts w:hint="eastAsia" w:ascii="宋体" w:hAnsi="宋体" w:eastAsia="宋体" w:cs="Times New Roman"/>
          <w:color w:val="auto"/>
          <w:kern w:val="0"/>
          <w:szCs w:val="21"/>
          <w:highlight w:val="none"/>
        </w:rPr>
        <w:t>中标人</w:t>
      </w:r>
      <w:r>
        <w:rPr>
          <w:rFonts w:hint="eastAsia" w:ascii="宋体" w:hAnsi="宋体" w:eastAsia="宋体" w:cs="宋体"/>
          <w:bCs w:val="0"/>
          <w:color w:val="auto"/>
          <w:kern w:val="0"/>
          <w:sz w:val="21"/>
          <w:szCs w:val="21"/>
          <w:highlight w:val="none"/>
          <w:lang w:val="en-US" w:eastAsia="zh-CN"/>
        </w:rPr>
        <w:t>也可以</w:t>
      </w:r>
      <w:r>
        <w:rPr>
          <w:rFonts w:hint="eastAsia" w:ascii="宋体" w:hAnsi="宋体" w:eastAsia="宋体" w:cs="宋体"/>
          <w:bCs w:val="0"/>
          <w:color w:val="auto"/>
          <w:kern w:val="0"/>
          <w:sz w:val="21"/>
          <w:szCs w:val="21"/>
          <w:highlight w:val="none"/>
          <w:lang w:val="zh-CN"/>
        </w:rPr>
        <w:t>按</w:t>
      </w:r>
      <w:r>
        <w:rPr>
          <w:rFonts w:hint="eastAsia" w:ascii="宋体" w:hAnsi="宋体" w:eastAsia="宋体" w:cs="宋体"/>
          <w:bCs w:val="0"/>
          <w:color w:val="auto"/>
          <w:kern w:val="0"/>
          <w:sz w:val="21"/>
          <w:szCs w:val="21"/>
          <w:highlight w:val="none"/>
          <w:lang w:eastAsia="zh-CN"/>
        </w:rPr>
        <w:t>招标</w:t>
      </w:r>
      <w:r>
        <w:rPr>
          <w:rFonts w:hint="eastAsia" w:ascii="宋体" w:hAnsi="宋体" w:eastAsia="宋体" w:cs="宋体"/>
          <w:bCs w:val="0"/>
          <w:color w:val="auto"/>
          <w:kern w:val="0"/>
          <w:sz w:val="21"/>
          <w:szCs w:val="21"/>
          <w:highlight w:val="none"/>
          <w:lang w:val="zh-CN"/>
        </w:rPr>
        <w:t>文件约定的额度和时间，向</w:t>
      </w:r>
      <w:r>
        <w:rPr>
          <w:rFonts w:hint="eastAsia" w:ascii="宋体" w:hAnsi="宋体" w:eastAsia="宋体" w:cs="宋体"/>
          <w:bCs w:val="0"/>
          <w:color w:val="auto"/>
          <w:kern w:val="0"/>
          <w:sz w:val="21"/>
          <w:szCs w:val="21"/>
          <w:highlight w:val="none"/>
          <w:lang w:eastAsia="zh-CN"/>
        </w:rPr>
        <w:t>招标</w:t>
      </w:r>
      <w:r>
        <w:rPr>
          <w:rFonts w:hint="eastAsia" w:ascii="宋体" w:hAnsi="宋体" w:eastAsia="宋体" w:cs="宋体"/>
          <w:bCs w:val="0"/>
          <w:color w:val="auto"/>
          <w:kern w:val="0"/>
          <w:sz w:val="21"/>
          <w:szCs w:val="21"/>
          <w:highlight w:val="none"/>
          <w:lang w:val="zh-CN"/>
        </w:rPr>
        <w:t>人提交履约保证金作为</w:t>
      </w:r>
      <w:r>
        <w:rPr>
          <w:rFonts w:hint="eastAsia" w:ascii="宋体" w:hAnsi="宋体" w:eastAsia="宋体" w:cs="宋体"/>
          <w:bCs w:val="0"/>
          <w:color w:val="auto"/>
          <w:kern w:val="0"/>
          <w:sz w:val="21"/>
          <w:szCs w:val="21"/>
          <w:highlight w:val="none"/>
        </w:rPr>
        <w:t>入库</w:t>
      </w:r>
      <w:r>
        <w:rPr>
          <w:rFonts w:hint="eastAsia" w:ascii="宋体" w:hAnsi="宋体" w:eastAsia="宋体" w:cs="宋体"/>
          <w:bCs w:val="0"/>
          <w:color w:val="auto"/>
          <w:kern w:val="0"/>
          <w:sz w:val="21"/>
          <w:szCs w:val="21"/>
          <w:highlight w:val="none"/>
          <w:lang w:val="zh-CN"/>
        </w:rPr>
        <w:t>履约担保。如</w:t>
      </w:r>
      <w:r>
        <w:rPr>
          <w:rFonts w:hint="eastAsia" w:ascii="宋体" w:hAnsi="宋体" w:eastAsia="宋体" w:cs="Times New Roman"/>
          <w:color w:val="auto"/>
          <w:kern w:val="0"/>
          <w:szCs w:val="21"/>
          <w:highlight w:val="none"/>
        </w:rPr>
        <w:t>中标人</w:t>
      </w:r>
      <w:r>
        <w:rPr>
          <w:rFonts w:hint="eastAsia" w:ascii="宋体" w:hAnsi="宋体" w:eastAsia="宋体" w:cs="宋体"/>
          <w:bCs w:val="0"/>
          <w:color w:val="auto"/>
          <w:kern w:val="0"/>
          <w:sz w:val="21"/>
          <w:szCs w:val="21"/>
          <w:highlight w:val="none"/>
          <w:lang w:val="zh-CN"/>
        </w:rPr>
        <w:t>提交的履约保证金是其分支机构以转账形式转入的，要提交</w:t>
      </w:r>
      <w:r>
        <w:rPr>
          <w:rFonts w:hint="eastAsia" w:ascii="宋体" w:hAnsi="宋体" w:eastAsia="宋体" w:cs="Times New Roman"/>
          <w:color w:val="auto"/>
          <w:kern w:val="0"/>
          <w:szCs w:val="21"/>
          <w:highlight w:val="none"/>
        </w:rPr>
        <w:t>中标人</w:t>
      </w:r>
      <w:r>
        <w:rPr>
          <w:rFonts w:hint="eastAsia" w:ascii="宋体" w:hAnsi="宋体" w:eastAsia="宋体" w:cs="宋体"/>
          <w:bCs w:val="0"/>
          <w:color w:val="auto"/>
          <w:kern w:val="0"/>
          <w:sz w:val="21"/>
          <w:szCs w:val="21"/>
          <w:highlight w:val="none"/>
          <w:lang w:val="zh-CN"/>
        </w:rPr>
        <w:t>的法人书面授权，不接受由私人账户和其它单位转入的保证金，也不接受现金形式提交。履约保证金应以存入</w:t>
      </w:r>
      <w:r>
        <w:rPr>
          <w:rFonts w:hint="eastAsia" w:ascii="宋体" w:hAnsi="宋体" w:eastAsia="宋体" w:cs="宋体"/>
          <w:bCs w:val="0"/>
          <w:color w:val="auto"/>
          <w:kern w:val="0"/>
          <w:sz w:val="21"/>
          <w:szCs w:val="21"/>
          <w:highlight w:val="none"/>
          <w:lang w:eastAsia="zh-CN"/>
        </w:rPr>
        <w:t>招标</w:t>
      </w:r>
      <w:r>
        <w:rPr>
          <w:rFonts w:hint="eastAsia" w:ascii="宋体" w:hAnsi="宋体" w:eastAsia="宋体" w:cs="宋体"/>
          <w:bCs w:val="0"/>
          <w:color w:val="auto"/>
          <w:kern w:val="0"/>
          <w:sz w:val="21"/>
          <w:szCs w:val="21"/>
          <w:highlight w:val="none"/>
          <w:lang w:val="zh-CN"/>
        </w:rPr>
        <w:t>人指定的以下银行账户为准。</w:t>
      </w:r>
    </w:p>
    <w:p w14:paraId="10B3CEE0">
      <w:pPr>
        <w:numPr>
          <w:ilvl w:val="1"/>
          <w:numId w:val="0"/>
        </w:numPr>
        <w:spacing w:line="360" w:lineRule="auto"/>
        <w:ind w:left="493" w:leftChars="235" w:right="18"/>
        <w:jc w:val="both"/>
        <w:rPr>
          <w:rFonts w:hint="eastAsia" w:ascii="宋体" w:hAnsi="宋体" w:eastAsia="宋体" w:cs="宋体"/>
          <w:b/>
          <w:kern w:val="2"/>
          <w:sz w:val="21"/>
          <w:szCs w:val="21"/>
          <w:highlight w:val="none"/>
          <w:lang w:val="zh-CN"/>
        </w:rPr>
      </w:pPr>
      <w:r>
        <w:rPr>
          <w:rFonts w:hint="eastAsia" w:ascii="宋体" w:hAnsi="宋体" w:eastAsia="宋体" w:cs="宋体"/>
          <w:b/>
          <w:kern w:val="2"/>
          <w:sz w:val="21"/>
          <w:szCs w:val="21"/>
          <w:highlight w:val="none"/>
          <w:lang w:val="zh-CN"/>
        </w:rPr>
        <w:t>履约保证金账户：</w:t>
      </w:r>
    </w:p>
    <w:p w14:paraId="28398BD7">
      <w:pPr>
        <w:numPr>
          <w:ilvl w:val="1"/>
          <w:numId w:val="0"/>
        </w:numPr>
        <w:spacing w:line="360" w:lineRule="auto"/>
        <w:ind w:left="493" w:leftChars="235" w:right="18"/>
        <w:jc w:val="both"/>
        <w:rPr>
          <w:rFonts w:hint="eastAsia" w:ascii="宋体" w:hAnsi="宋体" w:eastAsia="宋体" w:cs="宋体"/>
          <w:b/>
          <w:kern w:val="2"/>
          <w:sz w:val="21"/>
          <w:szCs w:val="21"/>
          <w:highlight w:val="none"/>
          <w:u w:val="single"/>
          <w:lang w:val="zh-CN"/>
        </w:rPr>
      </w:pPr>
      <w:r>
        <w:rPr>
          <w:rFonts w:hint="eastAsia" w:ascii="宋体" w:hAnsi="宋体" w:eastAsia="宋体" w:cs="宋体"/>
          <w:b/>
          <w:kern w:val="2"/>
          <w:sz w:val="21"/>
          <w:szCs w:val="21"/>
          <w:highlight w:val="none"/>
          <w:u w:val="single"/>
          <w:lang w:val="zh-CN"/>
        </w:rPr>
        <w:t>开户名称：东莞市众源环境投资有限公司</w:t>
      </w:r>
    </w:p>
    <w:p w14:paraId="080C71CC">
      <w:pPr>
        <w:numPr>
          <w:ilvl w:val="1"/>
          <w:numId w:val="0"/>
        </w:numPr>
        <w:spacing w:line="360" w:lineRule="auto"/>
        <w:ind w:left="493" w:leftChars="235" w:right="18"/>
        <w:jc w:val="both"/>
        <w:rPr>
          <w:rFonts w:hint="eastAsia" w:ascii="宋体" w:hAnsi="宋体" w:eastAsia="宋体" w:cs="宋体"/>
          <w:b/>
          <w:kern w:val="2"/>
          <w:sz w:val="21"/>
          <w:szCs w:val="21"/>
          <w:highlight w:val="none"/>
          <w:u w:val="single"/>
          <w:lang w:val="zh-CN"/>
        </w:rPr>
      </w:pPr>
      <w:r>
        <w:rPr>
          <w:rFonts w:hint="eastAsia" w:ascii="宋体" w:hAnsi="宋体" w:eastAsia="宋体" w:cs="宋体"/>
          <w:b/>
          <w:kern w:val="2"/>
          <w:sz w:val="21"/>
          <w:szCs w:val="21"/>
          <w:highlight w:val="none"/>
          <w:u w:val="single"/>
          <w:lang w:val="zh-CN"/>
        </w:rPr>
        <w:t>开户银行：招商银行股份有限公司东莞分行</w:t>
      </w:r>
    </w:p>
    <w:p w14:paraId="04A1E8B5">
      <w:pPr>
        <w:numPr>
          <w:ilvl w:val="1"/>
          <w:numId w:val="0"/>
        </w:numPr>
        <w:spacing w:line="360" w:lineRule="auto"/>
        <w:ind w:left="493" w:leftChars="235" w:right="18"/>
        <w:jc w:val="both"/>
        <w:rPr>
          <w:rFonts w:hint="eastAsia" w:ascii="宋体" w:hAnsi="宋体" w:eastAsia="宋体" w:cs="宋体"/>
          <w:b/>
          <w:kern w:val="2"/>
          <w:sz w:val="21"/>
          <w:szCs w:val="21"/>
          <w:highlight w:val="none"/>
          <w:u w:val="single"/>
          <w:lang w:val="zh-CN"/>
        </w:rPr>
      </w:pPr>
      <w:r>
        <w:rPr>
          <w:rFonts w:hint="eastAsia" w:ascii="宋体" w:hAnsi="宋体" w:eastAsia="宋体" w:cs="宋体"/>
          <w:b/>
          <w:kern w:val="2"/>
          <w:sz w:val="21"/>
          <w:szCs w:val="21"/>
          <w:highlight w:val="none"/>
          <w:u w:val="single"/>
          <w:lang w:val="zh-CN"/>
        </w:rPr>
        <w:t>银行账号：769908269610828</w:t>
      </w:r>
    </w:p>
    <w:p w14:paraId="45381FDB">
      <w:pPr>
        <w:autoSpaceDE w:val="0"/>
        <w:autoSpaceDN w:val="0"/>
        <w:adjustRightInd w:val="0"/>
        <w:spacing w:line="360" w:lineRule="auto"/>
        <w:ind w:left="420" w:leftChars="-100" w:hanging="630" w:hangingChars="3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.6</w:t>
      </w:r>
      <w:r>
        <w:rPr>
          <w:rFonts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rPr>
        <w:t>中标</w:t>
      </w:r>
      <w:r>
        <w:rPr>
          <w:rFonts w:hint="eastAsia" w:ascii="宋体" w:hAnsi="宋体" w:eastAsia="宋体" w:cs="宋体"/>
          <w:color w:val="auto"/>
          <w:kern w:val="0"/>
          <w:szCs w:val="24"/>
          <w:highlight w:val="none"/>
        </w:rPr>
        <w:t>单位提交了</w:t>
      </w:r>
      <w:r>
        <w:rPr>
          <w:rFonts w:hint="eastAsia" w:ascii="宋体" w:hAnsi="宋体" w:eastAsia="宋体" w:cs="宋体"/>
          <w:color w:val="auto"/>
          <w:kern w:val="0"/>
          <w:szCs w:val="24"/>
          <w:highlight w:val="none"/>
          <w:lang w:val="en-US" w:eastAsia="zh-CN"/>
        </w:rPr>
        <w:t>入库</w:t>
      </w:r>
      <w:r>
        <w:rPr>
          <w:rFonts w:hint="eastAsia" w:ascii="宋体" w:hAnsi="宋体" w:eastAsia="宋体" w:cs="宋体"/>
          <w:color w:val="auto"/>
          <w:kern w:val="0"/>
          <w:szCs w:val="24"/>
          <w:highlight w:val="none"/>
        </w:rPr>
        <w:t>履约担保后，当履约保证金转达招标人履约保证金账户后，</w:t>
      </w:r>
      <w:r>
        <w:rPr>
          <w:rFonts w:hint="eastAsia" w:ascii="宋体" w:hAnsi="宋体" w:eastAsia="宋体" w:cs="宋体"/>
          <w:color w:val="auto"/>
          <w:szCs w:val="21"/>
          <w:highlight w:val="none"/>
          <w:lang w:val="zh-CN"/>
        </w:rPr>
        <w:t>中标</w:t>
      </w:r>
      <w:r>
        <w:rPr>
          <w:rFonts w:hint="eastAsia" w:ascii="宋体" w:hAnsi="宋体" w:eastAsia="宋体" w:cs="宋体"/>
          <w:color w:val="auto"/>
          <w:kern w:val="0"/>
          <w:szCs w:val="24"/>
          <w:highlight w:val="none"/>
        </w:rPr>
        <w:t>人将履约保证金的汇款凭证用A4纸</w:t>
      </w:r>
      <w:r>
        <w:rPr>
          <w:rFonts w:hint="eastAsia" w:ascii="宋体" w:hAnsi="宋体" w:eastAsia="宋体" w:cs="宋体"/>
          <w:color w:val="auto"/>
          <w:kern w:val="0"/>
          <w:szCs w:val="24"/>
          <w:highlight w:val="none"/>
          <w:lang w:val="en-US" w:eastAsia="zh-CN"/>
        </w:rPr>
        <w:t>复印</w:t>
      </w:r>
      <w:r>
        <w:rPr>
          <w:rFonts w:hint="eastAsia" w:ascii="宋体" w:hAnsi="宋体" w:eastAsia="宋体" w:cs="宋体"/>
          <w:color w:val="auto"/>
          <w:kern w:val="0"/>
          <w:szCs w:val="24"/>
          <w:highlight w:val="none"/>
          <w:lang w:eastAsia="zh-CN"/>
        </w:rPr>
        <w:t>件</w:t>
      </w:r>
      <w:r>
        <w:rPr>
          <w:rFonts w:hint="eastAsia" w:ascii="宋体" w:hAnsi="宋体" w:eastAsia="宋体" w:cs="宋体"/>
          <w:color w:val="auto"/>
          <w:kern w:val="0"/>
          <w:szCs w:val="24"/>
          <w:highlight w:val="none"/>
        </w:rPr>
        <w:t>（</w:t>
      </w:r>
      <w:r>
        <w:rPr>
          <w:rFonts w:hint="eastAsia" w:ascii="宋体" w:hAnsi="宋体" w:eastAsia="宋体" w:cs="宋体"/>
          <w:bCs/>
          <w:color w:val="auto"/>
          <w:kern w:val="0"/>
          <w:szCs w:val="24"/>
          <w:highlight w:val="none"/>
        </w:rPr>
        <w:t>注明</w:t>
      </w:r>
      <w:r>
        <w:rPr>
          <w:rFonts w:hint="eastAsia" w:ascii="宋体" w:hAnsi="宋体" w:eastAsia="宋体" w:cs="宋体"/>
          <w:bCs/>
          <w:color w:val="auto"/>
          <w:szCs w:val="21"/>
          <w:highlight w:val="none"/>
          <w:lang w:val="zh-CN"/>
        </w:rPr>
        <w:t>招标</w:t>
      </w:r>
      <w:r>
        <w:rPr>
          <w:rFonts w:hint="eastAsia" w:ascii="宋体" w:hAnsi="宋体" w:eastAsia="宋体" w:cs="宋体"/>
          <w:bCs/>
          <w:color w:val="auto"/>
          <w:kern w:val="0"/>
          <w:szCs w:val="24"/>
          <w:highlight w:val="none"/>
        </w:rPr>
        <w:t>编号</w:t>
      </w:r>
      <w:r>
        <w:rPr>
          <w:rFonts w:hint="eastAsia" w:ascii="宋体" w:hAnsi="宋体" w:eastAsia="宋体" w:cs="宋体"/>
          <w:color w:val="auto"/>
          <w:kern w:val="0"/>
          <w:szCs w:val="24"/>
          <w:highlight w:val="none"/>
        </w:rPr>
        <w:t>）一式二份并加盖</w:t>
      </w:r>
      <w:r>
        <w:rPr>
          <w:rFonts w:hint="eastAsia" w:ascii="宋体" w:hAnsi="宋体" w:eastAsia="宋体" w:cs="宋体"/>
          <w:color w:val="auto"/>
          <w:szCs w:val="21"/>
          <w:highlight w:val="none"/>
          <w:lang w:val="zh-CN"/>
        </w:rPr>
        <w:t>中标</w:t>
      </w:r>
      <w:r>
        <w:rPr>
          <w:rFonts w:hint="eastAsia" w:ascii="宋体" w:hAnsi="宋体" w:eastAsia="宋体" w:cs="宋体"/>
          <w:color w:val="auto"/>
          <w:kern w:val="0"/>
          <w:szCs w:val="24"/>
          <w:highlight w:val="none"/>
        </w:rPr>
        <w:t>人的公章送招标代理机构，[或当中标人采取不可撤销银行履约保函（</w:t>
      </w:r>
      <w:r>
        <w:rPr>
          <w:rFonts w:hint="eastAsia" w:ascii="宋体" w:hAnsi="宋体" w:eastAsia="宋体" w:cs="宋体"/>
          <w:color w:val="auto"/>
          <w:kern w:val="0"/>
          <w:szCs w:val="21"/>
          <w:highlight w:val="none"/>
        </w:rPr>
        <w:t>或履约保证保险</w:t>
      </w:r>
      <w:r>
        <w:rPr>
          <w:rFonts w:hint="eastAsia" w:ascii="宋体" w:hAnsi="宋体" w:eastAsia="宋体" w:cs="宋体"/>
          <w:color w:val="auto"/>
          <w:kern w:val="0"/>
          <w:szCs w:val="24"/>
          <w:highlight w:val="none"/>
        </w:rPr>
        <w:t>或担保公司履约担保书）的方式缴纳入库履约担保时，中标人将不可撤销银行履约保函（</w:t>
      </w:r>
      <w:r>
        <w:rPr>
          <w:rFonts w:hint="eastAsia" w:ascii="宋体" w:hAnsi="宋体" w:eastAsia="宋体" w:cs="宋体"/>
          <w:color w:val="auto"/>
          <w:kern w:val="0"/>
          <w:szCs w:val="21"/>
          <w:highlight w:val="none"/>
        </w:rPr>
        <w:t>或履约保证保险</w:t>
      </w:r>
      <w:r>
        <w:rPr>
          <w:rFonts w:hint="eastAsia" w:ascii="宋体" w:hAnsi="宋体" w:eastAsia="宋体" w:cs="宋体"/>
          <w:color w:val="auto"/>
          <w:kern w:val="0"/>
          <w:szCs w:val="24"/>
          <w:highlight w:val="none"/>
        </w:rPr>
        <w:t>或担保公司履约担保书）原件</w:t>
      </w:r>
      <w:r>
        <w:rPr>
          <w:rFonts w:hint="eastAsia" w:ascii="宋体" w:hAnsi="宋体" w:eastAsia="宋体" w:cs="宋体"/>
          <w:color w:val="auto"/>
          <w:szCs w:val="21"/>
          <w:highlight w:val="none"/>
          <w:lang w:val="zh-CN"/>
        </w:rPr>
        <w:t>交给招标人，由招标人在</w:t>
      </w:r>
      <w:r>
        <w:rPr>
          <w:rFonts w:hint="eastAsia" w:ascii="宋体" w:hAnsi="宋体" w:eastAsia="宋体" w:cs="宋体"/>
          <w:color w:val="auto"/>
          <w:kern w:val="0"/>
          <w:szCs w:val="24"/>
          <w:highlight w:val="none"/>
        </w:rPr>
        <w:t>履约保函一式两份</w:t>
      </w:r>
      <w:r>
        <w:rPr>
          <w:rFonts w:hint="eastAsia" w:ascii="宋体" w:hAnsi="宋体" w:eastAsia="宋体" w:cs="宋体"/>
          <w:color w:val="auto"/>
          <w:kern w:val="0"/>
          <w:szCs w:val="24"/>
          <w:highlight w:val="none"/>
          <w:lang w:val="en-US" w:eastAsia="zh-CN"/>
        </w:rPr>
        <w:t>复印</w:t>
      </w:r>
      <w:r>
        <w:rPr>
          <w:rFonts w:hint="eastAsia" w:ascii="宋体" w:hAnsi="宋体" w:eastAsia="宋体" w:cs="宋体"/>
          <w:color w:val="auto"/>
          <w:kern w:val="0"/>
          <w:szCs w:val="24"/>
          <w:highlight w:val="none"/>
          <w:lang w:eastAsia="zh-CN"/>
        </w:rPr>
        <w:t>件</w:t>
      </w:r>
      <w:r>
        <w:rPr>
          <w:rFonts w:hint="eastAsia" w:ascii="宋体" w:hAnsi="宋体" w:eastAsia="宋体" w:cs="宋体"/>
          <w:color w:val="auto"/>
          <w:kern w:val="0"/>
          <w:szCs w:val="24"/>
          <w:highlight w:val="none"/>
        </w:rPr>
        <w:t>上</w:t>
      </w:r>
      <w:r>
        <w:rPr>
          <w:rFonts w:hint="eastAsia" w:ascii="宋体" w:hAnsi="宋体" w:eastAsia="宋体" w:cs="宋体"/>
          <w:color w:val="auto"/>
          <w:szCs w:val="21"/>
          <w:highlight w:val="none"/>
          <w:lang w:val="zh-CN"/>
        </w:rPr>
        <w:t>注明“原件已收”及签收人、日期后，中标人在每份</w:t>
      </w:r>
      <w:r>
        <w:rPr>
          <w:rFonts w:hint="eastAsia" w:ascii="宋体" w:hAnsi="宋体" w:eastAsia="宋体" w:cs="宋体"/>
          <w:color w:val="auto"/>
          <w:kern w:val="0"/>
          <w:szCs w:val="24"/>
          <w:highlight w:val="none"/>
          <w:lang w:val="en-US" w:eastAsia="zh-CN"/>
        </w:rPr>
        <w:t>复印</w:t>
      </w:r>
      <w:r>
        <w:rPr>
          <w:rFonts w:hint="eastAsia" w:ascii="宋体" w:hAnsi="宋体" w:eastAsia="宋体" w:cs="宋体"/>
          <w:color w:val="auto"/>
          <w:szCs w:val="21"/>
          <w:highlight w:val="none"/>
          <w:lang w:val="zh-CN"/>
        </w:rPr>
        <w:t>件上</w:t>
      </w:r>
      <w:r>
        <w:rPr>
          <w:rFonts w:hint="eastAsia" w:ascii="宋体" w:hAnsi="宋体" w:eastAsia="宋体" w:cs="宋体"/>
          <w:color w:val="auto"/>
          <w:kern w:val="0"/>
          <w:szCs w:val="24"/>
          <w:highlight w:val="none"/>
        </w:rPr>
        <w:t>加盖</w:t>
      </w:r>
      <w:r>
        <w:rPr>
          <w:rFonts w:hint="eastAsia" w:ascii="宋体" w:hAnsi="宋体" w:eastAsia="宋体" w:cs="宋体"/>
          <w:color w:val="auto"/>
          <w:szCs w:val="21"/>
          <w:highlight w:val="none"/>
          <w:lang w:val="zh-CN"/>
        </w:rPr>
        <w:t>中标</w:t>
      </w:r>
      <w:r>
        <w:rPr>
          <w:rFonts w:hint="eastAsia" w:ascii="宋体" w:hAnsi="宋体" w:eastAsia="宋体" w:cs="宋体"/>
          <w:color w:val="auto"/>
          <w:kern w:val="0"/>
          <w:szCs w:val="24"/>
          <w:highlight w:val="none"/>
        </w:rPr>
        <w:t>人的公章，送招标代理机构]</w:t>
      </w:r>
      <w:r>
        <w:rPr>
          <w:rFonts w:hint="eastAsia" w:ascii="宋体" w:hAnsi="宋体" w:eastAsia="宋体" w:cs="宋体"/>
          <w:color w:val="auto"/>
          <w:kern w:val="0"/>
          <w:szCs w:val="21"/>
          <w:highlight w:val="none"/>
        </w:rPr>
        <w:t>。</w:t>
      </w:r>
    </w:p>
    <w:p w14:paraId="29C544AC">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4"/>
          <w:highlight w:val="none"/>
        </w:rPr>
      </w:pPr>
      <w:r>
        <w:rPr>
          <w:rFonts w:hint="eastAsia" w:ascii="宋体" w:hAnsi="宋体" w:eastAsia="宋体" w:cs="Times New Roman"/>
          <w:color w:val="auto"/>
          <w:kern w:val="0"/>
          <w:szCs w:val="24"/>
          <w:highlight w:val="none"/>
        </w:rPr>
        <w:t>3</w:t>
      </w:r>
      <w:r>
        <w:rPr>
          <w:rFonts w:hint="eastAsia" w:ascii="宋体" w:hAnsi="宋体" w:eastAsia="宋体" w:cs="Times New Roman"/>
          <w:color w:val="auto"/>
          <w:kern w:val="0"/>
          <w:szCs w:val="24"/>
          <w:highlight w:val="none"/>
          <w:lang w:val="en-US" w:eastAsia="zh-CN"/>
        </w:rPr>
        <w:t>7</w:t>
      </w:r>
      <w:r>
        <w:rPr>
          <w:rFonts w:hint="eastAsia" w:ascii="宋体" w:hAnsi="宋体" w:eastAsia="宋体" w:cs="Times New Roman"/>
          <w:color w:val="auto"/>
          <w:kern w:val="0"/>
          <w:szCs w:val="24"/>
          <w:highlight w:val="none"/>
        </w:rPr>
        <w:t>.7</w:t>
      </w:r>
      <w:r>
        <w:rPr>
          <w:rFonts w:ascii="宋体" w:hAnsi="宋体" w:eastAsia="宋体" w:cs="Times New Roman"/>
          <w:color w:val="auto"/>
          <w:kern w:val="0"/>
          <w:szCs w:val="24"/>
          <w:highlight w:val="none"/>
        </w:rPr>
        <w:t xml:space="preserve"> </w:t>
      </w:r>
      <w:r>
        <w:rPr>
          <w:rFonts w:hint="eastAsia" w:ascii="宋体" w:hAnsi="宋体" w:eastAsia="宋体" w:cs="Times New Roman"/>
          <w:color w:val="auto"/>
          <w:kern w:val="0"/>
          <w:szCs w:val="21"/>
          <w:highlight w:val="none"/>
        </w:rPr>
        <w:t>中标人</w:t>
      </w:r>
      <w:r>
        <w:rPr>
          <w:rFonts w:hint="eastAsia" w:ascii="宋体" w:hAnsi="宋体" w:eastAsia="宋体" w:cs="Times New Roman"/>
          <w:color w:val="auto"/>
          <w:kern w:val="0"/>
          <w:szCs w:val="24"/>
          <w:highlight w:val="none"/>
          <w:lang w:val="en-US" w:eastAsia="zh-CN"/>
        </w:rPr>
        <w:t>以履约保证金（银行转账形式）提供入库履约担保的，</w:t>
      </w:r>
      <w:r>
        <w:rPr>
          <w:rFonts w:hint="eastAsia" w:ascii="宋体" w:hAnsi="宋体" w:eastAsia="宋体" w:cs="Times New Roman"/>
          <w:color w:val="auto"/>
          <w:kern w:val="0"/>
          <w:szCs w:val="24"/>
          <w:highlight w:val="none"/>
        </w:rPr>
        <w:t>在本</w:t>
      </w:r>
      <w:r>
        <w:rPr>
          <w:rFonts w:hint="eastAsia" w:ascii="宋体" w:hAnsi="宋体" w:eastAsia="宋体" w:cs="Times New Roman"/>
          <w:color w:val="auto"/>
          <w:kern w:val="0"/>
          <w:szCs w:val="24"/>
          <w:highlight w:val="none"/>
          <w:lang w:val="en-US" w:eastAsia="zh-CN"/>
        </w:rPr>
        <w:t>项目</w:t>
      </w:r>
      <w:r>
        <w:rPr>
          <w:rFonts w:hint="eastAsia" w:ascii="宋体" w:hAnsi="宋体" w:eastAsia="宋体" w:cs="Times New Roman"/>
          <w:color w:val="auto"/>
          <w:kern w:val="0"/>
          <w:szCs w:val="24"/>
          <w:highlight w:val="none"/>
        </w:rPr>
        <w:t>合同服务期满且</w:t>
      </w:r>
      <w:r>
        <w:rPr>
          <w:rFonts w:hint="eastAsia" w:ascii="宋体" w:hAnsi="宋体" w:eastAsia="宋体" w:cs="Times New Roman"/>
          <w:color w:val="auto"/>
          <w:kern w:val="0"/>
          <w:szCs w:val="24"/>
          <w:highlight w:val="none"/>
          <w:lang w:val="en-US" w:eastAsia="zh-CN"/>
        </w:rPr>
        <w:t>中标人</w:t>
      </w:r>
      <w:r>
        <w:rPr>
          <w:rFonts w:hint="eastAsia" w:ascii="宋体" w:hAnsi="宋体" w:eastAsia="宋体" w:cs="Times New Roman"/>
          <w:color w:val="auto"/>
          <w:kern w:val="0"/>
          <w:szCs w:val="24"/>
          <w:highlight w:val="none"/>
        </w:rPr>
        <w:t>依法完成本项目的所有合同（包括补充协议及单项合同）义务（或其它非强制退库的情况）后，</w:t>
      </w:r>
      <w:r>
        <w:rPr>
          <w:rFonts w:hint="eastAsia" w:ascii="宋体" w:hAnsi="宋体" w:eastAsia="宋体" w:cs="Times New Roman"/>
          <w:color w:val="auto"/>
          <w:kern w:val="0"/>
          <w:szCs w:val="24"/>
          <w:highlight w:val="none"/>
          <w:lang w:val="en-US" w:eastAsia="zh-CN"/>
        </w:rPr>
        <w:t>招标人</w:t>
      </w:r>
      <w:r>
        <w:rPr>
          <w:rFonts w:hint="eastAsia" w:ascii="宋体" w:hAnsi="宋体" w:eastAsia="宋体" w:cs="Times New Roman"/>
          <w:color w:val="auto"/>
          <w:kern w:val="0"/>
          <w:szCs w:val="24"/>
          <w:highlight w:val="none"/>
        </w:rPr>
        <w:t>向中标人支付全部款项二十八（28）日后，</w:t>
      </w:r>
      <w:r>
        <w:rPr>
          <w:rFonts w:hint="eastAsia" w:ascii="宋体" w:hAnsi="宋体" w:eastAsia="宋体" w:cs="Times New Roman"/>
          <w:color w:val="auto"/>
          <w:kern w:val="0"/>
          <w:szCs w:val="24"/>
          <w:highlight w:val="none"/>
          <w:lang w:val="en-US" w:eastAsia="zh-CN"/>
        </w:rPr>
        <w:t>经招标人确认，</w:t>
      </w:r>
      <w:r>
        <w:rPr>
          <w:rFonts w:hint="eastAsia" w:ascii="宋体" w:hAnsi="宋体" w:eastAsia="宋体" w:cs="Times New Roman"/>
          <w:color w:val="auto"/>
          <w:kern w:val="0"/>
          <w:szCs w:val="21"/>
          <w:highlight w:val="none"/>
        </w:rPr>
        <w:t>中标人</w:t>
      </w:r>
      <w:r>
        <w:rPr>
          <w:rFonts w:hint="eastAsia" w:ascii="宋体" w:hAnsi="宋体" w:eastAsia="宋体" w:cs="Times New Roman"/>
          <w:color w:val="auto"/>
          <w:kern w:val="0"/>
          <w:szCs w:val="24"/>
          <w:highlight w:val="none"/>
        </w:rPr>
        <w:t>可向</w:t>
      </w:r>
      <w:r>
        <w:rPr>
          <w:rFonts w:hint="eastAsia" w:ascii="宋体" w:hAnsi="宋体" w:eastAsia="宋体" w:cs="Times New Roman"/>
          <w:color w:val="auto"/>
          <w:kern w:val="0"/>
          <w:szCs w:val="24"/>
          <w:highlight w:val="none"/>
          <w:lang w:eastAsia="zh-CN"/>
        </w:rPr>
        <w:t>招标</w:t>
      </w:r>
      <w:r>
        <w:rPr>
          <w:rFonts w:hint="eastAsia" w:ascii="宋体" w:hAnsi="宋体" w:eastAsia="宋体" w:cs="Times New Roman"/>
          <w:color w:val="auto"/>
          <w:kern w:val="0"/>
          <w:szCs w:val="24"/>
          <w:highlight w:val="none"/>
        </w:rPr>
        <w:t>人提交退回履约担保的</w:t>
      </w:r>
      <w:r>
        <w:rPr>
          <w:rFonts w:hint="eastAsia" w:ascii="宋体" w:hAnsi="宋体" w:eastAsia="宋体" w:cs="Times New Roman"/>
          <w:color w:val="auto"/>
          <w:kern w:val="0"/>
          <w:szCs w:val="24"/>
          <w:highlight w:val="none"/>
          <w:lang w:val="en-US" w:eastAsia="zh-CN"/>
        </w:rPr>
        <w:t>申请</w:t>
      </w:r>
      <w:r>
        <w:rPr>
          <w:rFonts w:hint="eastAsia" w:ascii="宋体" w:hAnsi="宋体" w:eastAsia="宋体" w:cs="Times New Roman"/>
          <w:color w:val="auto"/>
          <w:kern w:val="0"/>
          <w:szCs w:val="24"/>
          <w:highlight w:val="none"/>
        </w:rPr>
        <w:t>。</w:t>
      </w:r>
      <w:r>
        <w:rPr>
          <w:rFonts w:hint="eastAsia" w:ascii="宋体" w:hAnsi="宋体" w:eastAsia="宋体" w:cs="Times New Roman"/>
          <w:color w:val="auto"/>
          <w:kern w:val="0"/>
          <w:szCs w:val="24"/>
          <w:highlight w:val="none"/>
          <w:lang w:eastAsia="zh-CN"/>
        </w:rPr>
        <w:t>招标</w:t>
      </w:r>
      <w:r>
        <w:rPr>
          <w:rFonts w:hint="eastAsia" w:ascii="宋体" w:hAnsi="宋体" w:eastAsia="宋体" w:cs="Times New Roman"/>
          <w:color w:val="auto"/>
          <w:kern w:val="0"/>
          <w:szCs w:val="24"/>
          <w:highlight w:val="none"/>
        </w:rPr>
        <w:t>人审核</w:t>
      </w:r>
      <w:r>
        <w:rPr>
          <w:rFonts w:hint="eastAsia" w:ascii="宋体" w:hAnsi="宋体" w:eastAsia="宋体" w:cs="宋体"/>
          <w:bCs/>
          <w:szCs w:val="21"/>
          <w:highlight w:val="none"/>
          <w:lang w:val="en-US" w:eastAsia="zh-CN"/>
        </w:rPr>
        <w:t>并在扣除相应的费用（若有）</w:t>
      </w:r>
      <w:r>
        <w:rPr>
          <w:rFonts w:hint="eastAsia" w:ascii="宋体" w:hAnsi="宋体" w:eastAsia="宋体" w:cs="Times New Roman"/>
          <w:color w:val="auto"/>
          <w:kern w:val="0"/>
          <w:szCs w:val="24"/>
          <w:highlight w:val="none"/>
        </w:rPr>
        <w:t>后，办理</w:t>
      </w:r>
      <w:r>
        <w:rPr>
          <w:rFonts w:hint="eastAsia" w:ascii="宋体" w:hAnsi="宋体" w:eastAsia="宋体" w:cs="宋体"/>
          <w:bCs/>
          <w:szCs w:val="21"/>
          <w:highlight w:val="none"/>
        </w:rPr>
        <w:t>履约担保</w:t>
      </w:r>
      <w:r>
        <w:rPr>
          <w:rFonts w:hint="eastAsia" w:ascii="宋体" w:hAnsi="宋体" w:eastAsia="宋体" w:cs="Times New Roman"/>
          <w:color w:val="auto"/>
          <w:kern w:val="0"/>
          <w:szCs w:val="24"/>
          <w:highlight w:val="none"/>
        </w:rPr>
        <w:t>退还手续，退回时一律以银行转账的形式无息退回到</w:t>
      </w:r>
      <w:r>
        <w:rPr>
          <w:rFonts w:hint="eastAsia" w:ascii="宋体" w:hAnsi="宋体" w:eastAsia="宋体" w:cs="Times New Roman"/>
          <w:color w:val="auto"/>
          <w:kern w:val="0"/>
          <w:szCs w:val="21"/>
          <w:highlight w:val="none"/>
        </w:rPr>
        <w:t>中标人</w:t>
      </w:r>
      <w:r>
        <w:rPr>
          <w:rFonts w:hint="eastAsia" w:ascii="宋体" w:hAnsi="宋体" w:eastAsia="宋体" w:cs="Times New Roman"/>
          <w:color w:val="auto"/>
          <w:kern w:val="0"/>
          <w:szCs w:val="24"/>
          <w:highlight w:val="none"/>
        </w:rPr>
        <w:t>的账</w:t>
      </w:r>
      <w:r>
        <w:rPr>
          <w:rFonts w:hint="default" w:ascii="宋体" w:hAnsi="宋体" w:eastAsia="宋体" w:cs="Times New Roman"/>
          <w:color w:val="auto"/>
          <w:kern w:val="0"/>
          <w:szCs w:val="24"/>
          <w:highlight w:val="none"/>
          <w:lang w:val="en-US"/>
        </w:rPr>
        <w:t>号</w:t>
      </w:r>
      <w:r>
        <w:rPr>
          <w:rFonts w:hint="eastAsia" w:ascii="宋体" w:hAnsi="宋体" w:eastAsia="宋体" w:cs="Times New Roman"/>
          <w:color w:val="auto"/>
          <w:kern w:val="0"/>
          <w:szCs w:val="24"/>
          <w:highlight w:val="none"/>
        </w:rPr>
        <w:t>。</w:t>
      </w:r>
    </w:p>
    <w:p w14:paraId="6BA0E922">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rPr>
      </w:pPr>
    </w:p>
    <w:p w14:paraId="041372D3">
      <w:pPr>
        <w:tabs>
          <w:tab w:val="left" w:pos="360"/>
        </w:tabs>
        <w:autoSpaceDE w:val="0"/>
        <w:autoSpaceDN w:val="0"/>
        <w:adjustRightInd w:val="0"/>
        <w:spacing w:line="360" w:lineRule="auto"/>
        <w:ind w:left="357" w:leftChars="-100" w:hanging="567"/>
        <w:jc w:val="left"/>
        <w:outlineLvl w:val="2"/>
        <w:rPr>
          <w:rFonts w:hint="eastAsia" w:ascii="宋体" w:hAnsi="宋体" w:eastAsia="宋体" w:cs="宋体"/>
          <w:color w:val="auto"/>
          <w:szCs w:val="21"/>
          <w:highlight w:val="none"/>
          <w:lang w:val="zh-CN"/>
        </w:rPr>
      </w:pPr>
      <w:bookmarkStart w:id="522" w:name="_Toc11139"/>
      <w:bookmarkStart w:id="523" w:name="_Toc12559"/>
      <w:bookmarkStart w:id="524" w:name="_Toc486167702"/>
      <w:bookmarkStart w:id="525" w:name="_Toc27162"/>
      <w:bookmarkStart w:id="526" w:name="_Toc29161"/>
      <w:bookmarkStart w:id="527" w:name="_Toc2319"/>
      <w:bookmarkStart w:id="528" w:name="_Toc195714259"/>
      <w:bookmarkStart w:id="529" w:name="_Toc30774"/>
      <w:bookmarkStart w:id="530" w:name="_Toc142508353"/>
      <w:bookmarkStart w:id="531" w:name="_Toc10548"/>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lang w:val="zh-CN"/>
        </w:rPr>
        <w:t xml:space="preserve"> 在合同履行中变更采购范围的权利</w:t>
      </w:r>
      <w:bookmarkEnd w:id="520"/>
      <w:bookmarkEnd w:id="521"/>
      <w:bookmarkEnd w:id="522"/>
      <w:bookmarkEnd w:id="523"/>
      <w:bookmarkEnd w:id="524"/>
      <w:bookmarkEnd w:id="525"/>
      <w:bookmarkEnd w:id="526"/>
      <w:bookmarkEnd w:id="527"/>
      <w:bookmarkEnd w:id="528"/>
      <w:bookmarkEnd w:id="529"/>
      <w:bookmarkEnd w:id="530"/>
      <w:bookmarkEnd w:id="531"/>
    </w:p>
    <w:p w14:paraId="73A1423D">
      <w:p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Times New Roman"/>
          <w:color w:val="auto"/>
          <w:kern w:val="0"/>
          <w:szCs w:val="24"/>
          <w:highlight w:val="none"/>
        </w:rPr>
      </w:pPr>
      <w:r>
        <w:rPr>
          <w:rFonts w:hint="eastAsia" w:ascii="宋体" w:hAnsi="宋体" w:eastAsia="宋体" w:cs="Times New Roman"/>
          <w:color w:val="auto"/>
          <w:kern w:val="0"/>
          <w:szCs w:val="24"/>
          <w:highlight w:val="none"/>
        </w:rPr>
        <w:t>3</w:t>
      </w:r>
      <w:r>
        <w:rPr>
          <w:rFonts w:hint="eastAsia" w:ascii="宋体" w:hAnsi="宋体" w:eastAsia="宋体" w:cs="Times New Roman"/>
          <w:color w:val="auto"/>
          <w:kern w:val="0"/>
          <w:szCs w:val="24"/>
          <w:highlight w:val="none"/>
          <w:lang w:val="en-US" w:eastAsia="zh-CN"/>
        </w:rPr>
        <w:t>8</w:t>
      </w:r>
      <w:r>
        <w:rPr>
          <w:rFonts w:hint="eastAsia" w:ascii="宋体" w:hAnsi="宋体" w:eastAsia="宋体" w:cs="Times New Roman"/>
          <w:color w:val="auto"/>
          <w:kern w:val="0"/>
          <w:szCs w:val="24"/>
          <w:highlight w:val="none"/>
        </w:rPr>
        <w:t>.1 合同履行中，</w:t>
      </w:r>
      <w:r>
        <w:rPr>
          <w:rFonts w:hint="eastAsia" w:ascii="宋体" w:hAnsi="宋体" w:eastAsia="宋体" w:cs="Times New Roman"/>
          <w:color w:val="auto"/>
          <w:kern w:val="0"/>
          <w:szCs w:val="24"/>
          <w:highlight w:val="none"/>
          <w:lang w:eastAsia="zh-CN"/>
        </w:rPr>
        <w:t>招标人</w:t>
      </w:r>
      <w:r>
        <w:rPr>
          <w:rFonts w:hint="eastAsia" w:ascii="宋体" w:hAnsi="宋体" w:eastAsia="宋体" w:cs="Times New Roman"/>
          <w:color w:val="auto"/>
          <w:kern w:val="0"/>
          <w:szCs w:val="24"/>
          <w:highlight w:val="none"/>
        </w:rPr>
        <w:t>在合同约定的范围内，</w:t>
      </w:r>
      <w:r>
        <w:rPr>
          <w:rFonts w:hint="eastAsia" w:ascii="宋体" w:hAnsi="宋体" w:eastAsia="宋体" w:cs="Times New Roman"/>
          <w:color w:val="auto"/>
          <w:kern w:val="0"/>
          <w:szCs w:val="24"/>
          <w:highlight w:val="none"/>
          <w:lang w:eastAsia="zh-CN"/>
        </w:rPr>
        <w:t>招标人</w:t>
      </w:r>
      <w:r>
        <w:rPr>
          <w:rFonts w:hint="eastAsia" w:ascii="宋体" w:hAnsi="宋体" w:eastAsia="宋体" w:cs="Times New Roman"/>
          <w:color w:val="auto"/>
          <w:kern w:val="0"/>
          <w:szCs w:val="24"/>
          <w:highlight w:val="none"/>
        </w:rPr>
        <w:t>有权根据项目实际情况及有关法律法规、政策的规定对采购范围进行变更调整，变更采购范围后，投标人应遵照执行。</w:t>
      </w:r>
    </w:p>
    <w:p w14:paraId="49D339C2">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lang w:val="zh-CN"/>
        </w:rPr>
      </w:pPr>
      <w:bookmarkStart w:id="532" w:name="_Toc450662888"/>
    </w:p>
    <w:p w14:paraId="662F822A">
      <w:pPr>
        <w:tabs>
          <w:tab w:val="left" w:pos="465"/>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533" w:name="_Toc31069"/>
      <w:bookmarkStart w:id="534" w:name="_Toc22700"/>
      <w:bookmarkStart w:id="535" w:name="_Toc486167703"/>
      <w:bookmarkStart w:id="536" w:name="_Toc23619"/>
      <w:bookmarkStart w:id="537" w:name="_Toc1389"/>
      <w:bookmarkStart w:id="538" w:name="_Toc2401"/>
      <w:bookmarkStart w:id="539" w:name="_Toc23218"/>
      <w:bookmarkStart w:id="540" w:name="_Toc3359"/>
      <w:bookmarkStart w:id="541" w:name="_Toc195714260"/>
      <w:bookmarkStart w:id="542" w:name="_Toc142508354"/>
      <w:bookmarkStart w:id="543" w:name="_Toc28921_WPSOffice_Level3"/>
      <w:r>
        <w:rPr>
          <w:rFonts w:hint="eastAsia" w:ascii="宋体" w:hAnsi="宋体" w:eastAsia="宋体" w:cs="宋体"/>
          <w:color w:val="auto"/>
          <w:szCs w:val="21"/>
          <w:highlight w:val="none"/>
          <w:lang w:val="en-US" w:eastAsia="zh-CN"/>
        </w:rPr>
        <w:t>39</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中标服务费</w:t>
      </w:r>
      <w:bookmarkEnd w:id="532"/>
      <w:bookmarkEnd w:id="533"/>
      <w:bookmarkEnd w:id="534"/>
      <w:bookmarkEnd w:id="535"/>
      <w:bookmarkEnd w:id="536"/>
      <w:bookmarkEnd w:id="537"/>
      <w:bookmarkEnd w:id="538"/>
      <w:bookmarkEnd w:id="539"/>
      <w:bookmarkEnd w:id="540"/>
      <w:bookmarkEnd w:id="541"/>
      <w:bookmarkEnd w:id="542"/>
      <w:bookmarkEnd w:id="543"/>
    </w:p>
    <w:p w14:paraId="023D04FC">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39</w:t>
      </w:r>
      <w:r>
        <w:rPr>
          <w:rFonts w:hint="eastAsia" w:ascii="宋体" w:hAnsi="宋体" w:eastAsia="宋体" w:cs="宋体"/>
          <w:color w:val="auto"/>
          <w:szCs w:val="21"/>
          <w:highlight w:val="none"/>
        </w:rPr>
        <w:t>.1 中标人应向招标代理机构一次性交纳中标服务费</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本项目</w:t>
      </w:r>
      <w:r>
        <w:rPr>
          <w:rFonts w:hint="eastAsia" w:ascii="宋体" w:hAnsi="宋体" w:eastAsia="宋体" w:cs="宋体"/>
          <w:color w:val="auto"/>
          <w:szCs w:val="21"/>
          <w:highlight w:val="none"/>
          <w:lang w:val="en-US" w:eastAsia="zh-CN"/>
        </w:rPr>
        <w:t>招标</w:t>
      </w:r>
      <w:r>
        <w:rPr>
          <w:rFonts w:hint="eastAsia" w:ascii="宋体" w:hAnsi="宋体" w:eastAsia="宋体" w:cs="宋体"/>
          <w:color w:val="auto"/>
          <w:szCs w:val="21"/>
          <w:highlight w:val="none"/>
        </w:rPr>
        <w:t>代理服务费含税30</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Cs w:val="21"/>
          <w:highlight w:val="none"/>
        </w:rPr>
        <w:t>000</w:t>
      </w:r>
      <w:r>
        <w:rPr>
          <w:rFonts w:hint="eastAsia" w:ascii="宋体" w:hAnsi="宋体" w:eastAsia="宋体" w:cs="宋体"/>
          <w:color w:val="auto"/>
          <w:szCs w:val="21"/>
          <w:highlight w:val="none"/>
          <w:lang w:val="en-US" w:eastAsia="zh-CN"/>
        </w:rPr>
        <w:t>.00</w:t>
      </w:r>
      <w:r>
        <w:rPr>
          <w:rFonts w:hint="eastAsia" w:ascii="宋体" w:hAnsi="宋体" w:eastAsia="宋体" w:cs="宋体"/>
          <w:color w:val="auto"/>
          <w:szCs w:val="21"/>
          <w:highlight w:val="none"/>
        </w:rPr>
        <w:t>元</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Cs w:val="21"/>
          <w:highlight w:val="none"/>
        </w:rPr>
        <w:t>由</w:t>
      </w:r>
      <w:r>
        <w:rPr>
          <w:rFonts w:hint="eastAsia" w:ascii="宋体" w:hAnsi="宋体" w:eastAsia="宋体" w:cs="宋体"/>
          <w:color w:val="auto"/>
          <w:szCs w:val="21"/>
          <w:highlight w:val="none"/>
          <w:lang w:val="en-US" w:eastAsia="zh-CN"/>
        </w:rPr>
        <w:t>所有中标人</w:t>
      </w:r>
      <w:r>
        <w:rPr>
          <w:rFonts w:hint="eastAsia" w:ascii="宋体" w:hAnsi="宋体" w:eastAsia="宋体" w:cs="宋体"/>
          <w:color w:val="auto"/>
          <w:szCs w:val="21"/>
          <w:highlight w:val="none"/>
        </w:rPr>
        <w:t>进行平均分摊。</w:t>
      </w:r>
    </w:p>
    <w:p w14:paraId="5756E9AF">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39</w:t>
      </w:r>
      <w:r>
        <w:rPr>
          <w:rFonts w:hint="eastAsia" w:ascii="宋体" w:hAnsi="宋体" w:eastAsia="宋体" w:cs="宋体"/>
          <w:color w:val="auto"/>
          <w:szCs w:val="21"/>
          <w:highlight w:val="none"/>
        </w:rPr>
        <w:t>.2 中标人收到入库结果通知后，须在15日内向</w:t>
      </w:r>
      <w:r>
        <w:rPr>
          <w:rFonts w:hint="eastAsia" w:ascii="宋体" w:hAnsi="宋体" w:eastAsia="宋体" w:cs="宋体"/>
          <w:color w:val="auto"/>
          <w:szCs w:val="21"/>
          <w:highlight w:val="none"/>
          <w:lang w:eastAsia="zh-CN"/>
        </w:rPr>
        <w:t>招标代理机构</w:t>
      </w:r>
      <w:r>
        <w:rPr>
          <w:rFonts w:hint="eastAsia" w:ascii="宋体" w:hAnsi="宋体" w:eastAsia="宋体" w:cs="宋体"/>
          <w:color w:val="auto"/>
          <w:szCs w:val="21"/>
          <w:highlight w:val="none"/>
        </w:rPr>
        <w:t>交纳</w:t>
      </w:r>
      <w:r>
        <w:rPr>
          <w:rFonts w:hint="eastAsia" w:ascii="宋体" w:hAnsi="宋体" w:eastAsia="宋体" w:cs="宋体"/>
          <w:color w:val="auto"/>
          <w:szCs w:val="21"/>
          <w:highlight w:val="none"/>
          <w:lang w:val="en-US" w:eastAsia="zh-CN"/>
        </w:rPr>
        <w:t>中标</w:t>
      </w:r>
      <w:r>
        <w:rPr>
          <w:rFonts w:hint="eastAsia" w:ascii="宋体" w:hAnsi="宋体" w:eastAsia="宋体" w:cs="宋体"/>
          <w:color w:val="auto"/>
          <w:szCs w:val="21"/>
          <w:highlight w:val="none"/>
        </w:rPr>
        <w:t>服务费用。</w:t>
      </w:r>
    </w:p>
    <w:p w14:paraId="05F086F1">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39</w:t>
      </w:r>
      <w:r>
        <w:rPr>
          <w:rFonts w:hint="eastAsia" w:ascii="宋体" w:hAnsi="宋体" w:eastAsia="宋体" w:cs="宋体"/>
          <w:color w:val="auto"/>
          <w:szCs w:val="21"/>
          <w:highlight w:val="none"/>
        </w:rPr>
        <w:t xml:space="preserve">.3 </w:t>
      </w:r>
      <w:r>
        <w:rPr>
          <w:rFonts w:hint="eastAsia" w:ascii="宋体" w:hAnsi="宋体" w:eastAsia="宋体" w:cs="宋体"/>
          <w:color w:val="auto"/>
          <w:szCs w:val="21"/>
          <w:highlight w:val="none"/>
          <w:lang w:val="en-US" w:eastAsia="zh-CN"/>
        </w:rPr>
        <w:t>中标</w:t>
      </w:r>
      <w:r>
        <w:rPr>
          <w:rFonts w:hint="eastAsia" w:ascii="宋体" w:hAnsi="宋体" w:eastAsia="宋体" w:cs="宋体"/>
          <w:color w:val="auto"/>
          <w:szCs w:val="21"/>
          <w:highlight w:val="none"/>
        </w:rPr>
        <w:t>服务费只接受以银行转账、电汇方式交纳。</w:t>
      </w:r>
    </w:p>
    <w:p w14:paraId="207D4E6B">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en-US" w:eastAsia="zh-CN"/>
        </w:rPr>
        <w:t>中标</w:t>
      </w:r>
      <w:r>
        <w:rPr>
          <w:rFonts w:hint="eastAsia" w:ascii="宋体" w:hAnsi="宋体" w:eastAsia="宋体" w:cs="宋体"/>
          <w:color w:val="auto"/>
          <w:szCs w:val="21"/>
          <w:highlight w:val="none"/>
        </w:rPr>
        <w:t>服务费汇入账号（特别提醒，本账户非</w:t>
      </w:r>
      <w:r>
        <w:rPr>
          <w:rFonts w:hint="eastAsia" w:ascii="宋体" w:hAnsi="宋体" w:eastAsia="宋体" w:cs="宋体"/>
          <w:color w:val="auto"/>
          <w:szCs w:val="21"/>
          <w:highlight w:val="none"/>
          <w:lang w:eastAsia="zh-CN"/>
        </w:rPr>
        <w:t>入库履约保证金</w:t>
      </w:r>
      <w:r>
        <w:rPr>
          <w:rFonts w:hint="eastAsia" w:ascii="宋体" w:hAnsi="宋体" w:eastAsia="宋体" w:cs="宋体"/>
          <w:color w:val="auto"/>
          <w:szCs w:val="21"/>
          <w:highlight w:val="none"/>
        </w:rPr>
        <w:t>汇入账户）：</w:t>
      </w:r>
    </w:p>
    <w:p w14:paraId="5356F31A">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开户名称：广州宏达工程顾问集团有限公司东莞分公司</w:t>
      </w:r>
    </w:p>
    <w:p w14:paraId="0ABDEEC5">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银行</w:t>
      </w:r>
      <w:r>
        <w:rPr>
          <w:rFonts w:hint="eastAsia" w:ascii="宋体" w:hAnsi="宋体" w:eastAsia="宋体" w:cs="宋体"/>
          <w:color w:val="auto"/>
          <w:szCs w:val="21"/>
          <w:highlight w:val="none"/>
          <w:lang w:val="en-US" w:eastAsia="zh-CN"/>
        </w:rPr>
        <w:t>账</w:t>
      </w:r>
      <w:r>
        <w:rPr>
          <w:rFonts w:hint="eastAsia" w:ascii="宋体" w:hAnsi="宋体" w:eastAsia="宋体" w:cs="宋体"/>
          <w:color w:val="auto"/>
          <w:szCs w:val="21"/>
          <w:highlight w:val="none"/>
        </w:rPr>
        <w:t>号：769911939210000</w:t>
      </w:r>
    </w:p>
    <w:p w14:paraId="7739291D">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开户银行：招商银行东莞分行营业部</w:t>
      </w:r>
    </w:p>
    <w:p w14:paraId="3A0BD403">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39.4 中标人如未按第39.1款、第39.2款规定办理，将不予退还其投标保证金。</w:t>
      </w:r>
    </w:p>
    <w:p w14:paraId="1FFCA933">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lang w:val="zh-CN"/>
        </w:rPr>
      </w:pPr>
      <w:bookmarkStart w:id="544" w:name="_Toc450662889"/>
    </w:p>
    <w:p w14:paraId="6945F34F">
      <w:pPr>
        <w:tabs>
          <w:tab w:val="left" w:pos="360"/>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545" w:name="_Toc27988"/>
      <w:bookmarkStart w:id="546" w:name="_Toc142508355"/>
      <w:bookmarkStart w:id="547" w:name="_Toc22252"/>
      <w:bookmarkStart w:id="548" w:name="_Toc21985"/>
      <w:bookmarkStart w:id="549" w:name="_Toc6764_WPSOffice_Level3"/>
      <w:bookmarkStart w:id="550" w:name="_Toc2595"/>
      <w:bookmarkStart w:id="551" w:name="_Toc1528"/>
      <w:bookmarkStart w:id="552" w:name="_Toc195714261"/>
      <w:bookmarkStart w:id="553" w:name="_Toc6796"/>
      <w:bookmarkStart w:id="554" w:name="_Toc486167704"/>
      <w:bookmarkStart w:id="555" w:name="_Toc12371"/>
      <w:r>
        <w:rPr>
          <w:rFonts w:hint="eastAsia" w:ascii="宋体" w:hAnsi="宋体" w:eastAsia="宋体" w:cs="宋体"/>
          <w:color w:val="auto"/>
          <w:szCs w:val="21"/>
          <w:highlight w:val="none"/>
          <w:lang w:val="en-US" w:eastAsia="zh-CN"/>
        </w:rPr>
        <w:t>40</w:t>
      </w:r>
      <w:r>
        <w:rPr>
          <w:rFonts w:hint="eastAsia" w:ascii="宋体" w:hAnsi="宋体" w:eastAsia="宋体" w:cs="宋体"/>
          <w:color w:val="auto"/>
          <w:szCs w:val="21"/>
          <w:highlight w:val="none"/>
          <w:lang w:val="zh-CN"/>
        </w:rPr>
        <w:t xml:space="preserve"> 发票</w:t>
      </w:r>
      <w:bookmarkEnd w:id="544"/>
      <w:bookmarkEnd w:id="545"/>
      <w:bookmarkEnd w:id="546"/>
      <w:bookmarkEnd w:id="547"/>
      <w:bookmarkEnd w:id="548"/>
      <w:bookmarkEnd w:id="549"/>
      <w:bookmarkEnd w:id="550"/>
      <w:bookmarkEnd w:id="551"/>
      <w:bookmarkEnd w:id="552"/>
      <w:bookmarkEnd w:id="553"/>
      <w:bookmarkEnd w:id="554"/>
      <w:bookmarkEnd w:id="555"/>
    </w:p>
    <w:p w14:paraId="3374525D">
      <w:pPr>
        <w:autoSpaceDE w:val="0"/>
        <w:autoSpaceDN w:val="0"/>
        <w:adjustRightInd w:val="0"/>
        <w:snapToGrid w:val="0"/>
        <w:spacing w:line="360" w:lineRule="auto"/>
        <w:ind w:left="315" w:leftChars="-100" w:hanging="525" w:hangingChars="250"/>
        <w:jc w:val="left"/>
        <w:rPr>
          <w:rFonts w:ascii="宋体" w:hAnsi="宋体" w:eastAsia="宋体" w:cs="Times New Roman"/>
          <w:color w:val="auto"/>
          <w:szCs w:val="21"/>
          <w:highlight w:val="none"/>
          <w:lang w:val="zh-CN"/>
        </w:rPr>
      </w:pPr>
      <w:r>
        <w:rPr>
          <w:rFonts w:hint="eastAsia" w:ascii="宋体" w:hAnsi="宋体" w:eastAsia="宋体" w:cs="宋体"/>
          <w:color w:val="auto"/>
          <w:szCs w:val="21"/>
          <w:highlight w:val="none"/>
          <w:lang w:val="en-US" w:eastAsia="zh-CN"/>
        </w:rPr>
        <w:t>40</w:t>
      </w:r>
      <w:r>
        <w:rPr>
          <w:rFonts w:hint="eastAsia" w:ascii="宋体" w:hAnsi="宋体" w:eastAsia="宋体" w:cs="宋体"/>
          <w:color w:val="auto"/>
          <w:szCs w:val="21"/>
          <w:highlight w:val="none"/>
          <w:lang w:val="zh-CN"/>
        </w:rPr>
        <w:t>.1</w:t>
      </w:r>
      <w:bookmarkStart w:id="556" w:name="_Toc31106_WPSOffice_Level3"/>
      <w:bookmarkStart w:id="557" w:name="_Toc486167705"/>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lang w:val="zh-CN"/>
        </w:rPr>
        <w:t>该项目获得中标的中标人在执行合同过程中，</w:t>
      </w:r>
      <w:r>
        <w:rPr>
          <w:rFonts w:hint="eastAsia" w:ascii="宋体" w:hAnsi="宋体" w:eastAsia="宋体" w:cs="Times New Roman"/>
          <w:color w:val="auto"/>
          <w:szCs w:val="21"/>
          <w:highlight w:val="none"/>
          <w:lang w:val="zh-CN"/>
        </w:rPr>
        <w:t>向招标人出具的发票必须是由</w:t>
      </w:r>
      <w:r>
        <w:rPr>
          <w:rFonts w:hint="eastAsia" w:ascii="宋体" w:hAnsi="宋体" w:eastAsia="宋体" w:cs="Times New Roman"/>
          <w:color w:val="auto"/>
          <w:szCs w:val="21"/>
          <w:highlight w:val="none"/>
          <w:lang w:val="en-US" w:eastAsia="zh-CN"/>
        </w:rPr>
        <w:t>中标人</w:t>
      </w:r>
      <w:r>
        <w:rPr>
          <w:rFonts w:hint="eastAsia" w:ascii="宋体" w:hAnsi="宋体" w:eastAsia="宋体" w:cs="Times New Roman"/>
          <w:color w:val="auto"/>
          <w:szCs w:val="21"/>
          <w:highlight w:val="none"/>
          <w:lang w:val="zh-CN"/>
        </w:rPr>
        <w:t>开具，不得以其他单位或个人名义出具，本项目</w:t>
      </w:r>
      <w:r>
        <w:rPr>
          <w:rFonts w:hint="eastAsia" w:ascii="宋体" w:hAnsi="宋体" w:eastAsia="宋体" w:cs="Times New Roman"/>
          <w:color w:val="auto"/>
          <w:szCs w:val="21"/>
          <w:highlight w:val="none"/>
          <w:lang w:val="en-US" w:eastAsia="zh-CN"/>
        </w:rPr>
        <w:t>中标人</w:t>
      </w:r>
      <w:r>
        <w:rPr>
          <w:rFonts w:hint="eastAsia" w:ascii="宋体" w:hAnsi="宋体" w:eastAsia="宋体" w:cs="Times New Roman"/>
          <w:color w:val="auto"/>
          <w:szCs w:val="21"/>
          <w:highlight w:val="none"/>
          <w:lang w:val="zh-CN"/>
        </w:rPr>
        <w:t>向招标人出具的发票类型为增值税专用发票。</w:t>
      </w:r>
    </w:p>
    <w:p w14:paraId="7C45462E">
      <w:pPr>
        <w:autoSpaceDE w:val="0"/>
        <w:autoSpaceDN w:val="0"/>
        <w:adjustRightInd w:val="0"/>
        <w:snapToGrid w:val="0"/>
        <w:spacing w:line="360" w:lineRule="auto"/>
        <w:ind w:left="315" w:leftChars="-100" w:hanging="525" w:hangingChars="250"/>
        <w:jc w:val="left"/>
        <w:rPr>
          <w:rFonts w:ascii="宋体" w:hAnsi="宋体" w:eastAsia="宋体" w:cs="Times New Roman"/>
          <w:color w:val="auto"/>
          <w:szCs w:val="21"/>
          <w:highlight w:val="none"/>
        </w:rPr>
      </w:pPr>
    </w:p>
    <w:p w14:paraId="700A9892">
      <w:pPr>
        <w:tabs>
          <w:tab w:val="left" w:pos="360"/>
        </w:tabs>
        <w:autoSpaceDE w:val="0"/>
        <w:autoSpaceDN w:val="0"/>
        <w:adjustRightInd w:val="0"/>
        <w:spacing w:line="360" w:lineRule="auto"/>
        <w:ind w:left="357" w:leftChars="-100" w:hanging="567"/>
        <w:jc w:val="left"/>
        <w:outlineLvl w:val="2"/>
        <w:rPr>
          <w:rFonts w:ascii="宋体" w:hAnsi="宋体" w:eastAsia="宋体" w:cs="宋体"/>
          <w:b/>
          <w:color w:val="auto"/>
          <w:szCs w:val="21"/>
          <w:highlight w:val="none"/>
        </w:rPr>
      </w:pPr>
      <w:bookmarkStart w:id="558" w:name="_Toc8619"/>
      <w:bookmarkStart w:id="559" w:name="_Toc13401"/>
      <w:bookmarkStart w:id="560" w:name="_Toc195714262"/>
      <w:bookmarkStart w:id="561" w:name="_Toc17413"/>
      <w:bookmarkStart w:id="562" w:name="_Toc1936"/>
      <w:bookmarkStart w:id="563" w:name="_Toc24547"/>
      <w:bookmarkStart w:id="564" w:name="_Toc12802"/>
      <w:bookmarkStart w:id="565" w:name="_Toc25437"/>
      <w:bookmarkStart w:id="566" w:name="_Toc142508356"/>
      <w:r>
        <w:rPr>
          <w:rFonts w:hint="eastAsia" w:ascii="宋体" w:hAnsi="宋体" w:eastAsia="宋体" w:cs="宋体"/>
          <w:b/>
          <w:color w:val="auto"/>
          <w:szCs w:val="21"/>
          <w:highlight w:val="none"/>
        </w:rPr>
        <w:t>4</w:t>
      </w:r>
      <w:r>
        <w:rPr>
          <w:rFonts w:hint="eastAsia" w:ascii="宋体" w:hAnsi="宋体" w:eastAsia="宋体" w:cs="宋体"/>
          <w:b/>
          <w:color w:val="auto"/>
          <w:szCs w:val="21"/>
          <w:highlight w:val="none"/>
          <w:lang w:val="en-US" w:eastAsia="zh-CN"/>
        </w:rPr>
        <w:t>1</w:t>
      </w:r>
      <w:r>
        <w:rPr>
          <w:rFonts w:ascii="宋体" w:hAnsi="宋体" w:eastAsia="宋体" w:cs="宋体"/>
          <w:b/>
          <w:color w:val="auto"/>
          <w:szCs w:val="21"/>
          <w:highlight w:val="none"/>
        </w:rPr>
        <w:t xml:space="preserve"> </w:t>
      </w:r>
      <w:r>
        <w:rPr>
          <w:rFonts w:hint="eastAsia" w:ascii="宋体" w:hAnsi="宋体" w:eastAsia="宋体" w:cs="宋体"/>
          <w:b/>
          <w:color w:val="auto"/>
          <w:szCs w:val="21"/>
          <w:highlight w:val="none"/>
          <w:lang w:eastAsia="zh-CN"/>
        </w:rPr>
        <w:t>招标</w:t>
      </w:r>
      <w:r>
        <w:rPr>
          <w:rFonts w:ascii="宋体" w:hAnsi="宋体" w:eastAsia="宋体" w:cs="宋体"/>
          <w:b/>
          <w:color w:val="auto"/>
          <w:szCs w:val="21"/>
          <w:highlight w:val="none"/>
        </w:rPr>
        <w:t>相关补充约定</w:t>
      </w:r>
      <w:bookmarkEnd w:id="558"/>
      <w:bookmarkEnd w:id="559"/>
      <w:bookmarkEnd w:id="560"/>
      <w:bookmarkEnd w:id="561"/>
      <w:bookmarkEnd w:id="562"/>
      <w:bookmarkEnd w:id="563"/>
      <w:bookmarkEnd w:id="564"/>
      <w:bookmarkEnd w:id="565"/>
      <w:bookmarkEnd w:id="566"/>
    </w:p>
    <w:p w14:paraId="0665D4FA">
      <w:pPr>
        <w:autoSpaceDE w:val="0"/>
        <w:autoSpaceDN w:val="0"/>
        <w:adjustRightInd w:val="0"/>
        <w:snapToGrid w:val="0"/>
        <w:spacing w:line="360" w:lineRule="auto"/>
        <w:ind w:left="317" w:leftChars="-100" w:hanging="527" w:hangingChars="250"/>
        <w:jc w:val="left"/>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4</w:t>
      </w:r>
      <w:r>
        <w:rPr>
          <w:rFonts w:hint="eastAsia" w:ascii="宋体" w:hAnsi="宋体" w:eastAsia="宋体" w:cs="Times New Roman"/>
          <w:b/>
          <w:color w:val="auto"/>
          <w:szCs w:val="21"/>
          <w:highlight w:val="none"/>
          <w:lang w:val="en-US" w:eastAsia="zh-CN"/>
        </w:rPr>
        <w:t>1</w:t>
      </w:r>
      <w:r>
        <w:rPr>
          <w:rFonts w:ascii="宋体" w:hAnsi="宋体" w:eastAsia="宋体" w:cs="Times New Roman"/>
          <w:b/>
          <w:color w:val="auto"/>
          <w:szCs w:val="21"/>
          <w:highlight w:val="none"/>
        </w:rPr>
        <w:t>.1</w:t>
      </w:r>
      <w:r>
        <w:rPr>
          <w:rFonts w:ascii="宋体" w:hAnsi="宋体" w:eastAsia="宋体" w:cs="Times New Roman"/>
          <w:b/>
          <w:color w:val="auto"/>
          <w:szCs w:val="21"/>
          <w:highlight w:val="none"/>
        </w:rPr>
        <w:tab/>
      </w:r>
      <w:r>
        <w:rPr>
          <w:rFonts w:ascii="宋体" w:hAnsi="宋体" w:eastAsia="宋体" w:cs="Times New Roman"/>
          <w:b/>
          <w:color w:val="auto"/>
          <w:szCs w:val="21"/>
          <w:highlight w:val="none"/>
          <w:u w:val="single"/>
        </w:rPr>
        <w:t>本项目</w:t>
      </w:r>
      <w:r>
        <w:rPr>
          <w:rFonts w:hint="eastAsia" w:ascii="宋体" w:hAnsi="宋体" w:eastAsia="宋体" w:cs="Times New Roman"/>
          <w:b/>
          <w:color w:val="auto"/>
          <w:szCs w:val="21"/>
          <w:highlight w:val="none"/>
          <w:u w:val="single"/>
          <w:lang w:eastAsia="zh-CN"/>
        </w:rPr>
        <w:t>投标人</w:t>
      </w:r>
      <w:r>
        <w:rPr>
          <w:rFonts w:ascii="宋体" w:hAnsi="宋体" w:eastAsia="宋体" w:cs="Times New Roman"/>
          <w:b/>
          <w:color w:val="auto"/>
          <w:szCs w:val="21"/>
          <w:highlight w:val="none"/>
          <w:u w:val="single"/>
        </w:rPr>
        <w:t>须知第2条所述行政处罚信息，以</w:t>
      </w:r>
      <w:r>
        <w:rPr>
          <w:rFonts w:hint="eastAsia" w:ascii="宋体" w:hAnsi="宋体" w:eastAsia="宋体" w:cs="宋体"/>
          <w:b/>
          <w:color w:val="auto"/>
          <w:szCs w:val="21"/>
          <w:highlight w:val="none"/>
          <w:u w:val="single"/>
        </w:rPr>
        <w:t>开标</w:t>
      </w:r>
      <w:r>
        <w:rPr>
          <w:rFonts w:hint="eastAsia" w:ascii="宋体" w:hAnsi="宋体" w:eastAsia="宋体" w:cs="Times New Roman"/>
          <w:b/>
          <w:color w:val="auto"/>
          <w:szCs w:val="21"/>
          <w:highlight w:val="none"/>
          <w:u w:val="single"/>
        </w:rPr>
        <w:t>当天</w:t>
      </w:r>
      <w:r>
        <w:rPr>
          <w:rFonts w:ascii="宋体" w:hAnsi="宋体" w:eastAsia="宋体" w:cs="Times New Roman"/>
          <w:b/>
          <w:color w:val="auto"/>
          <w:szCs w:val="21"/>
          <w:highlight w:val="none"/>
          <w:u w:val="single"/>
        </w:rPr>
        <w:t>在“信用中国”网站（www.creditchina.gov.cn）查询结果为准</w:t>
      </w:r>
      <w:r>
        <w:rPr>
          <w:rFonts w:hint="eastAsia" w:ascii="宋体" w:hAnsi="宋体" w:eastAsia="宋体" w:cs="Times New Roman"/>
          <w:b/>
          <w:color w:val="auto"/>
          <w:szCs w:val="21"/>
          <w:highlight w:val="none"/>
          <w:u w:val="single"/>
        </w:rPr>
        <w:t>，或以司法、仲裁机构等出具的生效文件予以认定,时间以认定文件的落款时间为准</w:t>
      </w:r>
      <w:r>
        <w:rPr>
          <w:rFonts w:ascii="宋体" w:hAnsi="宋体" w:eastAsia="宋体" w:cs="Times New Roman"/>
          <w:b/>
          <w:color w:val="auto"/>
          <w:szCs w:val="21"/>
          <w:highlight w:val="none"/>
          <w:u w:val="single"/>
        </w:rPr>
        <w:t>。</w:t>
      </w:r>
      <w:r>
        <w:rPr>
          <w:rFonts w:hint="eastAsia" w:ascii="宋体" w:hAnsi="宋体" w:eastAsia="宋体" w:cs="Times New Roman"/>
          <w:b/>
          <w:color w:val="auto"/>
          <w:szCs w:val="21"/>
          <w:highlight w:val="none"/>
          <w:u w:val="single"/>
          <w:lang w:val="en-US" w:eastAsia="zh-CN"/>
        </w:rPr>
        <w:t>开标</w:t>
      </w:r>
      <w:r>
        <w:rPr>
          <w:rFonts w:ascii="宋体" w:hAnsi="宋体" w:eastAsia="宋体" w:cs="Times New Roman"/>
          <w:b/>
          <w:color w:val="auto"/>
          <w:szCs w:val="21"/>
          <w:highlight w:val="none"/>
          <w:u w:val="single"/>
        </w:rPr>
        <w:t>结束后，有关</w:t>
      </w:r>
      <w:r>
        <w:rPr>
          <w:rFonts w:hint="eastAsia" w:ascii="宋体" w:hAnsi="宋体" w:eastAsia="宋体" w:cs="宋体"/>
          <w:b/>
          <w:color w:val="auto"/>
          <w:szCs w:val="21"/>
          <w:highlight w:val="none"/>
          <w:u w:val="single"/>
        </w:rPr>
        <w:t>投标单位</w:t>
      </w:r>
      <w:r>
        <w:rPr>
          <w:rFonts w:ascii="宋体" w:hAnsi="宋体" w:eastAsia="宋体" w:cs="Times New Roman"/>
          <w:b/>
          <w:color w:val="auto"/>
          <w:szCs w:val="21"/>
          <w:highlight w:val="none"/>
          <w:u w:val="single"/>
        </w:rPr>
        <w:t>的行政处罚信息，以</w:t>
      </w:r>
      <w:r>
        <w:rPr>
          <w:rFonts w:hint="eastAsia" w:ascii="宋体" w:hAnsi="宋体" w:eastAsia="宋体" w:cs="宋体"/>
          <w:b/>
          <w:color w:val="auto"/>
          <w:szCs w:val="21"/>
          <w:highlight w:val="none"/>
          <w:u w:val="single"/>
        </w:rPr>
        <w:t>开标当天</w:t>
      </w:r>
      <w:r>
        <w:rPr>
          <w:rFonts w:hint="eastAsia" w:ascii="宋体" w:hAnsi="宋体" w:eastAsia="宋体" w:cs="Times New Roman"/>
          <w:b/>
          <w:color w:val="auto"/>
          <w:szCs w:val="21"/>
          <w:highlight w:val="none"/>
          <w:u w:val="single"/>
        </w:rPr>
        <w:t>查询</w:t>
      </w:r>
      <w:r>
        <w:rPr>
          <w:rFonts w:ascii="宋体" w:hAnsi="宋体" w:eastAsia="宋体" w:cs="Times New Roman"/>
          <w:b/>
          <w:color w:val="auto"/>
          <w:szCs w:val="21"/>
          <w:highlight w:val="none"/>
          <w:u w:val="single"/>
        </w:rPr>
        <w:t>结果为准；结果公示期间，如</w:t>
      </w:r>
      <w:r>
        <w:rPr>
          <w:rFonts w:hint="eastAsia" w:ascii="宋体" w:hAnsi="宋体" w:eastAsia="宋体" w:cs="Times New Roman"/>
          <w:b/>
          <w:color w:val="auto"/>
          <w:szCs w:val="21"/>
          <w:highlight w:val="none"/>
          <w:u w:val="single"/>
          <w:lang w:eastAsia="zh-CN"/>
        </w:rPr>
        <w:t>投标人</w:t>
      </w:r>
      <w:r>
        <w:rPr>
          <w:rFonts w:ascii="宋体" w:hAnsi="宋体" w:eastAsia="宋体" w:cs="Times New Roman"/>
          <w:b/>
          <w:color w:val="auto"/>
          <w:szCs w:val="21"/>
          <w:highlight w:val="none"/>
          <w:u w:val="single"/>
        </w:rPr>
        <w:t>对有关</w:t>
      </w:r>
      <w:r>
        <w:rPr>
          <w:rFonts w:hint="eastAsia" w:ascii="宋体" w:hAnsi="宋体" w:eastAsia="宋体" w:cs="Times New Roman"/>
          <w:b/>
          <w:color w:val="auto"/>
          <w:szCs w:val="21"/>
          <w:highlight w:val="none"/>
          <w:u w:val="single"/>
          <w:lang w:eastAsia="zh-CN"/>
        </w:rPr>
        <w:t>投标</w:t>
      </w:r>
      <w:r>
        <w:rPr>
          <w:rFonts w:ascii="宋体" w:hAnsi="宋体" w:eastAsia="宋体" w:cs="Times New Roman"/>
          <w:b/>
          <w:color w:val="auto"/>
          <w:szCs w:val="21"/>
          <w:highlight w:val="none"/>
          <w:u w:val="single"/>
        </w:rPr>
        <w:t>单位的行政处罚信息存在异议，但不涉及</w:t>
      </w:r>
      <w:r>
        <w:rPr>
          <w:rFonts w:hint="eastAsia" w:ascii="宋体" w:hAnsi="宋体" w:eastAsia="宋体" w:cs="Times New Roman"/>
          <w:b/>
          <w:color w:val="auto"/>
          <w:szCs w:val="21"/>
          <w:highlight w:val="none"/>
          <w:u w:val="single"/>
          <w:lang w:val="en-US" w:eastAsia="zh-CN"/>
        </w:rPr>
        <w:t>被推荐</w:t>
      </w:r>
      <w:r>
        <w:rPr>
          <w:rFonts w:hint="eastAsia" w:ascii="宋体" w:hAnsi="宋体" w:eastAsia="宋体" w:cs="宋体"/>
          <w:b/>
          <w:color w:val="auto"/>
          <w:szCs w:val="21"/>
          <w:highlight w:val="none"/>
          <w:u w:val="single"/>
        </w:rPr>
        <w:t>中标候选人</w:t>
      </w:r>
      <w:r>
        <w:rPr>
          <w:rFonts w:ascii="宋体" w:hAnsi="宋体" w:eastAsia="宋体" w:cs="Times New Roman"/>
          <w:b/>
          <w:color w:val="auto"/>
          <w:szCs w:val="21"/>
          <w:highlight w:val="none"/>
          <w:u w:val="single"/>
        </w:rPr>
        <w:t>的，视为对</w:t>
      </w:r>
      <w:r>
        <w:rPr>
          <w:rFonts w:hint="eastAsia" w:ascii="宋体" w:hAnsi="宋体" w:eastAsia="宋体" w:cs="宋体"/>
          <w:b/>
          <w:color w:val="auto"/>
          <w:szCs w:val="21"/>
          <w:highlight w:val="none"/>
          <w:u w:val="single"/>
        </w:rPr>
        <w:t>中标结果</w:t>
      </w:r>
      <w:r>
        <w:rPr>
          <w:rFonts w:ascii="宋体" w:hAnsi="宋体" w:eastAsia="宋体" w:cs="Times New Roman"/>
          <w:b/>
          <w:color w:val="auto"/>
          <w:szCs w:val="21"/>
          <w:highlight w:val="none"/>
          <w:u w:val="single"/>
        </w:rPr>
        <w:t>没有造成实质影响</w:t>
      </w:r>
      <w:r>
        <w:rPr>
          <w:rFonts w:ascii="宋体" w:hAnsi="宋体" w:eastAsia="宋体" w:cs="Times New Roman"/>
          <w:b/>
          <w:color w:val="auto"/>
          <w:szCs w:val="21"/>
          <w:highlight w:val="none"/>
        </w:rPr>
        <w:t>。</w:t>
      </w:r>
    </w:p>
    <w:p w14:paraId="72D82E0B">
      <w:pPr>
        <w:autoSpaceDE w:val="0"/>
        <w:autoSpaceDN w:val="0"/>
        <w:adjustRightInd w:val="0"/>
        <w:snapToGrid w:val="0"/>
        <w:spacing w:line="360" w:lineRule="auto"/>
        <w:ind w:left="317" w:leftChars="-100" w:hanging="527" w:hangingChars="250"/>
        <w:jc w:val="left"/>
        <w:rPr>
          <w:rFonts w:hint="default"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41.2 本项目为“东莞市众源环境投资有限公司半干化泥粉外运资源化处置服务供应商库”扩库项目，目前，已有8家（东莞市星源环保科技有限公司、东莞市德广环境科技有限公司、中资环碳基生态（深圳）有限公司、东莞市泽源能源有限公司、东莞市永安环保科技有限公司、东莞市中堂东鸿煤灰混合砖厂、国粤（韶关）电力有限公司、珠海汇科环境科技有限公司）供应商在招标人现有的供应商库中，如上述供应商作为投标人参与本项目投标的，其投标将被视为无效投标。</w:t>
      </w:r>
    </w:p>
    <w:p w14:paraId="37F7EDF5">
      <w:pPr>
        <w:tabs>
          <w:tab w:val="left" w:pos="360"/>
        </w:tabs>
        <w:autoSpaceDE w:val="0"/>
        <w:autoSpaceDN w:val="0"/>
        <w:adjustRightInd w:val="0"/>
        <w:spacing w:line="360" w:lineRule="auto"/>
        <w:ind w:left="357" w:leftChars="-100" w:hanging="567"/>
        <w:jc w:val="left"/>
        <w:outlineLvl w:val="9"/>
        <w:rPr>
          <w:rFonts w:hint="eastAsia" w:ascii="宋体" w:hAnsi="宋体" w:eastAsia="宋体" w:cs="宋体"/>
          <w:color w:val="auto"/>
          <w:szCs w:val="21"/>
          <w:highlight w:val="none"/>
        </w:rPr>
      </w:pPr>
      <w:bookmarkStart w:id="567" w:name="_Toc18453"/>
      <w:bookmarkStart w:id="568" w:name="_Toc142508357"/>
      <w:bookmarkStart w:id="569" w:name="_Toc195714263"/>
      <w:bookmarkStart w:id="570" w:name="_Toc6000"/>
      <w:bookmarkStart w:id="571" w:name="_Toc24066"/>
      <w:bookmarkStart w:id="572" w:name="_Toc49"/>
      <w:bookmarkStart w:id="573" w:name="_Toc27901"/>
      <w:bookmarkStart w:id="574" w:name="_Toc26594"/>
      <w:bookmarkStart w:id="575" w:name="_Toc29758"/>
    </w:p>
    <w:p w14:paraId="6C1AD612">
      <w:pPr>
        <w:tabs>
          <w:tab w:val="left" w:pos="360"/>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rPr>
      </w:pP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 xml:space="preserve"> 本次</w:t>
      </w:r>
      <w:r>
        <w:rPr>
          <w:rFonts w:hint="eastAsia" w:ascii="宋体" w:hAnsi="宋体" w:eastAsia="宋体" w:cs="宋体"/>
          <w:color w:val="auto"/>
          <w:szCs w:val="21"/>
          <w:highlight w:val="none"/>
          <w:lang w:eastAsia="zh-CN"/>
        </w:rPr>
        <w:t>招标</w:t>
      </w:r>
      <w:r>
        <w:rPr>
          <w:rFonts w:hint="eastAsia" w:ascii="宋体" w:hAnsi="宋体" w:eastAsia="宋体" w:cs="宋体"/>
          <w:color w:val="auto"/>
          <w:szCs w:val="21"/>
          <w:highlight w:val="none"/>
        </w:rPr>
        <w:t>活动的最终解释权归</w:t>
      </w:r>
      <w:r>
        <w:rPr>
          <w:rFonts w:hint="eastAsia" w:ascii="宋体" w:hAnsi="宋体" w:eastAsia="宋体" w:cs="宋体"/>
          <w:color w:val="auto"/>
          <w:szCs w:val="21"/>
          <w:highlight w:val="none"/>
          <w:lang w:eastAsia="zh-CN"/>
        </w:rPr>
        <w:t>招标代理机构</w:t>
      </w:r>
      <w:r>
        <w:rPr>
          <w:rFonts w:hint="eastAsia" w:ascii="宋体" w:hAnsi="宋体" w:eastAsia="宋体" w:cs="宋体"/>
          <w:color w:val="auto"/>
          <w:szCs w:val="21"/>
          <w:highlight w:val="none"/>
        </w:rPr>
        <w:t>及</w:t>
      </w:r>
      <w:r>
        <w:rPr>
          <w:rFonts w:hint="eastAsia" w:ascii="宋体" w:hAnsi="宋体" w:eastAsia="宋体" w:cs="宋体"/>
          <w:color w:val="auto"/>
          <w:szCs w:val="21"/>
          <w:highlight w:val="none"/>
          <w:lang w:eastAsia="zh-CN"/>
        </w:rPr>
        <w:t>招标人</w:t>
      </w:r>
      <w:r>
        <w:rPr>
          <w:rFonts w:hint="eastAsia" w:ascii="宋体" w:hAnsi="宋体" w:eastAsia="宋体" w:cs="宋体"/>
          <w:color w:val="auto"/>
          <w:szCs w:val="21"/>
          <w:highlight w:val="none"/>
        </w:rPr>
        <w:t>所有。</w:t>
      </w:r>
      <w:bookmarkEnd w:id="556"/>
      <w:bookmarkEnd w:id="557"/>
      <w:bookmarkEnd w:id="567"/>
      <w:bookmarkEnd w:id="568"/>
      <w:bookmarkEnd w:id="569"/>
      <w:bookmarkEnd w:id="570"/>
      <w:bookmarkEnd w:id="571"/>
      <w:bookmarkEnd w:id="572"/>
      <w:bookmarkEnd w:id="573"/>
      <w:bookmarkEnd w:id="574"/>
      <w:bookmarkEnd w:id="575"/>
    </w:p>
    <w:p w14:paraId="348F7D27">
      <w:pPr>
        <w:pageBreakBefore/>
        <w:tabs>
          <w:tab w:val="left" w:pos="1080"/>
        </w:tabs>
        <w:autoSpaceDE w:val="0"/>
        <w:autoSpaceDN w:val="0"/>
        <w:adjustRightInd w:val="0"/>
        <w:spacing w:line="360" w:lineRule="auto"/>
        <w:ind w:left="357" w:leftChars="-100" w:hanging="567"/>
        <w:jc w:val="center"/>
        <w:outlineLvl w:val="0"/>
        <w:rPr>
          <w:rFonts w:ascii="宋体" w:hAnsi="宋体" w:eastAsia="宋体" w:cs="宋体"/>
          <w:b/>
          <w:bCs/>
          <w:kern w:val="44"/>
          <w:sz w:val="32"/>
          <w:szCs w:val="32"/>
          <w:highlight w:val="none"/>
          <w:lang w:val="zh-CN"/>
        </w:rPr>
      </w:pPr>
      <w:bookmarkStart w:id="576" w:name="_Toc4219"/>
      <w:bookmarkStart w:id="577" w:name="_Toc28218"/>
      <w:bookmarkStart w:id="578" w:name="_Toc4217"/>
      <w:bookmarkStart w:id="579" w:name="_Toc450662891"/>
      <w:bookmarkStart w:id="580" w:name="_Toc142508358"/>
      <w:bookmarkStart w:id="581" w:name="_Toc15831"/>
      <w:bookmarkStart w:id="582" w:name="_Toc21446"/>
      <w:bookmarkStart w:id="583" w:name="_Toc6673"/>
      <w:bookmarkStart w:id="584" w:name="_Toc195714264"/>
      <w:bookmarkStart w:id="585" w:name="_Toc13875"/>
      <w:bookmarkStart w:id="586" w:name="_Toc14879"/>
      <w:bookmarkStart w:id="587" w:name="_Toc486167706"/>
      <w:bookmarkStart w:id="588" w:name="_Toc27939_WPSOffice_Level1"/>
      <w:bookmarkStart w:id="589" w:name="_Toc8965"/>
      <w:r>
        <w:rPr>
          <w:rFonts w:hint="eastAsia" w:ascii="宋体" w:hAnsi="宋体" w:eastAsia="宋体" w:cs="宋体"/>
          <w:b/>
          <w:bCs/>
          <w:kern w:val="44"/>
          <w:sz w:val="32"/>
          <w:szCs w:val="32"/>
          <w:highlight w:val="none"/>
          <w:lang w:val="zh-CN"/>
        </w:rPr>
        <w:t>第三篇</w:t>
      </w:r>
      <w:r>
        <w:rPr>
          <w:rFonts w:ascii="宋体" w:hAnsi="宋体" w:eastAsia="宋体" w:cs="宋体"/>
          <w:b/>
          <w:bCs/>
          <w:kern w:val="44"/>
          <w:sz w:val="32"/>
          <w:szCs w:val="32"/>
          <w:highlight w:val="none"/>
          <w:lang w:val="zh-CN"/>
        </w:rPr>
        <w:t xml:space="preserve"> </w:t>
      </w:r>
      <w:r>
        <w:rPr>
          <w:rFonts w:hint="eastAsia" w:ascii="宋体" w:hAnsi="宋体" w:eastAsia="宋体" w:cs="宋体"/>
          <w:b/>
          <w:bCs/>
          <w:kern w:val="44"/>
          <w:sz w:val="32"/>
          <w:szCs w:val="32"/>
          <w:highlight w:val="none"/>
          <w:lang w:val="zh-CN"/>
        </w:rPr>
        <w:t>用户需求书</w:t>
      </w:r>
      <w:bookmarkEnd w:id="576"/>
      <w:bookmarkEnd w:id="577"/>
      <w:bookmarkEnd w:id="578"/>
    </w:p>
    <w:p w14:paraId="62A28F2B">
      <w:pPr>
        <w:spacing w:line="360" w:lineRule="auto"/>
        <w:ind w:firstLine="422" w:firstLineChars="200"/>
        <w:contextualSpacing/>
        <w:rPr>
          <w:rFonts w:hint="eastAsia" w:ascii="宋体" w:hAnsi="宋体" w:eastAsia="宋体" w:cs="宋体"/>
          <w:b/>
          <w:bCs/>
          <w:sz w:val="21"/>
          <w:szCs w:val="21"/>
          <w:highlight w:val="none"/>
          <w:lang w:val="en-US" w:eastAsia="zh-CN"/>
        </w:rPr>
      </w:pPr>
    </w:p>
    <w:p w14:paraId="2C000CFB">
      <w:pPr>
        <w:spacing w:line="360" w:lineRule="auto"/>
        <w:ind w:firstLine="422" w:firstLineChars="200"/>
        <w:contextualSpacing/>
        <w:outlineLvl w:val="1"/>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一、项目概况</w:t>
      </w:r>
    </w:p>
    <w:p w14:paraId="1F78ED09">
      <w:pPr>
        <w:spacing w:line="360" w:lineRule="auto"/>
        <w:ind w:firstLine="420" w:firstLineChars="200"/>
        <w:contextualSpacing/>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1、招标人原通过公开招标建立了半干化泥粉外运资源化处置服务供应商库，并通过</w:t>
      </w:r>
      <w:r>
        <w:rPr>
          <w:rFonts w:hint="default" w:ascii="宋体" w:hAnsi="宋体" w:eastAsia="宋体" w:cs="宋体"/>
          <w:sz w:val="21"/>
          <w:szCs w:val="21"/>
          <w:highlight w:val="none"/>
          <w:lang w:val="en-US" w:eastAsia="zh-CN"/>
        </w:rPr>
        <w:t>公开征集</w:t>
      </w:r>
      <w:r>
        <w:rPr>
          <w:rFonts w:hint="eastAsia" w:ascii="宋体" w:hAnsi="宋体" w:eastAsia="宋体" w:cs="宋体"/>
          <w:sz w:val="21"/>
          <w:szCs w:val="21"/>
          <w:highlight w:val="none"/>
          <w:lang w:val="en-US" w:eastAsia="zh-CN"/>
        </w:rPr>
        <w:t>的方式持续补充供应商，目前供应商库内已有一部分供应商，为进一步扩大半干化泥粉供应商库处置能力，保障招标人业务的有序运营，现开展半干化泥粉外运资源化处置服务供应商库2025年第二次扩增供应商工作。</w:t>
      </w:r>
    </w:p>
    <w:p w14:paraId="4EE153B3">
      <w:pPr>
        <w:spacing w:line="360" w:lineRule="auto"/>
        <w:ind w:firstLine="420" w:firstLineChars="200"/>
        <w:contextualSpacing/>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w:t>
      </w:r>
      <w:r>
        <w:rPr>
          <w:rFonts w:hint="eastAsia" w:ascii="宋体" w:hAnsi="宋体" w:eastAsia="宋体" w:cs="宋体"/>
          <w:sz w:val="21"/>
          <w:szCs w:val="21"/>
          <w:highlight w:val="none"/>
          <w:lang w:eastAsia="zh-CN"/>
        </w:rPr>
        <w:t>东莞市水务环境投资控股集团有限公司</w:t>
      </w:r>
      <w:r>
        <w:rPr>
          <w:rFonts w:hint="eastAsia" w:ascii="宋体" w:hAnsi="宋体" w:eastAsia="宋体" w:cs="宋体"/>
          <w:sz w:val="21"/>
          <w:szCs w:val="21"/>
          <w:highlight w:val="none"/>
        </w:rPr>
        <w:t>旗下东莞市区域内的污水处理厂，由</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在各污水处理厂内实施污泥减量化处理，目前已实施污泥减量化处理的污水处理厂约</w:t>
      </w:r>
      <w:r>
        <w:rPr>
          <w:rFonts w:hint="eastAsia" w:ascii="宋体" w:hAnsi="宋体" w:eastAsia="宋体" w:cs="宋体"/>
          <w:sz w:val="21"/>
          <w:szCs w:val="21"/>
          <w:highlight w:val="none"/>
          <w:lang w:eastAsia="zh-CN"/>
        </w:rPr>
        <w:t>2</w:t>
      </w: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rPr>
        <w:t>家，每天产出含水率≈55%的半干泥粉（下称“半干化泥粉”）约为</w:t>
      </w:r>
      <w:r>
        <w:rPr>
          <w:rFonts w:hint="eastAsia" w:ascii="宋体" w:hAnsi="宋体" w:eastAsia="宋体" w:cs="宋体"/>
          <w:sz w:val="21"/>
          <w:szCs w:val="21"/>
          <w:highlight w:val="none"/>
          <w:lang w:val="en-US" w:eastAsia="zh-CN"/>
        </w:rPr>
        <w:t>550</w:t>
      </w:r>
      <w:r>
        <w:rPr>
          <w:rFonts w:hint="eastAsia" w:ascii="宋体" w:hAnsi="宋体" w:eastAsia="宋体" w:cs="宋体"/>
          <w:sz w:val="21"/>
          <w:szCs w:val="21"/>
          <w:highlight w:val="none"/>
        </w:rPr>
        <w:t>吨。后续将继续扩大污泥减量化处理范围和增加污泥减量化处理服务点，减量化处理后的半干化泥粉由</w:t>
      </w:r>
      <w:r>
        <w:rPr>
          <w:rFonts w:hint="eastAsia" w:ascii="宋体" w:hAnsi="宋体" w:eastAsia="宋体" w:cs="宋体"/>
          <w:sz w:val="21"/>
          <w:szCs w:val="21"/>
          <w:highlight w:val="none"/>
          <w:lang w:eastAsia="zh-CN"/>
        </w:rPr>
        <w:t>招标人</w:t>
      </w:r>
      <w:r>
        <w:rPr>
          <w:rFonts w:hint="eastAsia" w:ascii="宋体" w:hAnsi="宋体" w:eastAsia="宋体" w:cs="宋体"/>
          <w:sz w:val="21"/>
          <w:szCs w:val="21"/>
          <w:highlight w:val="none"/>
        </w:rPr>
        <w:t>组织进行资源化处置。</w:t>
      </w:r>
    </w:p>
    <w:p w14:paraId="3591EBFF">
      <w:pPr>
        <w:spacing w:line="360" w:lineRule="auto"/>
        <w:ind w:firstLine="420" w:firstLineChars="200"/>
        <w:contextualSpacing/>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招标人中标“东莞市BOT污水处理厂污泥全流程处理处置管理服务采购项目”，承接全市34家BOT污水处理厂污泥减量处理工作。目前已实施污泥减量化处理的BOT污水处理厂约33家，每天产出含水率≈55%的半干泥粉约为650吨。根据《东莞市BOT污水处理厂污泥全流程处理处置管理服务采购项目》结果公告，东莞市环保产业促进中心委托招标人组织半干化泥粉资源化处置的管理。</w:t>
      </w:r>
    </w:p>
    <w:p w14:paraId="118F6748">
      <w:pPr>
        <w:keepNext w:val="0"/>
        <w:keepLines w:val="0"/>
        <w:pageBreakBefore w:val="0"/>
        <w:kinsoku/>
        <w:wordWrap/>
        <w:overflowPunct/>
        <w:topLinePunct w:val="0"/>
        <w:bidi w:val="0"/>
        <w:snapToGrid/>
        <w:spacing w:line="360" w:lineRule="auto"/>
        <w:ind w:firstLine="420" w:firstLineChars="200"/>
        <w:contextualSpacing/>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、目前</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承接水务</w:t>
      </w:r>
      <w:r>
        <w:rPr>
          <w:rFonts w:hint="eastAsia" w:ascii="宋体" w:hAnsi="宋体" w:eastAsia="宋体" w:cs="宋体"/>
          <w:sz w:val="21"/>
          <w:szCs w:val="21"/>
          <w:highlight w:val="none"/>
          <w:lang w:eastAsia="zh-CN"/>
        </w:rPr>
        <w:t>环境</w:t>
      </w:r>
      <w:r>
        <w:rPr>
          <w:rFonts w:hint="eastAsia" w:ascii="宋体" w:hAnsi="宋体" w:eastAsia="宋体" w:cs="宋体"/>
          <w:sz w:val="21"/>
          <w:szCs w:val="21"/>
          <w:highlight w:val="none"/>
        </w:rPr>
        <w:t>集团旗下自来水厂的排泥水处理处置工作，后期随着业务的扩展，排泥水处理处置规模将进一步增加，</w:t>
      </w:r>
      <w:r>
        <w:rPr>
          <w:rFonts w:hint="eastAsia" w:ascii="宋体" w:hAnsi="宋体" w:eastAsia="宋体" w:cs="宋体"/>
          <w:b w:val="0"/>
          <w:bCs w:val="0"/>
          <w:sz w:val="21"/>
          <w:szCs w:val="21"/>
          <w:highlight w:val="none"/>
        </w:rPr>
        <w:t>排泥水经设备设施脱水处理后的半干化泥粉</w:t>
      </w:r>
      <w:r>
        <w:rPr>
          <w:rFonts w:hint="eastAsia" w:ascii="宋体" w:hAnsi="宋体" w:eastAsia="宋体" w:cs="宋体"/>
          <w:sz w:val="21"/>
          <w:szCs w:val="21"/>
          <w:highlight w:val="none"/>
        </w:rPr>
        <w:t>，由</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组织进行资源化处置。</w:t>
      </w:r>
    </w:p>
    <w:p w14:paraId="407554BE">
      <w:pPr>
        <w:keepNext w:val="0"/>
        <w:keepLines w:val="0"/>
        <w:pageBreakBefore w:val="0"/>
        <w:kinsoku/>
        <w:wordWrap/>
        <w:overflowPunct/>
        <w:topLinePunct w:val="0"/>
        <w:bidi w:val="0"/>
        <w:snapToGrid/>
        <w:spacing w:line="360" w:lineRule="auto"/>
        <w:ind w:firstLine="420" w:firstLineChars="200"/>
        <w:contextualSpacing/>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、为保证东莞市污水管网的运维工作正常开展，</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将计划启动污水管网通沟污泥处理工作，</w:t>
      </w:r>
      <w:r>
        <w:rPr>
          <w:rFonts w:hint="eastAsia" w:ascii="宋体" w:hAnsi="宋体" w:eastAsia="宋体" w:cs="宋体"/>
          <w:b w:val="0"/>
          <w:bCs w:val="0"/>
          <w:sz w:val="21"/>
          <w:szCs w:val="21"/>
          <w:highlight w:val="none"/>
        </w:rPr>
        <w:t>污水管网通沟污泥处理后的半干化泥粉</w:t>
      </w:r>
      <w:r>
        <w:rPr>
          <w:rFonts w:hint="eastAsia" w:ascii="宋体" w:hAnsi="宋体" w:eastAsia="宋体" w:cs="宋体"/>
          <w:sz w:val="21"/>
          <w:szCs w:val="21"/>
          <w:highlight w:val="none"/>
        </w:rPr>
        <w:t>，由</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组织进行资源化处置。</w:t>
      </w:r>
    </w:p>
    <w:p w14:paraId="6E618874">
      <w:pPr>
        <w:widowControl w:val="0"/>
        <w:autoSpaceDE/>
        <w:autoSpaceDN/>
        <w:adjustRightInd/>
        <w:spacing w:line="360" w:lineRule="auto"/>
        <w:ind w:firstLine="420" w:firstLineChars="0"/>
        <w:jc w:val="both"/>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6、本次入库供应商数量上限为6家，经评审后按综合得分由高到低的顺序推荐7-9家中标候选人（中标候选人的实际推荐家数按实际经评审的</w:t>
      </w:r>
      <w:r>
        <w:rPr>
          <w:rFonts w:hint="eastAsia" w:ascii="宋体" w:hAnsi="宋体" w:eastAsia="宋体" w:cs="Times New Roman"/>
          <w:color w:val="auto"/>
          <w:kern w:val="0"/>
          <w:szCs w:val="21"/>
          <w:highlight w:val="none"/>
          <w:lang w:eastAsia="zh-CN"/>
        </w:rPr>
        <w:t>有效供应商</w:t>
      </w:r>
      <w:r>
        <w:rPr>
          <w:rFonts w:hint="eastAsia" w:ascii="宋体" w:hAnsi="宋体" w:eastAsia="宋体" w:cs="Times New Roman"/>
          <w:color w:val="auto"/>
          <w:kern w:val="0"/>
          <w:szCs w:val="21"/>
          <w:highlight w:val="none"/>
          <w:lang w:val="en-US" w:eastAsia="zh-CN"/>
        </w:rPr>
        <w:t>数量</w:t>
      </w:r>
      <w:r>
        <w:rPr>
          <w:rFonts w:hint="eastAsia" w:ascii="宋体" w:hAnsi="宋体" w:eastAsia="宋体" w:cs="宋体"/>
          <w:kern w:val="2"/>
          <w:sz w:val="21"/>
          <w:szCs w:val="21"/>
          <w:highlight w:val="none"/>
          <w:lang w:val="en-US" w:eastAsia="zh-CN" w:bidi="ar-SA"/>
        </w:rPr>
        <w:t>而定，最多可推荐9家），其中排名前6的6家供应商作为入库候选供应商，剩余供应商作为入库备选供应商（如后续出现应急需求时，优先考虑作为应急服务单位）；</w:t>
      </w:r>
      <w:r>
        <w:rPr>
          <w:rFonts w:hint="eastAsia" w:ascii="宋体" w:hAnsi="宋体" w:eastAsia="宋体" w:cs="Times New Roman"/>
          <w:color w:val="auto"/>
          <w:kern w:val="0"/>
          <w:szCs w:val="21"/>
          <w:highlight w:val="none"/>
          <w:lang w:val="en-US" w:eastAsia="zh-CN"/>
        </w:rPr>
        <w:t>若经评审</w:t>
      </w:r>
      <w:r>
        <w:rPr>
          <w:rFonts w:hint="eastAsia" w:ascii="宋体" w:hAnsi="宋体" w:eastAsia="宋体" w:cs="Times New Roman"/>
          <w:color w:val="auto"/>
          <w:kern w:val="0"/>
          <w:szCs w:val="21"/>
          <w:highlight w:val="none"/>
          <w:lang w:eastAsia="zh-CN"/>
        </w:rPr>
        <w:t>有效供应商</w:t>
      </w:r>
      <w:r>
        <w:rPr>
          <w:rFonts w:hint="eastAsia" w:ascii="宋体" w:hAnsi="宋体" w:eastAsia="宋体" w:cs="Times New Roman"/>
          <w:color w:val="auto"/>
          <w:kern w:val="0"/>
          <w:szCs w:val="21"/>
          <w:highlight w:val="none"/>
          <w:lang w:val="en-US" w:eastAsia="zh-CN"/>
        </w:rPr>
        <w:t>不足6家的</w:t>
      </w:r>
      <w:r>
        <w:rPr>
          <w:rFonts w:hint="eastAsia" w:ascii="宋体" w:hAnsi="宋体" w:eastAsia="宋体" w:cs="Times New Roman"/>
          <w:color w:val="auto"/>
          <w:kern w:val="0"/>
          <w:szCs w:val="21"/>
          <w:highlight w:val="none"/>
          <w:lang w:eastAsia="zh-CN"/>
        </w:rPr>
        <w:t>，则按实际有效供应商数量推荐</w:t>
      </w:r>
      <w:r>
        <w:rPr>
          <w:rFonts w:hint="eastAsia" w:ascii="宋体" w:hAnsi="宋体" w:eastAsia="宋体" w:cs="Times New Roman"/>
          <w:color w:val="auto"/>
          <w:kern w:val="0"/>
          <w:szCs w:val="21"/>
          <w:highlight w:val="none"/>
          <w:lang w:val="en-US" w:eastAsia="zh-CN"/>
        </w:rPr>
        <w:t>入库候选</w:t>
      </w:r>
      <w:r>
        <w:rPr>
          <w:rFonts w:hint="eastAsia" w:ascii="宋体" w:hAnsi="宋体" w:eastAsia="宋体" w:cs="Times New Roman"/>
          <w:color w:val="auto"/>
          <w:kern w:val="0"/>
          <w:szCs w:val="21"/>
          <w:highlight w:val="none"/>
          <w:lang w:eastAsia="zh-CN"/>
        </w:rPr>
        <w:t>供应商</w:t>
      </w:r>
      <w:r>
        <w:rPr>
          <w:rFonts w:hint="eastAsia"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lang w:val="en-US" w:eastAsia="zh-CN"/>
        </w:rPr>
        <w:t>招标人现场核查并通过的入库候选供应商将确定为入库供应商。如入库候选供应商未通过招标人现场核查且有入库备选供应商的，招标人有权按照</w:t>
      </w:r>
      <w:r>
        <w:rPr>
          <w:rFonts w:hint="eastAsia" w:ascii="宋体" w:hAnsi="宋体" w:eastAsia="宋体" w:cs="宋体"/>
          <w:highlight w:val="none"/>
          <w:lang w:val="en-US" w:eastAsia="zh-CN"/>
        </w:rPr>
        <w:t>入库备选供应商综合得分的由高到低的顺序对入库备选供应商进行现场核查，核查通过的，补充确定为入库供应商。</w:t>
      </w:r>
      <w:r>
        <w:rPr>
          <w:rFonts w:hint="eastAsia" w:ascii="宋体" w:hAnsi="宋体" w:eastAsia="宋体" w:cs="宋体"/>
          <w:kern w:val="2"/>
          <w:sz w:val="21"/>
          <w:szCs w:val="21"/>
          <w:highlight w:val="none"/>
          <w:lang w:val="en-US" w:eastAsia="zh-CN" w:bidi="ar-SA"/>
        </w:rPr>
        <w:t>签订入库合同后，即东莞市众源环境投资有限公司半干化泥粉外运资源化处置服务供应商库入库供应商。</w:t>
      </w:r>
    </w:p>
    <w:p w14:paraId="47E5A465">
      <w:pPr>
        <w:widowControl w:val="0"/>
        <w:autoSpaceDE/>
        <w:autoSpaceDN/>
        <w:adjustRightInd/>
        <w:spacing w:line="360" w:lineRule="auto"/>
        <w:ind w:firstLine="420" w:firstLineChars="0"/>
        <w:jc w:val="both"/>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7、本概况介绍的污水处理厂半干化泥粉项目半干化泥粉产生量为暂定量，仅为便于供应商了解项目情况使用，不作为招标人最终委托接收处置量的保证。最终按实际处置量结算，供应商不得因处理量的减少或增加而要求提供任何形式的补偿或赔偿，或要求招标人按本用户需求书介绍的暂定量提供相应的处置服务。</w:t>
      </w:r>
    </w:p>
    <w:p w14:paraId="1FAF6DAE">
      <w:pPr>
        <w:widowControl w:val="0"/>
        <w:autoSpaceDE/>
        <w:autoSpaceDN/>
        <w:adjustRightInd/>
        <w:spacing w:line="360" w:lineRule="auto"/>
        <w:ind w:firstLine="420" w:firstLineChars="0"/>
        <w:jc w:val="both"/>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8、污水处理厂半干化泥粉运输由入库供应商负责，入库供应商将污水处理厂半干化泥粉从招标人指定的半干化泥粉贮存点运输至入库供应商处置场所依法进行资源化处置。具体的半干化泥粉贮存地和外运装车点以招标人在委托处置时的通知为准。</w:t>
      </w:r>
    </w:p>
    <w:p w14:paraId="5FD258BB">
      <w:pPr>
        <w:spacing w:line="360" w:lineRule="auto"/>
        <w:ind w:firstLine="420" w:firstLineChars="0"/>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9、东莞市众源环境投资有限公司半干化泥粉外运资源化处置服务供应商库2025年第二次扩增供应商项目服务范围包括：（1）将招标人减量化后的污水处理厂半干化泥粉运输至供应商处置场所依法进行资源化处置，</w:t>
      </w:r>
      <w:r>
        <w:rPr>
          <w:rFonts w:hint="eastAsia" w:ascii="宋体" w:hAnsi="宋体" w:eastAsia="宋体" w:cs="宋体"/>
          <w:color w:val="auto"/>
          <w:kern w:val="2"/>
          <w:sz w:val="21"/>
          <w:szCs w:val="21"/>
          <w:highlight w:val="none"/>
          <w:lang w:val="en-US" w:eastAsia="zh-CN" w:bidi="ar-SA"/>
        </w:rPr>
        <w:t>以下简称“污水处理厂半干化泥粉项目”；（2）</w:t>
      </w:r>
      <w:r>
        <w:rPr>
          <w:rFonts w:hint="eastAsia" w:ascii="宋体" w:hAnsi="宋体" w:eastAsia="宋体" w:cs="宋体"/>
          <w:kern w:val="2"/>
          <w:sz w:val="21"/>
          <w:szCs w:val="21"/>
          <w:highlight w:val="none"/>
          <w:lang w:val="en-US" w:eastAsia="zh-CN" w:bidi="ar-SA"/>
        </w:rPr>
        <w:t>招标人</w:t>
      </w:r>
      <w:r>
        <w:rPr>
          <w:rFonts w:hint="eastAsia" w:ascii="宋体" w:hAnsi="宋体" w:eastAsia="宋体" w:cs="宋体"/>
          <w:color w:val="auto"/>
          <w:kern w:val="2"/>
          <w:sz w:val="21"/>
          <w:szCs w:val="21"/>
          <w:highlight w:val="none"/>
          <w:lang w:val="en-US" w:eastAsia="zh-CN" w:bidi="ar-SA"/>
        </w:rPr>
        <w:t>根据建设、运营、承接项目、代管项目需要委托供应商库内供应商处理、处置招标人污水处理厂含水率约80%的湿泥、排水管渠污泥脱水减量化后的半干化泥粉、供水厂排泥水污泥脱水减量化后的半干化泥粉，以及其它污泥、淤泥或类似一般固</w:t>
      </w:r>
      <w:r>
        <w:rPr>
          <w:rFonts w:hint="eastAsia" w:ascii="宋体" w:hAnsi="宋体" w:eastAsia="宋体" w:cs="宋体"/>
          <w:kern w:val="2"/>
          <w:sz w:val="21"/>
          <w:szCs w:val="21"/>
          <w:highlight w:val="none"/>
          <w:lang w:val="en-US" w:eastAsia="zh-CN" w:bidi="ar-SA"/>
        </w:rPr>
        <w:t>体废物。</w:t>
      </w:r>
    </w:p>
    <w:p w14:paraId="5187DE2F">
      <w:pPr>
        <w:widowControl w:val="0"/>
        <w:autoSpaceDE/>
        <w:autoSpaceDN/>
        <w:adjustRightInd/>
        <w:spacing w:line="360" w:lineRule="auto"/>
        <w:ind w:firstLine="420" w:firstLineChars="200"/>
        <w:jc w:val="both"/>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10、★</w:t>
      </w:r>
      <w:r>
        <w:rPr>
          <w:rFonts w:hint="eastAsia" w:ascii="宋体" w:hAnsi="宋体" w:eastAsia="宋体" w:cs="宋体"/>
          <w:b/>
          <w:bCs/>
          <w:kern w:val="2"/>
          <w:sz w:val="21"/>
          <w:szCs w:val="21"/>
          <w:highlight w:val="none"/>
          <w:u w:val="single"/>
          <w:lang w:val="en-US" w:eastAsia="zh-CN" w:bidi="ar-SA"/>
        </w:rPr>
        <w:t>供应商库存续期间，招标人将根据后续业务开展需求，有权对供应商库管理模式进行调整（包括但不限于单项项目分配资格、分配方式和供应商库的服务期限等），已入库的供应商不接受调整后的管理模式的，可以申请退出供应商库。招标人可以通过招标、采购、公开征集等方式补充供应商进入供应商库，参与招标人单项服务的分配</w:t>
      </w:r>
      <w:r>
        <w:rPr>
          <w:rFonts w:hint="eastAsia" w:ascii="宋体" w:hAnsi="宋体" w:eastAsia="宋体" w:cs="宋体"/>
          <w:b/>
          <w:bCs/>
          <w:kern w:val="2"/>
          <w:sz w:val="21"/>
          <w:szCs w:val="21"/>
          <w:highlight w:val="none"/>
          <w:u w:val="none"/>
          <w:lang w:val="en-US" w:eastAsia="zh-CN" w:bidi="ar-SA"/>
        </w:rPr>
        <w:t>。</w:t>
      </w:r>
    </w:p>
    <w:p w14:paraId="4A42C7FA">
      <w:pPr>
        <w:spacing w:line="360" w:lineRule="auto"/>
        <w:ind w:firstLine="422" w:firstLineChars="200"/>
        <w:contextualSpacing/>
        <w:outlineLvl w:val="1"/>
        <w:rPr>
          <w:rFonts w:hint="eastAsia" w:ascii="宋体" w:hAnsi="宋体" w:eastAsia="宋体" w:cs="宋体"/>
          <w:b/>
          <w:sz w:val="21"/>
          <w:szCs w:val="21"/>
          <w:highlight w:val="none"/>
          <w:lang w:val="en-US" w:eastAsia="zh-CN"/>
        </w:rPr>
      </w:pPr>
      <w:r>
        <w:rPr>
          <w:rFonts w:hint="eastAsia" w:ascii="宋体" w:hAnsi="宋体" w:eastAsia="宋体" w:cs="宋体"/>
          <w:b/>
          <w:sz w:val="21"/>
          <w:szCs w:val="21"/>
          <w:highlight w:val="none"/>
          <w:lang w:val="en-US" w:eastAsia="zh-CN"/>
        </w:rPr>
        <w:t>二</w:t>
      </w:r>
      <w:r>
        <w:rPr>
          <w:rFonts w:hint="eastAsia" w:ascii="宋体" w:hAnsi="宋体" w:eastAsia="宋体" w:cs="宋体"/>
          <w:b/>
          <w:sz w:val="21"/>
          <w:szCs w:val="21"/>
          <w:highlight w:val="none"/>
        </w:rPr>
        <w:t>、</w:t>
      </w:r>
      <w:r>
        <w:rPr>
          <w:rFonts w:hint="eastAsia" w:ascii="宋体" w:hAnsi="宋体" w:eastAsia="宋体" w:cs="宋体"/>
          <w:b/>
          <w:sz w:val="21"/>
          <w:szCs w:val="21"/>
          <w:highlight w:val="none"/>
          <w:lang w:val="en-US" w:eastAsia="zh-CN"/>
        </w:rPr>
        <w:t>供应商库的使用方式</w:t>
      </w:r>
    </w:p>
    <w:p w14:paraId="7B6B98F4">
      <w:pPr>
        <w:widowControl w:val="0"/>
        <w:autoSpaceDE/>
        <w:autoSpaceDN/>
        <w:adjustRightInd/>
        <w:spacing w:line="360" w:lineRule="auto"/>
        <w:ind w:firstLine="420" w:firstLineChars="0"/>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b/>
          <w:bCs/>
          <w:kern w:val="2"/>
          <w:sz w:val="21"/>
          <w:szCs w:val="21"/>
          <w:highlight w:val="none"/>
          <w:lang w:val="en-US" w:eastAsia="zh-CN" w:bidi="ar-SA"/>
        </w:rPr>
        <w:t>1、★“污水处理厂半干化泥粉项目”分配方式：招标人按照“污水处理厂半干化泥粉项目”服务合同期限划分各期单项项目，具体各期“污水处理厂半干化泥粉项目”按需启动，各期单项项目按照二次竞价或轮派或其他方式开展，并签订“污水处理厂半干化泥粉项目”单项合同。在把各单项项目分配或签订单项合同前，招标人会提前将具体分配方案发送至入库供应商预留邮箱。</w:t>
      </w:r>
    </w:p>
    <w:p w14:paraId="5CD218D7">
      <w:pPr>
        <w:widowControl w:val="0"/>
        <w:autoSpaceDE/>
        <w:autoSpaceDN/>
        <w:adjustRightInd/>
        <w:spacing w:line="360" w:lineRule="auto"/>
        <w:ind w:firstLine="420" w:firstLineChars="200"/>
        <w:jc w:val="both"/>
        <w:rPr>
          <w:rFonts w:hint="eastAsia" w:ascii="宋体" w:hAnsi="宋体" w:eastAsia="宋体" w:cs="宋体"/>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2、服务范围内除“污水处理厂半干化泥粉项目”外的其他污泥、淤泥或类似一般固体废物的单项项目按需启动，招标人将参照“污水处理厂半干化泥粉项目”分配方式开展。</w:t>
      </w:r>
    </w:p>
    <w:p w14:paraId="7541CDCB">
      <w:pPr>
        <w:widowControl w:val="0"/>
        <w:autoSpaceDE/>
        <w:autoSpaceDN/>
        <w:adjustRightInd/>
        <w:spacing w:line="360" w:lineRule="auto"/>
        <w:ind w:firstLine="420" w:firstLineChars="200"/>
        <w:jc w:val="both"/>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3、★</w:t>
      </w:r>
      <w:r>
        <w:rPr>
          <w:rFonts w:hint="eastAsia" w:ascii="宋体" w:hAnsi="宋体" w:eastAsia="宋体" w:cs="宋体"/>
          <w:b/>
          <w:bCs/>
          <w:kern w:val="2"/>
          <w:sz w:val="21"/>
          <w:szCs w:val="21"/>
          <w:highlight w:val="none"/>
          <w:u w:val="single"/>
          <w:lang w:val="en-US" w:eastAsia="zh-CN" w:bidi="ar-SA"/>
        </w:rPr>
        <w:t>供应商服务资格有效期：入库合同签订之日起至2027年6月30日止，但如供应商违反入库合同、单项污泥处置合同及招标人管理规定的，则根据相关合同的约定退出供应商库。具体污泥处置项目服务期以单项污泥处置合同为准</w:t>
      </w:r>
      <w:r>
        <w:rPr>
          <w:rFonts w:hint="eastAsia" w:ascii="宋体" w:hAnsi="宋体" w:eastAsia="宋体" w:cs="宋体"/>
          <w:kern w:val="2"/>
          <w:sz w:val="21"/>
          <w:szCs w:val="21"/>
          <w:highlight w:val="none"/>
          <w:lang w:val="en-US" w:eastAsia="zh-CN" w:bidi="ar-SA"/>
        </w:rPr>
        <w:t>。</w:t>
      </w:r>
    </w:p>
    <w:p w14:paraId="6967F53D">
      <w:pPr>
        <w:spacing w:line="360" w:lineRule="auto"/>
        <w:ind w:firstLine="422" w:firstLineChars="200"/>
        <w:contextualSpacing/>
        <w:outlineLvl w:val="1"/>
        <w:rPr>
          <w:rFonts w:hint="eastAsia" w:ascii="宋体" w:hAnsi="宋体" w:eastAsia="宋体" w:cs="宋体"/>
          <w:b/>
          <w:kern w:val="2"/>
          <w:sz w:val="21"/>
          <w:szCs w:val="21"/>
          <w:highlight w:val="none"/>
          <w:lang w:val="en-US" w:eastAsia="zh-CN" w:bidi="ar-SA"/>
        </w:rPr>
      </w:pPr>
      <w:r>
        <w:rPr>
          <w:rFonts w:hint="eastAsia" w:ascii="宋体" w:hAnsi="宋体" w:eastAsia="宋体" w:cs="宋体"/>
          <w:b/>
          <w:kern w:val="2"/>
          <w:sz w:val="21"/>
          <w:szCs w:val="21"/>
          <w:highlight w:val="none"/>
          <w:lang w:val="en-US" w:eastAsia="zh-CN" w:bidi="ar-SA"/>
        </w:rPr>
        <w:t>三、退出机制</w:t>
      </w:r>
    </w:p>
    <w:p w14:paraId="74977754">
      <w:pPr>
        <w:widowControl w:val="0"/>
        <w:autoSpaceDE/>
        <w:autoSpaceDN/>
        <w:adjustRightInd/>
        <w:spacing w:line="360" w:lineRule="auto"/>
        <w:ind w:firstLine="420" w:firstLineChars="0"/>
        <w:jc w:val="both"/>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1、协商退出：（1）供应商如不接受招标人管理办法，可无责自行退出。[例如：供应商在按照招标人要求参与分配工作的前提下，两年内或连续两期库内分配未能获得单项项目服务资格时（未签订任何单项服务合同），可主动申请退出供应商库，并申请退还入库履约担保]（2）供应商库存续期间招标人有权对供应商库管理模式进行调整（包括但不限于单项项目分配资格、分配方式和供应商库的服务期限等），供应商不接受调整的，可主动申请退出供应商库，并申请退还入库履约担保。在前述情形下，除本项目合同另有约定或招标人、供应商双方另行协商一致外，供应商申请退出供应商库的，不影响供应商已签订的单项合同（如有）的效力，供应商仍应按照单项合同的约定向招标人提供污泥处置服务。</w:t>
      </w:r>
    </w:p>
    <w:p w14:paraId="29FAB427">
      <w:pPr>
        <w:widowControl w:val="0"/>
        <w:autoSpaceDE/>
        <w:autoSpaceDN/>
        <w:adjustRightInd/>
        <w:spacing w:line="360" w:lineRule="auto"/>
        <w:ind w:firstLine="420" w:firstLineChars="0"/>
        <w:jc w:val="both"/>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2、违约退出：（1）严重违法违约。供应商出现严重违法、违约行为时，招标人有权依法追究其法律责任，并根据合同作出相应处理，包括但不限于单方解除入库合同和单项合同，并将其从污泥处置服务供应商库中移除和没收其入库和单项合同履约</w:t>
      </w:r>
      <w:r>
        <w:rPr>
          <w:rFonts w:hint="default" w:ascii="宋体" w:hAnsi="宋体" w:eastAsia="宋体" w:cs="宋体"/>
          <w:kern w:val="2"/>
          <w:sz w:val="21"/>
          <w:szCs w:val="21"/>
          <w:highlight w:val="none"/>
          <w:lang w:val="en-US" w:eastAsia="zh-CN" w:bidi="ar-SA"/>
        </w:rPr>
        <w:t>保证金</w:t>
      </w:r>
      <w:r>
        <w:rPr>
          <w:rFonts w:hint="eastAsia" w:ascii="宋体" w:hAnsi="宋体" w:eastAsia="宋体" w:cs="宋体"/>
          <w:kern w:val="2"/>
          <w:sz w:val="21"/>
          <w:szCs w:val="21"/>
          <w:highlight w:val="none"/>
          <w:lang w:val="en-US" w:eastAsia="zh-CN" w:bidi="ar-SA"/>
        </w:rPr>
        <w:t>。（2）不配合分配工作。供应商出现不配合分配工作的，招标人有权采取相应措施，包括但不限于：一是在分配过程中，出现干扰分配公平公正等不良行为，招标人将取消其参与下一期</w:t>
      </w:r>
      <w:r>
        <w:rPr>
          <w:rFonts w:hint="eastAsia" w:ascii="宋体" w:hAnsi="宋体" w:eastAsia="宋体" w:cs="宋体"/>
          <w:color w:val="000000"/>
          <w:kern w:val="2"/>
          <w:sz w:val="21"/>
          <w:szCs w:val="21"/>
          <w:highlight w:val="none"/>
          <w:lang w:val="en-US" w:eastAsia="zh-CN" w:bidi="ar-SA"/>
        </w:rPr>
        <w:t>“污水处理厂半干化泥粉项目”分配资格；二是连续两期分配因资质不全、处置相关问题未完成整改等情况，而无法参与分配工作，招标人有权</w:t>
      </w:r>
      <w:r>
        <w:rPr>
          <w:rFonts w:hint="eastAsia" w:ascii="宋体" w:hAnsi="宋体" w:eastAsia="宋体" w:cs="宋体"/>
          <w:kern w:val="2"/>
          <w:sz w:val="21"/>
          <w:szCs w:val="21"/>
          <w:highlight w:val="none"/>
          <w:lang w:val="en-US" w:eastAsia="zh-CN" w:bidi="ar-SA"/>
        </w:rPr>
        <w:t>单方解除入库合同，并将其从污泥处置服务供应商库中移除和没收其入库履约保证金。（3）供应商动态考核评价得分低于60分，或动态考核评价得分在60分（含）-80分（不含）且连续两次整改后动态考核评价得分仍低于80分，招标人有权单方解除供应商库入库合同，要求供应商退出供应商库。（4）在供应商库使用期间，供应商因其他项目被列入东莞市水务环境投资控股集团有限公司（含其全资公司、控股公司、由其管理的参股公司）招标、采购、征集供应商或合作方采购的信用“黑名单”，直接取消入库资格。</w:t>
      </w:r>
    </w:p>
    <w:p w14:paraId="70F2F6AD">
      <w:pPr>
        <w:widowControl w:val="0"/>
        <w:autoSpaceDE/>
        <w:autoSpaceDN/>
        <w:adjustRightInd/>
        <w:spacing w:line="360" w:lineRule="auto"/>
        <w:ind w:firstLine="420" w:firstLineChars="0"/>
        <w:jc w:val="both"/>
        <w:outlineLvl w:val="1"/>
        <w:rPr>
          <w:rFonts w:hint="eastAsia" w:ascii="宋体" w:hAnsi="宋体" w:eastAsia="宋体" w:cs="宋体"/>
          <w:b/>
          <w:kern w:val="2"/>
          <w:sz w:val="21"/>
          <w:szCs w:val="21"/>
          <w:highlight w:val="none"/>
          <w:lang w:val="en-US" w:eastAsia="zh-CN" w:bidi="ar-SA"/>
        </w:rPr>
      </w:pPr>
      <w:r>
        <w:rPr>
          <w:rFonts w:hint="eastAsia" w:ascii="宋体" w:hAnsi="宋体" w:eastAsia="宋体" w:cs="宋体"/>
          <w:b/>
          <w:kern w:val="2"/>
          <w:sz w:val="21"/>
          <w:szCs w:val="21"/>
          <w:highlight w:val="none"/>
          <w:lang w:val="en-US" w:eastAsia="zh-CN" w:bidi="ar-SA"/>
        </w:rPr>
        <w:t>四、供应商管理</w:t>
      </w:r>
    </w:p>
    <w:p w14:paraId="6028AB0F">
      <w:pPr>
        <w:widowControl w:val="0"/>
        <w:autoSpaceDE/>
        <w:autoSpaceDN/>
        <w:adjustRightInd/>
        <w:spacing w:line="360" w:lineRule="auto"/>
        <w:ind w:firstLine="420" w:firstLineChars="0"/>
        <w:jc w:val="both"/>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1、供应商库动态考核机制。供应商库使用期间，招标人每半年组织对库内供应商进行动态考核评价，形成《供应商综合评价考核表》（百分制），考核评价得分在80分及以上为合格供应商；得分在60分（含）-80分（不含）的供应商，招标人发放限期整改通知书，供应商整改完成后招标人再次组织进行复核评价，供应商连续两次整改后得分仍低于80分的，招标人有权单方解除供应商入库合同，按照不合格供应商处理，要求供应商退出供应商库；得分低于60分的供应商为不合格供应商，招标人有权单方解除供应商库入库合同，要求供应商退出供应商库。</w:t>
      </w:r>
    </w:p>
    <w:p w14:paraId="5B8766FD">
      <w:pPr>
        <w:widowControl w:val="0"/>
        <w:autoSpaceDE/>
        <w:autoSpaceDN/>
        <w:adjustRightInd/>
        <w:spacing w:line="360" w:lineRule="auto"/>
        <w:ind w:firstLine="420" w:firstLineChars="0"/>
        <w:jc w:val="both"/>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2、供应商现场核查机制。在授予供应商库入库合同前，招标人将组织对供应商泥粉/污泥处置场所现场的真实性、合法性及履约能力进行核查，包括对供应商资格条件、履约能力是否符合招标文件要求及投标文件承诺，是否符合《广东省住房和城乡建设厅 广东省生态环境厅城镇生活污水处理厂污泥处理处置管理办法》（若后续相关法规管理要求有所变更，按最新的要求执行）规定的处置条件，供应商泥粉/污泥处置场所生产的产品属于主管部门规定需取得生产许可资质要求的，是否已取得所属行业主管部门的生产许可资质或批复等。每期单项分配后，若“推荐中标候选人名单”内的某一处置单位未能通过现场核查（如处置单位资质资料不齐全或处置能力不合格或监控设备不完善的），则对应片区中标候选人由下一顺序的处置单位递补，并由招标人对其进行现场核查，对于通过现场核查的处置单位，形成“中标人名单”，授予单项合同。对于不接受、不配合招标人现场核查工作的，视为放弃本期中标资格。</w:t>
      </w:r>
    </w:p>
    <w:p w14:paraId="1D9C43D8">
      <w:pPr>
        <w:widowControl w:val="0"/>
        <w:autoSpaceDE/>
        <w:autoSpaceDN/>
        <w:adjustRightInd/>
        <w:spacing w:line="360" w:lineRule="auto"/>
        <w:ind w:firstLine="420" w:firstLineChars="0"/>
        <w:jc w:val="both"/>
        <w:outlineLvl w:val="9"/>
        <w:rPr>
          <w:rFonts w:hint="eastAsia" w:ascii="宋体" w:hAnsi="宋体" w:eastAsia="宋体" w:cs="宋体"/>
          <w:b/>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3、</w:t>
      </w:r>
      <w:r>
        <w:rPr>
          <w:rFonts w:hint="eastAsia" w:ascii="宋体" w:hAnsi="宋体" w:eastAsia="宋体" w:cs="宋体"/>
          <w:b/>
          <w:kern w:val="2"/>
          <w:sz w:val="21"/>
          <w:szCs w:val="21"/>
          <w:highlight w:val="none"/>
          <w:lang w:val="en-US" w:eastAsia="zh-CN" w:bidi="ar-SA"/>
        </w:rPr>
        <w:t>★供应商现场驻点核查机制。在供应商开始污泥收运至完成最终处置期间，招标人有权安排工作人员至供应商处置现场驻点核查，核查内容包括但不限于监管污泥接收、贮存、处置全流程。</w:t>
      </w:r>
    </w:p>
    <w:p w14:paraId="721D2811">
      <w:pPr>
        <w:widowControl w:val="0"/>
        <w:autoSpaceDE/>
        <w:autoSpaceDN/>
        <w:adjustRightInd/>
        <w:spacing w:line="360" w:lineRule="auto"/>
        <w:ind w:firstLine="420" w:firstLineChars="0"/>
        <w:jc w:val="both"/>
        <w:outlineLvl w:val="1"/>
        <w:rPr>
          <w:rFonts w:hint="eastAsia" w:ascii="宋体" w:hAnsi="宋体" w:eastAsia="宋体" w:cs="宋体"/>
          <w:b/>
          <w:kern w:val="2"/>
          <w:sz w:val="21"/>
          <w:szCs w:val="21"/>
          <w:highlight w:val="none"/>
          <w:lang w:val="en-US" w:eastAsia="zh-CN" w:bidi="ar-SA"/>
        </w:rPr>
      </w:pPr>
      <w:r>
        <w:rPr>
          <w:rFonts w:hint="eastAsia" w:ascii="宋体" w:hAnsi="宋体" w:eastAsia="宋体" w:cs="宋体"/>
          <w:b/>
          <w:kern w:val="2"/>
          <w:sz w:val="21"/>
          <w:szCs w:val="21"/>
          <w:highlight w:val="none"/>
          <w:lang w:val="en-US" w:eastAsia="zh-CN" w:bidi="ar-SA"/>
        </w:rPr>
        <w:t>五、服务要求</w:t>
      </w:r>
    </w:p>
    <w:p w14:paraId="63144531">
      <w:pPr>
        <w:spacing w:line="360" w:lineRule="auto"/>
        <w:ind w:firstLine="424" w:firstLineChars="202"/>
        <w:contextualSpacing/>
        <w:rPr>
          <w:rFonts w:hint="eastAsia" w:ascii="宋体" w:hAnsi="宋体" w:eastAsia="宋体" w:cs="宋体"/>
          <w:sz w:val="21"/>
          <w:szCs w:val="21"/>
          <w:highlight w:val="none"/>
        </w:rPr>
      </w:pPr>
      <w:r>
        <w:rPr>
          <w:rFonts w:hint="eastAsia" w:ascii="宋体" w:hAnsi="宋体" w:eastAsia="宋体" w:cs="宋体"/>
          <w:sz w:val="21"/>
          <w:szCs w:val="21"/>
          <w:highlight w:val="none"/>
        </w:rPr>
        <w:t>1、在服务期内</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通知的</w:t>
      </w:r>
      <w:r>
        <w:rPr>
          <w:rFonts w:hint="eastAsia" w:ascii="宋体" w:hAnsi="宋体" w:eastAsia="宋体" w:cs="宋体"/>
          <w:sz w:val="21"/>
          <w:szCs w:val="21"/>
          <w:highlight w:val="none"/>
          <w:lang w:val="en-US" w:eastAsia="zh-CN"/>
        </w:rPr>
        <w:t>外运</w:t>
      </w:r>
      <w:r>
        <w:rPr>
          <w:rFonts w:hint="eastAsia" w:ascii="宋体" w:hAnsi="宋体" w:eastAsia="宋体" w:cs="宋体"/>
          <w:sz w:val="21"/>
          <w:szCs w:val="21"/>
          <w:highlight w:val="none"/>
        </w:rPr>
        <w:t>处置期，要求</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实现每天不间断</w:t>
      </w:r>
      <w:r>
        <w:rPr>
          <w:rFonts w:hint="eastAsia" w:ascii="宋体" w:hAnsi="宋体" w:eastAsia="宋体" w:cs="宋体"/>
          <w:sz w:val="21"/>
          <w:szCs w:val="21"/>
          <w:highlight w:val="none"/>
          <w:lang w:val="en-US" w:eastAsia="zh-CN"/>
        </w:rPr>
        <w:t>外运</w:t>
      </w:r>
      <w:r>
        <w:rPr>
          <w:rFonts w:hint="eastAsia" w:ascii="宋体" w:hAnsi="宋体" w:eastAsia="宋体" w:cs="宋体"/>
          <w:sz w:val="21"/>
          <w:szCs w:val="21"/>
          <w:highlight w:val="none"/>
        </w:rPr>
        <w:t>半干化泥粉/污泥等一般固体废物。</w:t>
      </w:r>
    </w:p>
    <w:p w14:paraId="2D7D2B7A">
      <w:pPr>
        <w:spacing w:line="360" w:lineRule="auto"/>
        <w:ind w:firstLine="424" w:firstLineChars="202"/>
        <w:contextualSpacing/>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zCs w:val="21"/>
          <w:highlight w:val="none"/>
        </w:rPr>
        <w:t>★</w:t>
      </w:r>
      <w:r>
        <w:rPr>
          <w:rFonts w:hint="eastAsia" w:ascii="宋体" w:hAnsi="宋体" w:eastAsia="宋体" w:cs="宋体"/>
          <w:b/>
          <w:bCs/>
          <w:sz w:val="21"/>
          <w:szCs w:val="21"/>
          <w:highlight w:val="none"/>
          <w:u w:val="single"/>
          <w:lang w:val="en-US" w:eastAsia="zh-CN"/>
        </w:rPr>
        <w:t>供应商</w:t>
      </w:r>
      <w:r>
        <w:rPr>
          <w:rFonts w:hint="eastAsia" w:ascii="宋体" w:hAnsi="宋体" w:eastAsia="宋体" w:cs="宋体"/>
          <w:b/>
          <w:bCs/>
          <w:sz w:val="21"/>
          <w:szCs w:val="21"/>
          <w:highlight w:val="none"/>
          <w:u w:val="single"/>
        </w:rPr>
        <w:t>接收</w:t>
      </w:r>
      <w:r>
        <w:rPr>
          <w:rFonts w:hint="eastAsia" w:ascii="宋体" w:hAnsi="宋体" w:eastAsia="宋体" w:cs="宋体"/>
          <w:b/>
          <w:bCs/>
          <w:sz w:val="21"/>
          <w:szCs w:val="21"/>
          <w:highlight w:val="none"/>
          <w:u w:val="single"/>
          <w:lang w:val="en-US" w:eastAsia="zh-CN"/>
        </w:rPr>
        <w:t>招标人</w:t>
      </w:r>
      <w:r>
        <w:rPr>
          <w:rFonts w:hint="eastAsia" w:ascii="宋体" w:hAnsi="宋体" w:eastAsia="宋体" w:cs="宋体"/>
          <w:b/>
          <w:bCs/>
          <w:sz w:val="21"/>
          <w:szCs w:val="21"/>
          <w:highlight w:val="none"/>
          <w:u w:val="single"/>
        </w:rPr>
        <w:t>交付的半干化泥粉必须自行依法处置完毕，不得将</w:t>
      </w:r>
      <w:r>
        <w:rPr>
          <w:rFonts w:hint="eastAsia" w:ascii="宋体" w:hAnsi="宋体" w:eastAsia="宋体" w:cs="宋体"/>
          <w:b/>
          <w:bCs/>
          <w:sz w:val="21"/>
          <w:szCs w:val="21"/>
          <w:highlight w:val="none"/>
          <w:u w:val="single"/>
          <w:lang w:val="en-US" w:eastAsia="zh-CN"/>
        </w:rPr>
        <w:t>招标人</w:t>
      </w:r>
      <w:r>
        <w:rPr>
          <w:rFonts w:hint="eastAsia" w:ascii="宋体" w:hAnsi="宋体" w:eastAsia="宋体" w:cs="宋体"/>
          <w:b/>
          <w:bCs/>
          <w:sz w:val="21"/>
          <w:szCs w:val="21"/>
          <w:highlight w:val="none"/>
          <w:u w:val="single"/>
        </w:rPr>
        <w:t>交付的半干化泥粉（或</w:t>
      </w:r>
      <w:r>
        <w:rPr>
          <w:rFonts w:hint="eastAsia" w:ascii="宋体" w:hAnsi="宋体" w:eastAsia="宋体" w:cs="宋体"/>
          <w:b/>
          <w:bCs/>
          <w:sz w:val="21"/>
          <w:szCs w:val="21"/>
          <w:highlight w:val="none"/>
          <w:u w:val="single"/>
          <w:lang w:val="en-US" w:eastAsia="zh-CN"/>
        </w:rPr>
        <w:t>供应商</w:t>
      </w:r>
      <w:r>
        <w:rPr>
          <w:rFonts w:hint="eastAsia" w:ascii="宋体" w:hAnsi="宋体" w:eastAsia="宋体" w:cs="宋体"/>
          <w:b/>
          <w:bCs/>
          <w:sz w:val="21"/>
          <w:szCs w:val="21"/>
          <w:highlight w:val="none"/>
          <w:u w:val="single"/>
        </w:rPr>
        <w:t>处理后的半成品）交由第三方处置，禁止转包</w:t>
      </w:r>
      <w:r>
        <w:rPr>
          <w:rFonts w:hint="eastAsia" w:ascii="宋体" w:hAnsi="宋体" w:eastAsia="宋体" w:cs="宋体"/>
          <w:b/>
          <w:bCs/>
          <w:sz w:val="21"/>
          <w:szCs w:val="21"/>
          <w:highlight w:val="none"/>
          <w:u w:val="single"/>
          <w:lang w:eastAsia="zh-CN"/>
        </w:rPr>
        <w:t>。</w:t>
      </w:r>
      <w:r>
        <w:rPr>
          <w:rFonts w:hint="eastAsia" w:ascii="宋体" w:hAnsi="宋体" w:eastAsia="宋体" w:cs="宋体"/>
          <w:b/>
          <w:bCs/>
          <w:sz w:val="21"/>
          <w:szCs w:val="21"/>
          <w:highlight w:val="none"/>
          <w:u w:val="single"/>
        </w:rPr>
        <w:t>否则，</w:t>
      </w:r>
      <w:r>
        <w:rPr>
          <w:rFonts w:hint="eastAsia" w:ascii="宋体" w:hAnsi="宋体" w:eastAsia="宋体" w:cs="宋体"/>
          <w:b/>
          <w:bCs/>
          <w:sz w:val="21"/>
          <w:szCs w:val="21"/>
          <w:highlight w:val="none"/>
          <w:u w:val="single"/>
          <w:lang w:val="en-US" w:eastAsia="zh-CN"/>
        </w:rPr>
        <w:t>供应商承担相应的违约责任</w:t>
      </w:r>
      <w:r>
        <w:rPr>
          <w:rFonts w:hint="eastAsia" w:ascii="宋体" w:hAnsi="宋体" w:eastAsia="宋体" w:cs="宋体"/>
          <w:sz w:val="21"/>
          <w:szCs w:val="21"/>
          <w:highlight w:val="none"/>
        </w:rPr>
        <w:t>。</w:t>
      </w:r>
    </w:p>
    <w:p w14:paraId="652260B8">
      <w:pPr>
        <w:spacing w:line="360" w:lineRule="auto"/>
        <w:ind w:firstLine="424" w:firstLineChars="202"/>
        <w:contextualSpacing/>
        <w:rPr>
          <w:rFonts w:hint="eastAsia" w:ascii="宋体" w:hAnsi="宋体" w:eastAsia="宋体" w:cs="宋体"/>
          <w:sz w:val="21"/>
          <w:szCs w:val="21"/>
          <w:highlight w:val="none"/>
        </w:rPr>
      </w:pPr>
      <w:r>
        <w:rPr>
          <w:rFonts w:hint="eastAsia" w:ascii="宋体" w:hAnsi="宋体" w:eastAsia="宋体" w:cs="宋体"/>
          <w:sz w:val="21"/>
          <w:szCs w:val="21"/>
          <w:highlight w:val="none"/>
        </w:rPr>
        <w:t>3、经</w:t>
      </w:r>
      <w:r>
        <w:rPr>
          <w:rFonts w:hint="eastAsia" w:ascii="宋体" w:hAnsi="宋体" w:eastAsia="宋体" w:cs="宋体"/>
          <w:sz w:val="21"/>
          <w:szCs w:val="21"/>
          <w:highlight w:val="none"/>
          <w:lang w:val="en-US" w:eastAsia="zh-CN"/>
        </w:rPr>
        <w:t>招标人书面</w:t>
      </w:r>
      <w:r>
        <w:rPr>
          <w:rFonts w:hint="eastAsia" w:ascii="宋体" w:hAnsi="宋体" w:eastAsia="宋体" w:cs="宋体"/>
          <w:sz w:val="21"/>
          <w:szCs w:val="21"/>
          <w:highlight w:val="none"/>
        </w:rPr>
        <w:t>同意</w:t>
      </w:r>
      <w:r>
        <w:rPr>
          <w:rFonts w:hint="eastAsia" w:ascii="宋体" w:hAnsi="宋体" w:eastAsia="宋体" w:cs="宋体"/>
          <w:sz w:val="21"/>
          <w:szCs w:val="21"/>
          <w:highlight w:val="none"/>
          <w:lang w:val="en-US" w:eastAsia="zh-CN"/>
        </w:rPr>
        <w:t>后</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可以将</w:t>
      </w:r>
      <w:r>
        <w:rPr>
          <w:rFonts w:hint="eastAsia" w:ascii="宋体" w:hAnsi="宋体" w:eastAsia="宋体" w:cs="宋体"/>
          <w:sz w:val="21"/>
          <w:szCs w:val="21"/>
          <w:highlight w:val="none"/>
          <w:lang w:val="en-US" w:eastAsia="zh-CN"/>
        </w:rPr>
        <w:t>其</w:t>
      </w:r>
      <w:r>
        <w:rPr>
          <w:rFonts w:hint="eastAsia" w:ascii="宋体" w:hAnsi="宋体" w:eastAsia="宋体" w:cs="宋体"/>
          <w:sz w:val="21"/>
          <w:szCs w:val="21"/>
          <w:highlight w:val="none"/>
        </w:rPr>
        <w:t>不具备对应资质的本项目非主体、非关键性工作</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泥粉运输、</w:t>
      </w:r>
      <w:r>
        <w:rPr>
          <w:rFonts w:hint="eastAsia" w:ascii="宋体" w:hAnsi="宋体" w:eastAsia="宋体" w:cs="宋体"/>
          <w:sz w:val="21"/>
          <w:szCs w:val="21"/>
          <w:highlight w:val="none"/>
        </w:rPr>
        <w:t>泥粉处置后副产品的检测</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分包给具备对应资质的单位实施，签订分包合同，并在分包工作实施前向</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书面说明分包事宜，分包合同签订后向</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提供分包合同、</w:t>
      </w:r>
      <w:r>
        <w:rPr>
          <w:rFonts w:hint="eastAsia" w:ascii="宋体" w:hAnsi="宋体" w:eastAsia="宋体" w:cs="宋体"/>
          <w:sz w:val="21"/>
          <w:szCs w:val="21"/>
          <w:highlight w:val="none"/>
          <w:lang w:val="en-US" w:eastAsia="zh-CN"/>
        </w:rPr>
        <w:t>分包单位营业执照、分包单位</w:t>
      </w:r>
      <w:r>
        <w:rPr>
          <w:rFonts w:hint="eastAsia" w:ascii="宋体" w:hAnsi="宋体" w:eastAsia="宋体" w:cs="宋体"/>
          <w:sz w:val="21"/>
          <w:szCs w:val="21"/>
          <w:highlight w:val="none"/>
        </w:rPr>
        <w:t>资质</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道路运输经营许可证或检验检测机构资质认定证书</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、运输车辆及司机资料</w:t>
      </w:r>
      <w:r>
        <w:rPr>
          <w:rFonts w:hint="eastAsia" w:ascii="宋体" w:hAnsi="宋体" w:eastAsia="宋体" w:cs="宋体"/>
          <w:sz w:val="21"/>
          <w:szCs w:val="21"/>
          <w:highlight w:val="none"/>
        </w:rPr>
        <w:t>等备案材料，供应商负责分包单位的管理、材料及成果的接收，</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对分包单位的安全、工作质量负责。</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根据</w:t>
      </w:r>
      <w:r>
        <w:rPr>
          <w:rFonts w:hint="eastAsia" w:ascii="宋体" w:hAnsi="宋体" w:eastAsia="宋体" w:cs="宋体"/>
          <w:sz w:val="21"/>
          <w:szCs w:val="21"/>
          <w:highlight w:val="none"/>
          <w:lang w:val="en-US" w:eastAsia="zh-CN"/>
        </w:rPr>
        <w:t>入库</w:t>
      </w:r>
      <w:r>
        <w:rPr>
          <w:rFonts w:hint="eastAsia" w:ascii="宋体" w:hAnsi="宋体" w:eastAsia="宋体" w:cs="宋体"/>
          <w:sz w:val="21"/>
          <w:szCs w:val="21"/>
          <w:highlight w:val="none"/>
        </w:rPr>
        <w:t>合同的约定对</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负责，分包单位按照分包合同的约定对</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负责。</w:t>
      </w:r>
    </w:p>
    <w:p w14:paraId="58B13465">
      <w:pPr>
        <w:spacing w:line="360" w:lineRule="auto"/>
        <w:ind w:firstLine="424" w:firstLineChars="202"/>
        <w:contextualSpacing/>
        <w:rPr>
          <w:rFonts w:hint="eastAsia" w:ascii="宋体" w:hAnsi="宋体" w:eastAsia="宋体" w:cs="宋体"/>
          <w:sz w:val="21"/>
          <w:szCs w:val="21"/>
          <w:highlight w:val="none"/>
        </w:rPr>
      </w:pPr>
      <w:r>
        <w:rPr>
          <w:rFonts w:hint="eastAsia" w:ascii="宋体" w:hAnsi="宋体" w:eastAsia="宋体" w:cs="宋体"/>
          <w:sz w:val="21"/>
          <w:szCs w:val="21"/>
          <w:highlight w:val="none"/>
        </w:rPr>
        <w:t>4、供应商在合同的履行期间，应当保持相应资质的持续有效性，具备主管部门对泥粉/污泥处置单位的要求条件和企业生产经营许可的相关资质要求。</w:t>
      </w:r>
    </w:p>
    <w:p w14:paraId="214A4A6A">
      <w:pPr>
        <w:keepNext w:val="0"/>
        <w:keepLines w:val="0"/>
        <w:pageBreakBefore w:val="0"/>
        <w:tabs>
          <w:tab w:val="left" w:pos="9030"/>
        </w:tabs>
        <w:kinsoku/>
        <w:wordWrap/>
        <w:overflowPunct/>
        <w:topLinePunct w:val="0"/>
        <w:bidi w:val="0"/>
        <w:snapToGrid/>
        <w:spacing w:line="360" w:lineRule="auto"/>
        <w:ind w:right="40"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5、★</w:t>
      </w:r>
      <w:r>
        <w:rPr>
          <w:rFonts w:hint="eastAsia" w:ascii="宋体" w:hAnsi="宋体" w:eastAsia="宋体" w:cs="宋体"/>
          <w:b/>
          <w:bCs/>
          <w:sz w:val="21"/>
          <w:szCs w:val="21"/>
          <w:highlight w:val="none"/>
          <w:u w:val="single"/>
          <w:lang w:val="en-US" w:eastAsia="zh-CN"/>
        </w:rPr>
        <w:t>供应商</w:t>
      </w:r>
      <w:r>
        <w:rPr>
          <w:rFonts w:hint="eastAsia" w:ascii="宋体" w:hAnsi="宋体" w:eastAsia="宋体" w:cs="宋体"/>
          <w:b/>
          <w:bCs/>
          <w:sz w:val="21"/>
          <w:szCs w:val="21"/>
          <w:highlight w:val="none"/>
          <w:u w:val="single"/>
        </w:rPr>
        <w:t>应在接到</w:t>
      </w:r>
      <w:r>
        <w:rPr>
          <w:rFonts w:hint="eastAsia" w:ascii="宋体" w:hAnsi="宋体" w:eastAsia="宋体" w:cs="宋体"/>
          <w:b/>
          <w:bCs/>
          <w:sz w:val="21"/>
          <w:szCs w:val="21"/>
          <w:highlight w:val="none"/>
          <w:u w:val="single"/>
          <w:lang w:val="en-US" w:eastAsia="zh-CN"/>
        </w:rPr>
        <w:t>招标人外运</w:t>
      </w:r>
      <w:r>
        <w:rPr>
          <w:rFonts w:hint="eastAsia" w:ascii="宋体" w:hAnsi="宋体" w:eastAsia="宋体" w:cs="宋体"/>
          <w:b/>
          <w:bCs/>
          <w:sz w:val="21"/>
          <w:szCs w:val="21"/>
          <w:highlight w:val="none"/>
          <w:u w:val="single"/>
        </w:rPr>
        <w:t>转移</w:t>
      </w:r>
      <w:r>
        <w:rPr>
          <w:rFonts w:hint="eastAsia" w:ascii="宋体" w:hAnsi="宋体" w:eastAsia="宋体" w:cs="宋体"/>
          <w:b/>
          <w:bCs/>
          <w:sz w:val="21"/>
          <w:szCs w:val="21"/>
          <w:highlight w:val="none"/>
          <w:u w:val="single"/>
          <w:lang w:val="en-US" w:eastAsia="zh-CN"/>
        </w:rPr>
        <w:t>泥粉</w:t>
      </w:r>
      <w:r>
        <w:rPr>
          <w:rFonts w:hint="eastAsia" w:ascii="宋体" w:hAnsi="宋体" w:eastAsia="宋体" w:cs="宋体"/>
          <w:b/>
          <w:bCs/>
          <w:sz w:val="21"/>
          <w:szCs w:val="21"/>
          <w:highlight w:val="none"/>
          <w:u w:val="single"/>
        </w:rPr>
        <w:t>通知之日起，</w:t>
      </w:r>
      <w:r>
        <w:rPr>
          <w:rFonts w:hint="eastAsia" w:ascii="宋体" w:hAnsi="宋体" w:eastAsia="宋体" w:cs="宋体"/>
          <w:b/>
          <w:bCs/>
          <w:sz w:val="21"/>
          <w:szCs w:val="21"/>
          <w:highlight w:val="none"/>
          <w:u w:val="single"/>
          <w:lang w:val="en-US" w:eastAsia="zh-CN"/>
        </w:rPr>
        <w:t>2</w:t>
      </w:r>
      <w:r>
        <w:rPr>
          <w:rFonts w:hint="eastAsia" w:ascii="宋体" w:hAnsi="宋体" w:eastAsia="宋体" w:cs="宋体"/>
          <w:b/>
          <w:bCs/>
          <w:sz w:val="21"/>
          <w:szCs w:val="21"/>
          <w:highlight w:val="none"/>
          <w:u w:val="single"/>
        </w:rPr>
        <w:t>日内按</w:t>
      </w:r>
      <w:r>
        <w:rPr>
          <w:rFonts w:hint="eastAsia" w:ascii="宋体" w:hAnsi="宋体" w:eastAsia="宋体" w:cs="宋体"/>
          <w:b/>
          <w:bCs/>
          <w:sz w:val="21"/>
          <w:szCs w:val="21"/>
          <w:highlight w:val="none"/>
          <w:u w:val="single"/>
          <w:lang w:val="en-US" w:eastAsia="zh-CN"/>
        </w:rPr>
        <w:t>招标人</w:t>
      </w:r>
      <w:r>
        <w:rPr>
          <w:rFonts w:hint="eastAsia" w:ascii="宋体" w:hAnsi="宋体" w:eastAsia="宋体" w:cs="宋体"/>
          <w:b/>
          <w:bCs/>
          <w:sz w:val="21"/>
          <w:szCs w:val="21"/>
          <w:highlight w:val="none"/>
          <w:u w:val="single"/>
        </w:rPr>
        <w:t>要求的运力实施</w:t>
      </w:r>
      <w:r>
        <w:rPr>
          <w:rFonts w:hint="eastAsia" w:ascii="宋体" w:hAnsi="宋体" w:eastAsia="宋体" w:cs="宋体"/>
          <w:b/>
          <w:bCs/>
          <w:sz w:val="21"/>
          <w:szCs w:val="21"/>
          <w:highlight w:val="none"/>
          <w:u w:val="single"/>
          <w:lang w:val="en-US" w:eastAsia="zh-CN"/>
        </w:rPr>
        <w:t>泥粉</w:t>
      </w:r>
      <w:r>
        <w:rPr>
          <w:rFonts w:hint="eastAsia" w:ascii="宋体" w:hAnsi="宋体" w:eastAsia="宋体" w:cs="宋体"/>
          <w:b/>
          <w:bCs/>
          <w:sz w:val="21"/>
          <w:szCs w:val="21"/>
          <w:highlight w:val="none"/>
          <w:u w:val="single"/>
        </w:rPr>
        <w:t>转移和处置。</w:t>
      </w:r>
      <w:r>
        <w:rPr>
          <w:rFonts w:hint="eastAsia" w:ascii="宋体" w:hAnsi="宋体" w:eastAsia="宋体" w:cs="宋体"/>
          <w:b/>
          <w:bCs/>
          <w:sz w:val="21"/>
          <w:szCs w:val="21"/>
          <w:highlight w:val="none"/>
          <w:u w:val="single"/>
          <w:lang w:val="en-US" w:eastAsia="zh-CN"/>
        </w:rPr>
        <w:t>供应商</w:t>
      </w:r>
      <w:r>
        <w:rPr>
          <w:rFonts w:hint="eastAsia" w:ascii="宋体" w:hAnsi="宋体" w:eastAsia="宋体" w:cs="宋体"/>
          <w:b/>
          <w:bCs/>
          <w:sz w:val="21"/>
          <w:szCs w:val="21"/>
          <w:highlight w:val="none"/>
          <w:u w:val="single"/>
        </w:rPr>
        <w:t>如因计划检修、设备保养等，不能接收</w:t>
      </w:r>
      <w:r>
        <w:rPr>
          <w:rFonts w:hint="eastAsia" w:ascii="宋体" w:hAnsi="宋体" w:eastAsia="宋体" w:cs="宋体"/>
          <w:b/>
          <w:bCs/>
          <w:sz w:val="21"/>
          <w:szCs w:val="21"/>
          <w:highlight w:val="none"/>
          <w:u w:val="single"/>
          <w:lang w:val="en-US" w:eastAsia="zh-CN"/>
        </w:rPr>
        <w:t>招标人泥粉</w:t>
      </w:r>
      <w:r>
        <w:rPr>
          <w:rFonts w:hint="eastAsia" w:ascii="宋体" w:hAnsi="宋体" w:eastAsia="宋体" w:cs="宋体"/>
          <w:b/>
          <w:bCs/>
          <w:sz w:val="21"/>
          <w:szCs w:val="21"/>
          <w:highlight w:val="none"/>
          <w:u w:val="single"/>
        </w:rPr>
        <w:t>的，应当提前三天告知</w:t>
      </w:r>
      <w:r>
        <w:rPr>
          <w:rFonts w:hint="eastAsia" w:ascii="宋体" w:hAnsi="宋体" w:eastAsia="宋体" w:cs="宋体"/>
          <w:b/>
          <w:bCs/>
          <w:sz w:val="21"/>
          <w:szCs w:val="21"/>
          <w:highlight w:val="none"/>
          <w:u w:val="single"/>
          <w:lang w:val="en-US" w:eastAsia="zh-CN"/>
        </w:rPr>
        <w:t>招标人</w:t>
      </w:r>
      <w:r>
        <w:rPr>
          <w:rFonts w:hint="eastAsia" w:ascii="宋体" w:hAnsi="宋体" w:eastAsia="宋体" w:cs="宋体"/>
          <w:b/>
          <w:bCs/>
          <w:sz w:val="21"/>
          <w:szCs w:val="21"/>
          <w:highlight w:val="none"/>
          <w:u w:val="single"/>
        </w:rPr>
        <w:t>，不可抗力除外。</w:t>
      </w:r>
      <w:r>
        <w:rPr>
          <w:rFonts w:hint="eastAsia" w:ascii="宋体" w:hAnsi="宋体" w:eastAsia="宋体" w:cs="宋体"/>
          <w:b/>
          <w:bCs/>
          <w:sz w:val="21"/>
          <w:szCs w:val="21"/>
          <w:highlight w:val="none"/>
          <w:u w:val="single"/>
          <w:lang w:val="en-US" w:eastAsia="zh-CN"/>
        </w:rPr>
        <w:t>供应商获得单项项目服务资格后，经招标人通知后拒不向招标人提供泥粉运输、处置服务的，</w:t>
      </w:r>
      <w:r>
        <w:rPr>
          <w:rFonts w:hint="eastAsia" w:ascii="宋体" w:hAnsi="宋体" w:eastAsia="宋体" w:cs="宋体"/>
          <w:b/>
          <w:bCs/>
          <w:sz w:val="21"/>
          <w:szCs w:val="21"/>
          <w:highlight w:val="none"/>
          <w:u w:val="single"/>
        </w:rPr>
        <w:t>每延误一天，</w:t>
      </w:r>
      <w:r>
        <w:rPr>
          <w:rFonts w:hint="eastAsia" w:ascii="宋体" w:hAnsi="宋体" w:eastAsia="宋体" w:cs="宋体"/>
          <w:b/>
          <w:bCs/>
          <w:sz w:val="21"/>
          <w:szCs w:val="21"/>
          <w:highlight w:val="none"/>
          <w:u w:val="single"/>
          <w:lang w:val="en-US" w:eastAsia="zh-CN"/>
        </w:rPr>
        <w:t>招标人</w:t>
      </w:r>
      <w:r>
        <w:rPr>
          <w:rFonts w:hint="eastAsia" w:ascii="宋体" w:hAnsi="宋体" w:eastAsia="宋体" w:cs="宋体"/>
          <w:b/>
          <w:bCs/>
          <w:sz w:val="21"/>
          <w:szCs w:val="21"/>
          <w:highlight w:val="none"/>
          <w:u w:val="single"/>
        </w:rPr>
        <w:t>有权要求</w:t>
      </w:r>
      <w:r>
        <w:rPr>
          <w:rFonts w:hint="eastAsia" w:ascii="宋体" w:hAnsi="宋体" w:eastAsia="宋体" w:cs="宋体"/>
          <w:b/>
          <w:bCs/>
          <w:sz w:val="21"/>
          <w:szCs w:val="21"/>
          <w:highlight w:val="none"/>
          <w:u w:val="single"/>
          <w:lang w:val="en-US" w:eastAsia="zh-CN"/>
        </w:rPr>
        <w:t>供应商</w:t>
      </w:r>
      <w:r>
        <w:rPr>
          <w:rFonts w:hint="eastAsia" w:ascii="宋体" w:hAnsi="宋体" w:eastAsia="宋体" w:cs="宋体"/>
          <w:b/>
          <w:bCs/>
          <w:sz w:val="21"/>
          <w:szCs w:val="21"/>
          <w:highlight w:val="none"/>
          <w:u w:val="single"/>
        </w:rPr>
        <w:t>根据单项合同约定支付违约金</w:t>
      </w:r>
      <w:r>
        <w:rPr>
          <w:rFonts w:hint="eastAsia" w:hAnsi="宋体" w:cs="宋体"/>
          <w:b/>
          <w:bCs/>
          <w:sz w:val="21"/>
          <w:szCs w:val="21"/>
          <w:highlight w:val="none"/>
          <w:u w:val="single"/>
          <w:lang w:eastAsia="zh-CN"/>
        </w:rPr>
        <w:t>，</w:t>
      </w:r>
      <w:r>
        <w:rPr>
          <w:rFonts w:hint="eastAsia" w:ascii="宋体" w:hAnsi="宋体" w:eastAsia="宋体" w:cs="宋体"/>
          <w:b/>
          <w:bCs/>
          <w:color w:val="000000" w:themeColor="text1"/>
          <w:sz w:val="21"/>
          <w:szCs w:val="21"/>
          <w:highlight w:val="none"/>
          <w:u w:val="single"/>
          <w:lang w:val="en-US" w:eastAsia="zh-CN"/>
          <w14:textFill>
            <w14:solidFill>
              <w14:schemeClr w14:val="tx1"/>
            </w14:solidFill>
          </w14:textFill>
        </w:rPr>
        <w:t>同时招标人有权另行委托处置服务库内供应商或其他第三方进行外运、处置</w:t>
      </w:r>
      <w:r>
        <w:rPr>
          <w:rFonts w:hint="eastAsia" w:ascii="宋体" w:hAnsi="宋体" w:eastAsia="宋体" w:cs="宋体"/>
          <w:b/>
          <w:bCs/>
          <w:sz w:val="21"/>
          <w:szCs w:val="21"/>
          <w:highlight w:val="none"/>
          <w:u w:val="single"/>
        </w:rPr>
        <w:t>，并有权要求</w:t>
      </w:r>
      <w:r>
        <w:rPr>
          <w:rFonts w:hint="eastAsia" w:ascii="宋体" w:hAnsi="宋体" w:eastAsia="宋体" w:cs="宋体"/>
          <w:b/>
          <w:bCs/>
          <w:sz w:val="21"/>
          <w:szCs w:val="21"/>
          <w:highlight w:val="none"/>
          <w:u w:val="single"/>
          <w:lang w:val="en-US" w:eastAsia="zh-CN"/>
        </w:rPr>
        <w:t>供应商</w:t>
      </w:r>
      <w:r>
        <w:rPr>
          <w:rFonts w:hint="eastAsia" w:ascii="宋体" w:hAnsi="宋体" w:eastAsia="宋体" w:cs="宋体"/>
          <w:b/>
          <w:bCs/>
          <w:sz w:val="21"/>
          <w:szCs w:val="21"/>
          <w:highlight w:val="none"/>
          <w:u w:val="single"/>
        </w:rPr>
        <w:t>根据</w:t>
      </w:r>
      <w:r>
        <w:rPr>
          <w:rFonts w:hint="eastAsia" w:ascii="宋体" w:hAnsi="宋体" w:eastAsia="宋体" w:cs="宋体"/>
          <w:b/>
          <w:bCs/>
          <w:sz w:val="21"/>
          <w:szCs w:val="21"/>
          <w:highlight w:val="none"/>
          <w:u w:val="single"/>
          <w:lang w:val="en-US" w:eastAsia="zh-CN"/>
        </w:rPr>
        <w:t>单项</w:t>
      </w:r>
      <w:r>
        <w:rPr>
          <w:rFonts w:hint="eastAsia" w:ascii="宋体" w:hAnsi="宋体" w:eastAsia="宋体" w:cs="宋体"/>
          <w:b/>
          <w:bCs/>
          <w:sz w:val="21"/>
          <w:szCs w:val="21"/>
          <w:highlight w:val="none"/>
          <w:u w:val="single"/>
        </w:rPr>
        <w:t>合同约定支付违约金</w:t>
      </w:r>
      <w:r>
        <w:rPr>
          <w:rFonts w:hint="eastAsia" w:ascii="宋体" w:hAnsi="宋体" w:eastAsia="宋体" w:cs="宋体"/>
          <w:b/>
          <w:bCs/>
          <w:sz w:val="21"/>
          <w:szCs w:val="21"/>
          <w:highlight w:val="none"/>
          <w:u w:val="single"/>
          <w:lang w:eastAsia="zh-CN"/>
        </w:rPr>
        <w:t>。</w:t>
      </w:r>
    </w:p>
    <w:p w14:paraId="429B5599">
      <w:pPr>
        <w:spacing w:line="360" w:lineRule="auto"/>
        <w:ind w:firstLine="424" w:firstLineChars="202"/>
        <w:contextualSpacing/>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w:t>
      </w:r>
      <w:r>
        <w:rPr>
          <w:rFonts w:hint="eastAsia" w:ascii="宋体" w:hAnsi="宋体" w:eastAsia="宋体" w:cs="宋体"/>
          <w:b/>
          <w:bCs/>
          <w:sz w:val="21"/>
          <w:szCs w:val="21"/>
          <w:highlight w:val="none"/>
          <w:u w:val="single"/>
          <w:lang w:val="en-US" w:eastAsia="zh-CN"/>
        </w:rPr>
        <w:t>供应商</w:t>
      </w:r>
      <w:r>
        <w:rPr>
          <w:rFonts w:hint="eastAsia" w:ascii="宋体" w:hAnsi="宋体" w:eastAsia="宋体" w:cs="宋体"/>
          <w:b/>
          <w:bCs/>
          <w:sz w:val="21"/>
          <w:szCs w:val="21"/>
          <w:highlight w:val="none"/>
          <w:u w:val="single"/>
          <w:lang w:eastAsia="zh-CN"/>
        </w:rPr>
        <w:t>泥粉/污泥</w:t>
      </w:r>
      <w:r>
        <w:rPr>
          <w:rFonts w:hint="eastAsia" w:ascii="宋体" w:hAnsi="宋体" w:eastAsia="宋体" w:cs="宋体"/>
          <w:b/>
          <w:bCs/>
          <w:sz w:val="21"/>
          <w:szCs w:val="21"/>
          <w:highlight w:val="none"/>
          <w:u w:val="single"/>
        </w:rPr>
        <w:t>的处置方式必须合法合规，确保未采用国家禁止、淘汰的工艺技术或方法，并体现“减量化、稳定化、无害化、资源化”的原则，在坚持“安全、环保”的原则下，实现污泥的综合利用，回收和利用</w:t>
      </w:r>
      <w:r>
        <w:rPr>
          <w:rFonts w:hint="eastAsia" w:ascii="宋体" w:hAnsi="宋体" w:eastAsia="宋体" w:cs="宋体"/>
          <w:b/>
          <w:bCs/>
          <w:sz w:val="21"/>
          <w:szCs w:val="21"/>
          <w:highlight w:val="none"/>
          <w:u w:val="single"/>
          <w:lang w:eastAsia="zh-CN"/>
        </w:rPr>
        <w:t>泥粉/污泥</w:t>
      </w:r>
      <w:r>
        <w:rPr>
          <w:rFonts w:hint="eastAsia" w:ascii="宋体" w:hAnsi="宋体" w:eastAsia="宋体" w:cs="宋体"/>
          <w:b/>
          <w:bCs/>
          <w:sz w:val="21"/>
          <w:szCs w:val="21"/>
          <w:highlight w:val="none"/>
          <w:u w:val="single"/>
        </w:rPr>
        <w:t>的能源和物质。污水处理厂半干化泥粉项目不接受填埋、</w:t>
      </w:r>
      <w:r>
        <w:rPr>
          <w:rFonts w:hint="eastAsia" w:ascii="宋体" w:hAnsi="宋体" w:eastAsia="宋体" w:cs="宋体"/>
          <w:b/>
          <w:bCs/>
          <w:sz w:val="21"/>
          <w:szCs w:val="21"/>
          <w:highlight w:val="none"/>
          <w:u w:val="single"/>
          <w:lang w:val="en-US" w:eastAsia="zh-CN"/>
        </w:rPr>
        <w:t>污泥</w:t>
      </w:r>
      <w:r>
        <w:rPr>
          <w:rFonts w:hint="eastAsia" w:ascii="宋体" w:hAnsi="宋体" w:eastAsia="宋体" w:cs="宋体"/>
          <w:b/>
          <w:bCs/>
          <w:sz w:val="21"/>
          <w:szCs w:val="21"/>
          <w:highlight w:val="none"/>
          <w:u w:val="single"/>
        </w:rPr>
        <w:t>未经高温处理</w:t>
      </w:r>
      <w:r>
        <w:rPr>
          <w:rFonts w:hint="eastAsia" w:ascii="宋体" w:hAnsi="宋体" w:eastAsia="宋体" w:cs="宋体"/>
          <w:b/>
          <w:bCs/>
          <w:sz w:val="21"/>
          <w:szCs w:val="21"/>
          <w:highlight w:val="none"/>
          <w:u w:val="single"/>
          <w:lang w:val="en-US" w:eastAsia="zh-CN"/>
        </w:rPr>
        <w:t>的</w:t>
      </w:r>
      <w:r>
        <w:rPr>
          <w:rFonts w:hint="eastAsia" w:ascii="宋体" w:hAnsi="宋体" w:eastAsia="宋体" w:cs="宋体"/>
          <w:b/>
          <w:bCs/>
          <w:sz w:val="21"/>
          <w:szCs w:val="21"/>
          <w:highlight w:val="none"/>
          <w:u w:val="single"/>
        </w:rPr>
        <w:t>建材利用类和土地利用（肥料生产制造）类的处置方式</w:t>
      </w:r>
      <w:r>
        <w:rPr>
          <w:rFonts w:hint="eastAsia" w:ascii="宋体" w:hAnsi="宋体" w:eastAsia="宋体" w:cs="宋体"/>
          <w:b/>
          <w:bCs/>
          <w:sz w:val="21"/>
          <w:szCs w:val="21"/>
          <w:highlight w:val="none"/>
          <w:u w:val="single"/>
          <w:lang w:eastAsia="zh-CN"/>
        </w:rPr>
        <w:t>。</w:t>
      </w:r>
      <w:r>
        <w:rPr>
          <w:rFonts w:hint="eastAsia" w:ascii="宋体" w:hAnsi="宋体" w:eastAsia="宋体" w:cs="宋体"/>
          <w:b/>
          <w:bCs/>
          <w:sz w:val="21"/>
          <w:szCs w:val="21"/>
          <w:highlight w:val="none"/>
          <w:u w:val="single"/>
          <w:lang w:val="en-US" w:eastAsia="zh-CN"/>
        </w:rPr>
        <w:t>当供应商泥粉/污泥处置场所生产的产品为燃料棒、生物质颗粒等未经高温焚烧处理的，投标时需提供产品作为电厂燃料进行高温焚烧处理的服务合同</w:t>
      </w:r>
      <w:r>
        <w:rPr>
          <w:rFonts w:hint="eastAsia" w:ascii="宋体" w:hAnsi="宋体" w:eastAsia="宋体" w:cs="宋体"/>
          <w:sz w:val="21"/>
          <w:szCs w:val="21"/>
          <w:highlight w:val="none"/>
        </w:rPr>
        <w:t>。</w:t>
      </w:r>
    </w:p>
    <w:p w14:paraId="468AC044">
      <w:pPr>
        <w:widowControl/>
        <w:autoSpaceDE/>
        <w:autoSpaceDN/>
        <w:adjustRightInd/>
        <w:spacing w:line="360" w:lineRule="auto"/>
        <w:ind w:firstLine="420"/>
        <w:jc w:val="both"/>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7、供应商应当采取有效的职业卫生防护措施，为从事半干化泥粉运输、处置的工作人员和管理人员，配备必要的防护用品。</w:t>
      </w:r>
    </w:p>
    <w:p w14:paraId="2533F803">
      <w:pPr>
        <w:widowControl/>
        <w:autoSpaceDE/>
        <w:autoSpaceDN/>
        <w:adjustRightInd/>
        <w:spacing w:line="360" w:lineRule="auto"/>
        <w:ind w:firstLine="420"/>
        <w:jc w:val="both"/>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8、供应商必须制定与半干化泥粉处置有关的规章制度和发生意外事故时的应急预案，并向招标人报备。发生半干化泥粉流失、泄漏、扩散时，供应商应当立即采取紧急处理措施，并及时向生态环境主管部门报告，</w:t>
      </w:r>
      <w:r>
        <w:rPr>
          <w:rFonts w:hint="eastAsia" w:ascii="宋体" w:hAnsi="宋体" w:eastAsia="宋体" w:cs="宋体"/>
          <w:color w:val="000000"/>
          <w:kern w:val="2"/>
          <w:sz w:val="21"/>
          <w:szCs w:val="21"/>
          <w:highlight w:val="none"/>
          <w:lang w:val="en-US" w:eastAsia="zh-CN" w:bidi="ar-SA"/>
        </w:rPr>
        <w:t>同步向招标人报告</w:t>
      </w:r>
      <w:r>
        <w:rPr>
          <w:rFonts w:hint="eastAsia" w:ascii="宋体" w:hAnsi="宋体" w:eastAsia="宋体" w:cs="宋体"/>
          <w:sz w:val="21"/>
          <w:szCs w:val="21"/>
          <w:highlight w:val="none"/>
          <w:lang w:val="en-US" w:eastAsia="zh-CN" w:bidi="ar-SA"/>
        </w:rPr>
        <w:t>。</w:t>
      </w:r>
    </w:p>
    <w:p w14:paraId="0C6BA284">
      <w:pPr>
        <w:widowControl/>
        <w:autoSpaceDE/>
        <w:autoSpaceDN/>
        <w:adjustRightInd/>
        <w:spacing w:line="360" w:lineRule="auto"/>
        <w:ind w:firstLine="420"/>
        <w:jc w:val="both"/>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9、如因供应商安全生产设备、措施、操作规程、环保设备设施、劳动保护条件等不符合规范要求或标准，导致安全生产事故/造成人身损害或财产损失的，由供应商自行承担全部责任和后果，如因此给招标人造成损失由供应商承担。</w:t>
      </w:r>
    </w:p>
    <w:p w14:paraId="5D175997">
      <w:pPr>
        <w:widowControl/>
        <w:autoSpaceDE/>
        <w:autoSpaceDN/>
        <w:adjustRightInd/>
        <w:spacing w:line="360" w:lineRule="auto"/>
        <w:ind w:firstLine="420"/>
        <w:jc w:val="both"/>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10、供应商必须确保在运输、处置招标人的半干化泥粉时，供应商实际处置的半干化泥粉量没有超出实际可处理能力范围。</w:t>
      </w:r>
    </w:p>
    <w:p w14:paraId="02DA0528">
      <w:pPr>
        <w:widowControl/>
        <w:autoSpaceDE/>
        <w:autoSpaceDN/>
        <w:adjustRightInd/>
        <w:spacing w:line="360" w:lineRule="auto"/>
        <w:ind w:firstLine="420"/>
        <w:jc w:val="both"/>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11、供应商必须对半干化泥粉运输和处置情况进行登记建立台账信息，同时应按照招标人要求在处置场所进出口、污泥接收储存仓、污泥处置投料口处安装监控视频，并定期通过移交监控储存移动硬盘等方式，将监控视频资料移交给招标人。运输和处置等相关台账信息资料保存时间为至少5年，监控视频资料保存时间至少</w:t>
      </w:r>
      <w:r>
        <w:rPr>
          <w:rFonts w:hint="default" w:ascii="宋体" w:hAnsi="宋体" w:eastAsia="宋体" w:cs="宋体"/>
          <w:sz w:val="21"/>
          <w:szCs w:val="21"/>
          <w:highlight w:val="none"/>
          <w:lang w:val="en-US" w:eastAsia="zh-CN" w:bidi="ar-SA"/>
        </w:rPr>
        <w:t>3个月</w:t>
      </w:r>
      <w:r>
        <w:rPr>
          <w:rFonts w:hint="eastAsia" w:ascii="宋体" w:hAnsi="宋体" w:eastAsia="宋体" w:cs="宋体"/>
          <w:sz w:val="21"/>
          <w:szCs w:val="21"/>
          <w:highlight w:val="none"/>
          <w:lang w:val="en-US" w:eastAsia="zh-CN" w:bidi="ar-SA"/>
        </w:rPr>
        <w:t>。</w:t>
      </w:r>
    </w:p>
    <w:p w14:paraId="1FC731F8">
      <w:pPr>
        <w:widowControl/>
        <w:autoSpaceDE/>
        <w:autoSpaceDN/>
        <w:adjustRightInd/>
        <w:spacing w:line="360" w:lineRule="auto"/>
        <w:ind w:firstLine="420"/>
        <w:jc w:val="both"/>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12、供应商在提供合同服务过程中，如存在运输、处置等违法行为的，由此造成的后果由供应商全部承担。如造成招标人受到行政处罚的，由此导致的经济损失由供应商承担赔偿责任。</w:t>
      </w:r>
    </w:p>
    <w:p w14:paraId="7B77B2F0">
      <w:pPr>
        <w:widowControl/>
        <w:autoSpaceDE/>
        <w:autoSpaceDN/>
        <w:adjustRightInd/>
        <w:spacing w:line="360" w:lineRule="auto"/>
        <w:ind w:firstLine="420"/>
        <w:jc w:val="both"/>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13、</w:t>
      </w:r>
      <w:r>
        <w:rPr>
          <w:rFonts w:hint="eastAsia" w:ascii="宋体" w:hAnsi="宋体" w:eastAsia="宋体" w:cs="宋体"/>
          <w:b/>
          <w:bCs/>
          <w:sz w:val="21"/>
          <w:szCs w:val="21"/>
          <w:highlight w:val="none"/>
          <w:u w:val="single"/>
          <w:lang w:val="en-US" w:eastAsia="zh-CN" w:bidi="ar-SA"/>
        </w:rPr>
        <w:t>★供应商按每月/次的频次，根据初次核对确认的泥粉外运数量和资料填报要求，向招标人提交经供应商（对运输进行分包的，含分包的运输单位）盖章确认的《生活污水处理厂污泥转移联单》、磅单、（供应商）《月度半干化污泥（泥粉）外运签证表》（含电子文档）、《泥粉接收台账》（含电子文档）等资料。招标人对接收的资料复核后，发现资料有误的，供应商必须在3日内按要求重新提交。招标人将复核后的资料送污泥（泥粉）产生单位盖章确认，经供应商、污泥（泥粉）产生单位、招标人共同签字/盖章确认后，确定该批次半干化泥粉实际转移数量，并由招标人交东莞市生态环境主管部门留存备查。</w:t>
      </w:r>
    </w:p>
    <w:p w14:paraId="1D076E06">
      <w:pPr>
        <w:widowControl/>
        <w:autoSpaceDE/>
        <w:autoSpaceDN/>
        <w:adjustRightInd/>
        <w:spacing w:line="360" w:lineRule="auto"/>
        <w:ind w:firstLine="420"/>
        <w:jc w:val="both"/>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14、本项目不具排他性，招标人对合同范围内的具体服务分配享有自主选择的权利。根据项目的实际需要，招标人具有将项目合同项下的泥粉/污泥等一般固体废物委托其他有资质的第三方处置的权利。</w:t>
      </w:r>
    </w:p>
    <w:p w14:paraId="66FCB537">
      <w:pPr>
        <w:widowControl/>
        <w:autoSpaceDE/>
        <w:autoSpaceDN/>
        <w:adjustRightInd/>
        <w:spacing w:line="360" w:lineRule="auto"/>
        <w:ind w:firstLine="420"/>
        <w:jc w:val="both"/>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15、招标人将根据成本控制、生产运营需求情况，以及供应商库内供应商的实际处置能力波动情况（包括若</w:t>
      </w:r>
      <w:r>
        <w:rPr>
          <w:rFonts w:hint="eastAsia" w:ascii="宋体" w:hAnsi="宋体" w:eastAsia="宋体" w:cs="宋体"/>
          <w:szCs w:val="21"/>
          <w:highlight w:val="none"/>
        </w:rPr>
        <w:t>供应商库内</w:t>
      </w:r>
      <w:r>
        <w:rPr>
          <w:rFonts w:hint="eastAsia" w:ascii="宋体" w:hAnsi="宋体" w:eastAsia="宋体" w:cs="宋体"/>
          <w:sz w:val="21"/>
          <w:szCs w:val="21"/>
          <w:highlight w:val="none"/>
          <w:lang w:val="en-US" w:eastAsia="zh-CN" w:bidi="ar-SA"/>
        </w:rPr>
        <w:t>部分供应商资格被取消或因供应商处置量不满足招标人需求等原因造成服务单位数量不能满足正常工作需求等），补充符合资格条件的服务单位进入供应商库参与外运处置量的分配，以保证外运资源化处置能力满足项目的正常需求和成本控制的需求。</w:t>
      </w:r>
    </w:p>
    <w:p w14:paraId="6B180792">
      <w:pPr>
        <w:widowControl/>
        <w:autoSpaceDE/>
        <w:autoSpaceDN/>
        <w:adjustRightInd/>
        <w:spacing w:line="360" w:lineRule="auto"/>
        <w:ind w:firstLine="420"/>
        <w:jc w:val="both"/>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16、供应商承诺入库后，将严格遵守招标人（或招标人上级单位）提出或调整的日常管理制度或相关管理要求。</w:t>
      </w:r>
    </w:p>
    <w:p w14:paraId="7B610398">
      <w:pPr>
        <w:widowControl/>
        <w:autoSpaceDE/>
        <w:autoSpaceDN/>
        <w:adjustRightInd/>
        <w:spacing w:line="360" w:lineRule="auto"/>
        <w:ind w:firstLine="420"/>
        <w:jc w:val="both"/>
        <w:rPr>
          <w:rFonts w:hint="eastAsia"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17、</w:t>
      </w:r>
      <w:r>
        <w:rPr>
          <w:rFonts w:hint="eastAsia" w:ascii="宋体" w:hAnsi="宋体" w:eastAsia="宋体" w:cs="宋体"/>
          <w:b/>
          <w:bCs/>
          <w:sz w:val="21"/>
          <w:szCs w:val="21"/>
          <w:highlight w:val="none"/>
          <w:u w:val="single"/>
          <w:lang w:val="en-US" w:eastAsia="zh-CN" w:bidi="ar-SA"/>
        </w:rPr>
        <w:t>★供应商须承诺，在“污水处理厂半干化泥粉项目”单项项目服务合同签订之日起，2日内可达到按招标人要求的泥粉外运处置能力，按招标人要求开展污水处理厂半干化泥粉外运处置服务</w:t>
      </w:r>
      <w:r>
        <w:rPr>
          <w:rFonts w:hint="eastAsia" w:ascii="宋体" w:hAnsi="宋体" w:eastAsia="宋体" w:cs="宋体"/>
          <w:sz w:val="21"/>
          <w:szCs w:val="21"/>
          <w:highlight w:val="none"/>
          <w:lang w:val="en-US" w:eastAsia="zh-CN" w:bidi="ar-SA"/>
        </w:rPr>
        <w:t>。</w:t>
      </w:r>
    </w:p>
    <w:p w14:paraId="4C648FDD">
      <w:pPr>
        <w:keepNext w:val="0"/>
        <w:keepLines w:val="0"/>
        <w:pageBreakBefore w:val="0"/>
        <w:kinsoku/>
        <w:wordWrap/>
        <w:overflowPunct/>
        <w:topLinePunct w:val="0"/>
        <w:bidi w:val="0"/>
        <w:snapToGrid/>
        <w:spacing w:line="360" w:lineRule="auto"/>
        <w:ind w:firstLine="422" w:firstLineChars="200"/>
        <w:contextualSpacing/>
        <w:textAlignment w:val="auto"/>
        <w:outlineLvl w:val="1"/>
        <w:rPr>
          <w:rFonts w:hint="eastAsia" w:ascii="宋体" w:hAnsi="宋体" w:eastAsia="宋体" w:cs="宋体"/>
          <w:b/>
          <w:sz w:val="21"/>
          <w:szCs w:val="21"/>
          <w:highlight w:val="none"/>
        </w:rPr>
      </w:pPr>
      <w:r>
        <w:rPr>
          <w:rFonts w:hint="eastAsia" w:ascii="宋体" w:hAnsi="宋体" w:eastAsia="宋体" w:cs="宋体"/>
          <w:b/>
          <w:sz w:val="21"/>
          <w:szCs w:val="21"/>
          <w:highlight w:val="none"/>
          <w:lang w:val="en-US" w:eastAsia="zh-CN"/>
        </w:rPr>
        <w:t>六</w:t>
      </w:r>
      <w:r>
        <w:rPr>
          <w:rFonts w:hint="eastAsia" w:ascii="宋体" w:hAnsi="宋体" w:eastAsia="宋体" w:cs="宋体"/>
          <w:b/>
          <w:sz w:val="21"/>
          <w:szCs w:val="21"/>
          <w:highlight w:val="none"/>
        </w:rPr>
        <w:t>、专项要求</w:t>
      </w:r>
    </w:p>
    <w:p w14:paraId="1FBBE1DD">
      <w:pPr>
        <w:keepNext w:val="0"/>
        <w:keepLines w:val="0"/>
        <w:pageBreakBefore w:val="0"/>
        <w:widowControl/>
        <w:kinsoku/>
        <w:wordWrap/>
        <w:overflowPunct/>
        <w:topLinePunct w:val="0"/>
        <w:bidi w:val="0"/>
        <w:snapToGrid/>
        <w:spacing w:line="360" w:lineRule="auto"/>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b/>
          <w:bCs/>
          <w:sz w:val="21"/>
          <w:szCs w:val="21"/>
          <w:highlight w:val="none"/>
          <w:u w:val="single"/>
          <w:lang w:val="en-US" w:eastAsia="zh-CN"/>
        </w:rPr>
        <w:t>供应商在东莞市行政区域内转移处置泥粉</w:t>
      </w:r>
      <w:r>
        <w:rPr>
          <w:rFonts w:hint="eastAsia" w:ascii="宋体" w:hAnsi="宋体" w:eastAsia="宋体" w:cs="宋体"/>
          <w:b/>
          <w:bCs/>
          <w:sz w:val="21"/>
          <w:szCs w:val="21"/>
          <w:highlight w:val="none"/>
          <w:u w:val="single"/>
        </w:rPr>
        <w:t>时，应编制具体的污泥转移方案等资料，并将企业资质，环评批复等相关文件抄送一份给</w:t>
      </w:r>
      <w:r>
        <w:rPr>
          <w:rFonts w:hint="eastAsia" w:ascii="宋体" w:hAnsi="宋体" w:eastAsia="宋体" w:cs="宋体"/>
          <w:b/>
          <w:bCs/>
          <w:sz w:val="21"/>
          <w:szCs w:val="21"/>
          <w:highlight w:val="none"/>
          <w:u w:val="single"/>
          <w:lang w:val="en-US" w:eastAsia="zh-CN"/>
        </w:rPr>
        <w:t>招标人</w:t>
      </w:r>
      <w:r>
        <w:rPr>
          <w:rFonts w:hint="eastAsia" w:ascii="宋体" w:hAnsi="宋体" w:eastAsia="宋体" w:cs="宋体"/>
          <w:b/>
          <w:bCs/>
          <w:sz w:val="21"/>
          <w:szCs w:val="21"/>
          <w:highlight w:val="none"/>
          <w:u w:val="single"/>
        </w:rPr>
        <w:t>审核备案，在配合完成办理东莞市污泥主管部门相关备案手续后方可开展半干化泥粉外运处置工作</w:t>
      </w:r>
      <w:r>
        <w:rPr>
          <w:rFonts w:hint="eastAsia" w:ascii="宋体" w:hAnsi="宋体" w:eastAsia="宋体" w:cs="宋体"/>
          <w:b/>
          <w:bCs/>
          <w:sz w:val="21"/>
          <w:szCs w:val="21"/>
          <w:highlight w:val="none"/>
          <w:u w:val="single"/>
          <w:lang w:eastAsia="zh-CN"/>
        </w:rPr>
        <w:t>，</w:t>
      </w:r>
      <w:r>
        <w:rPr>
          <w:rFonts w:hint="eastAsia" w:ascii="宋体" w:hAnsi="宋体" w:eastAsia="宋体" w:cs="宋体"/>
          <w:b/>
          <w:bCs/>
          <w:sz w:val="21"/>
          <w:szCs w:val="21"/>
          <w:highlight w:val="none"/>
          <w:u w:val="single"/>
          <w:lang w:val="en-US" w:eastAsia="zh-CN"/>
        </w:rPr>
        <w:t>供应商需跨市转移处置污泥时，</w:t>
      </w:r>
      <w:r>
        <w:rPr>
          <w:rFonts w:hint="eastAsia" w:ascii="宋体" w:hAnsi="宋体" w:eastAsia="宋体" w:cs="宋体"/>
          <w:b/>
          <w:bCs/>
          <w:sz w:val="21"/>
          <w:szCs w:val="21"/>
          <w:highlight w:val="none"/>
          <w:u w:val="single"/>
        </w:rPr>
        <w:t>应根据《</w:t>
      </w:r>
      <w:r>
        <w:rPr>
          <w:rFonts w:hint="eastAsia" w:ascii="宋体" w:hAnsi="宋体" w:eastAsia="宋体" w:cs="宋体"/>
          <w:b/>
          <w:bCs/>
          <w:sz w:val="21"/>
          <w:szCs w:val="21"/>
          <w:highlight w:val="none"/>
          <w:u w:val="single"/>
          <w:lang w:val="en-US" w:eastAsia="zh-CN"/>
        </w:rPr>
        <w:t>广东省住房和城乡建设厅 广东省生态环境厅城镇生活污水处理厂污泥处理处置管理办法</w:t>
      </w:r>
      <w:r>
        <w:rPr>
          <w:rFonts w:hint="eastAsia" w:ascii="宋体" w:hAnsi="宋体" w:eastAsia="宋体" w:cs="宋体"/>
          <w:b/>
          <w:bCs/>
          <w:sz w:val="21"/>
          <w:szCs w:val="21"/>
          <w:highlight w:val="none"/>
          <w:u w:val="single"/>
        </w:rPr>
        <w:t>》</w:t>
      </w:r>
      <w:r>
        <w:rPr>
          <w:rFonts w:hint="eastAsia" w:ascii="宋体" w:hAnsi="宋体" w:eastAsia="宋体" w:cs="宋体"/>
          <w:b/>
          <w:bCs/>
          <w:sz w:val="21"/>
          <w:szCs w:val="21"/>
          <w:highlight w:val="none"/>
          <w:u w:val="single"/>
          <w:lang w:eastAsia="zh-CN"/>
        </w:rPr>
        <w:t>（</w:t>
      </w:r>
      <w:r>
        <w:rPr>
          <w:rFonts w:hint="eastAsia" w:ascii="宋体" w:hAnsi="宋体" w:eastAsia="宋体" w:cs="宋体"/>
          <w:b/>
          <w:bCs/>
          <w:sz w:val="21"/>
          <w:szCs w:val="21"/>
          <w:highlight w:val="none"/>
          <w:u w:val="single"/>
          <w:lang w:val="en-US" w:eastAsia="zh-CN"/>
        </w:rPr>
        <w:t>若后续相关法规管理要求有所变更，按最新的要求执行）</w:t>
      </w:r>
      <w:r>
        <w:rPr>
          <w:rFonts w:hint="eastAsia" w:ascii="宋体" w:hAnsi="宋体" w:eastAsia="宋体" w:cs="宋体"/>
          <w:b/>
          <w:bCs/>
          <w:sz w:val="21"/>
          <w:szCs w:val="21"/>
          <w:highlight w:val="none"/>
          <w:u w:val="single"/>
        </w:rPr>
        <w:t>的通知第</w:t>
      </w:r>
      <w:r>
        <w:rPr>
          <w:rFonts w:hint="eastAsia" w:ascii="宋体" w:hAnsi="宋体" w:eastAsia="宋体" w:cs="宋体"/>
          <w:b/>
          <w:bCs/>
          <w:sz w:val="21"/>
          <w:szCs w:val="21"/>
          <w:highlight w:val="none"/>
          <w:u w:val="single"/>
          <w:lang w:val="en-US" w:eastAsia="zh-CN"/>
        </w:rPr>
        <w:t>十</w:t>
      </w:r>
      <w:r>
        <w:rPr>
          <w:rFonts w:hint="eastAsia" w:ascii="宋体" w:hAnsi="宋体" w:eastAsia="宋体" w:cs="宋体"/>
          <w:b/>
          <w:bCs/>
          <w:sz w:val="21"/>
          <w:szCs w:val="21"/>
          <w:highlight w:val="none"/>
          <w:u w:val="single"/>
        </w:rPr>
        <w:t>八条的规定，</w:t>
      </w:r>
      <w:r>
        <w:rPr>
          <w:rFonts w:hint="eastAsia" w:ascii="宋体" w:hAnsi="宋体" w:eastAsia="宋体" w:cs="宋体"/>
          <w:b/>
          <w:bCs/>
          <w:sz w:val="21"/>
          <w:szCs w:val="21"/>
          <w:highlight w:val="none"/>
          <w:u w:val="single"/>
          <w:lang w:val="en-US" w:eastAsia="zh-CN"/>
        </w:rPr>
        <w:t>制定污泥跨市转移计划，并按规定报告污泥移出地的污泥主管部门，并将前述向主管部门报送的报批资料及各级主管部门的审批、备案文件抄送一份给招标人备案，在配合完成办理东莞市污泥主管部门相关备案手续后方可开展半干化泥粉外运处置工作</w:t>
      </w:r>
      <w:r>
        <w:rPr>
          <w:rFonts w:hint="eastAsia" w:ascii="宋体" w:hAnsi="宋体" w:eastAsia="宋体" w:cs="宋体"/>
          <w:sz w:val="21"/>
          <w:szCs w:val="21"/>
          <w:highlight w:val="none"/>
        </w:rPr>
        <w:t>。</w:t>
      </w:r>
    </w:p>
    <w:p w14:paraId="6C4EAD17">
      <w:pPr>
        <w:keepNext w:val="0"/>
        <w:keepLines w:val="0"/>
        <w:pageBreakBefore w:val="0"/>
        <w:kinsoku/>
        <w:wordWrap/>
        <w:overflowPunct/>
        <w:topLinePunct w:val="0"/>
        <w:bidi w:val="0"/>
        <w:snapToGrid/>
        <w:spacing w:line="360" w:lineRule="auto"/>
        <w:ind w:firstLine="424" w:firstLineChars="202"/>
        <w:contextualSpacing/>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配备履行本服务合同必需的运输设备和工具，</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或其指定的第三方具有道路运输经营许可证并符合一般工业固废运输的要求，运输司机及运输车辆须有正规保险凭证，运输司机及车辆车辆必须持有合法、正规牌照、并且按照合同双方确定的</w:t>
      </w:r>
      <w:r>
        <w:rPr>
          <w:rFonts w:hint="eastAsia" w:ascii="宋体" w:hAnsi="宋体" w:eastAsia="宋体" w:cs="宋体"/>
          <w:sz w:val="21"/>
          <w:szCs w:val="21"/>
          <w:highlight w:val="none"/>
          <w:lang w:val="en-US" w:eastAsia="zh-CN"/>
        </w:rPr>
        <w:t>泥粉</w:t>
      </w:r>
      <w:r>
        <w:rPr>
          <w:rFonts w:hint="eastAsia" w:ascii="宋体" w:hAnsi="宋体" w:eastAsia="宋体" w:cs="宋体"/>
          <w:sz w:val="21"/>
          <w:szCs w:val="21"/>
          <w:highlight w:val="none"/>
        </w:rPr>
        <w:t>运输常用（备用）路线运输泥粉/污泥等一般固体废物。</w:t>
      </w:r>
      <w:r>
        <w:rPr>
          <w:rFonts w:hint="eastAsia" w:ascii="宋体" w:hAnsi="宋体" w:eastAsia="宋体" w:cs="宋体"/>
          <w:sz w:val="21"/>
          <w:szCs w:val="21"/>
          <w:highlight w:val="none"/>
          <w:lang w:val="en-US" w:eastAsia="zh-CN"/>
        </w:rPr>
        <w:t>泥粉</w:t>
      </w:r>
      <w:r>
        <w:rPr>
          <w:rFonts w:hint="eastAsia" w:ascii="宋体" w:hAnsi="宋体" w:eastAsia="宋体" w:cs="宋体"/>
          <w:szCs w:val="21"/>
          <w:highlight w:val="none"/>
        </w:rPr>
        <w:t>/污泥等一般固体废物</w:t>
      </w:r>
      <w:r>
        <w:rPr>
          <w:rFonts w:hint="eastAsia" w:ascii="宋体" w:hAnsi="宋体" w:eastAsia="宋体" w:cs="宋体"/>
          <w:sz w:val="21"/>
          <w:szCs w:val="21"/>
          <w:highlight w:val="none"/>
        </w:rPr>
        <w:t>运输车辆应当全部安装GPS定位系统，并能直接与</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在线监管平台对接，实时显示</w:t>
      </w:r>
      <w:r>
        <w:rPr>
          <w:rFonts w:hint="eastAsia" w:ascii="宋体" w:hAnsi="宋体" w:eastAsia="宋体" w:cs="宋体"/>
          <w:sz w:val="21"/>
          <w:szCs w:val="21"/>
          <w:highlight w:val="none"/>
          <w:lang w:val="en-US" w:eastAsia="zh-CN"/>
        </w:rPr>
        <w:t>泥粉</w:t>
      </w:r>
      <w:r>
        <w:rPr>
          <w:rFonts w:hint="eastAsia" w:ascii="宋体" w:hAnsi="宋体" w:eastAsia="宋体" w:cs="宋体"/>
          <w:szCs w:val="21"/>
          <w:highlight w:val="none"/>
        </w:rPr>
        <w:t>/污泥等一般固体废物</w:t>
      </w:r>
      <w:r>
        <w:rPr>
          <w:rFonts w:hint="eastAsia" w:ascii="宋体" w:hAnsi="宋体" w:eastAsia="宋体" w:cs="宋体"/>
          <w:sz w:val="21"/>
          <w:szCs w:val="21"/>
          <w:highlight w:val="none"/>
        </w:rPr>
        <w:t>运输轨迹等信息；</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自有的车载GPS定位系统不能直接与</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在线监管平台对接的，</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提供定位系统设备供</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使用。在运输过程中，</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应保证GPS定位系统能正常接收信号，运输全程纳入定位管理，若运输过程中出现GPS定位系统设备信号无法正常连接或中断的，期间发生交通运输事故或运输过程中导致环境污染的，</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须负主要责任，并承担由此产生的一切行政和经济法律责任。若</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中止</w:t>
      </w:r>
      <w:r>
        <w:rPr>
          <w:rFonts w:hint="eastAsia" w:ascii="宋体" w:hAnsi="宋体" w:eastAsia="宋体" w:cs="宋体"/>
          <w:sz w:val="21"/>
          <w:szCs w:val="21"/>
          <w:highlight w:val="none"/>
          <w:lang w:val="en-US" w:eastAsia="zh-CN"/>
        </w:rPr>
        <w:t>或终止</w:t>
      </w:r>
      <w:r>
        <w:rPr>
          <w:rFonts w:hint="eastAsia" w:ascii="宋体" w:hAnsi="宋体" w:eastAsia="宋体" w:cs="宋体"/>
          <w:sz w:val="21"/>
          <w:szCs w:val="21"/>
          <w:highlight w:val="none"/>
        </w:rPr>
        <w:t>为</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提供</w:t>
      </w:r>
      <w:r>
        <w:rPr>
          <w:rFonts w:hint="eastAsia" w:ascii="宋体" w:hAnsi="宋体" w:eastAsia="宋体" w:cs="宋体"/>
          <w:sz w:val="21"/>
          <w:szCs w:val="21"/>
          <w:highlight w:val="none"/>
          <w:lang w:val="en-US" w:eastAsia="zh-CN"/>
        </w:rPr>
        <w:t>污泥</w:t>
      </w:r>
      <w:r>
        <w:rPr>
          <w:rFonts w:hint="eastAsia" w:ascii="宋体" w:hAnsi="宋体" w:eastAsia="宋体" w:cs="宋体"/>
          <w:sz w:val="21"/>
          <w:szCs w:val="21"/>
          <w:highlight w:val="none"/>
        </w:rPr>
        <w:t>处置服务，应在5个工作日内向</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归还完好的定位系统设备，未及时归还设备的，</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向</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支付500元/台的违约金</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招标人有权直接在处置服务费、入库履约担保金中直接抵扣</w:t>
      </w:r>
      <w:r>
        <w:rPr>
          <w:rFonts w:hint="eastAsia" w:ascii="宋体" w:hAnsi="宋体" w:eastAsia="宋体" w:cs="宋体"/>
          <w:sz w:val="21"/>
          <w:szCs w:val="21"/>
          <w:highlight w:val="none"/>
        </w:rPr>
        <w:t>。</w:t>
      </w:r>
    </w:p>
    <w:p w14:paraId="51089819">
      <w:pPr>
        <w:keepNext w:val="0"/>
        <w:keepLines w:val="0"/>
        <w:pageBreakBefore w:val="0"/>
        <w:kinsoku/>
        <w:wordWrap/>
        <w:overflowPunct/>
        <w:topLinePunct w:val="0"/>
        <w:bidi w:val="0"/>
        <w:snapToGrid/>
        <w:spacing w:line="360" w:lineRule="auto"/>
        <w:ind w:firstLine="424" w:firstLineChars="202"/>
        <w:contextualSpacing/>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所采用的</w:t>
      </w:r>
      <w:r>
        <w:rPr>
          <w:rFonts w:hint="eastAsia" w:ascii="宋体" w:hAnsi="宋体" w:eastAsia="宋体" w:cs="宋体"/>
          <w:sz w:val="21"/>
          <w:szCs w:val="21"/>
          <w:highlight w:val="none"/>
          <w:lang w:val="en-US" w:eastAsia="zh-CN"/>
        </w:rPr>
        <w:t>泥粉</w:t>
      </w:r>
      <w:r>
        <w:rPr>
          <w:rFonts w:hint="eastAsia" w:ascii="宋体" w:hAnsi="宋体" w:eastAsia="宋体" w:cs="宋体"/>
          <w:sz w:val="21"/>
          <w:szCs w:val="21"/>
          <w:highlight w:val="none"/>
        </w:rPr>
        <w:t>运输车辆应密封、不渗漏，四周槽帮牢固可靠、无破损、挡板严密，</w:t>
      </w:r>
      <w:r>
        <w:rPr>
          <w:rFonts w:hint="eastAsia" w:ascii="宋体" w:hAnsi="宋体" w:eastAsia="宋体" w:cs="宋体"/>
          <w:color w:val="000000"/>
          <w:sz w:val="21"/>
          <w:szCs w:val="21"/>
          <w:highlight w:val="none"/>
        </w:rPr>
        <w:t>车厢装配电动帆布，</w:t>
      </w:r>
      <w:r>
        <w:rPr>
          <w:rFonts w:hint="eastAsia" w:ascii="宋体" w:hAnsi="宋体" w:eastAsia="宋体" w:cs="宋体"/>
          <w:sz w:val="21"/>
          <w:szCs w:val="21"/>
          <w:highlight w:val="none"/>
        </w:rPr>
        <w:t>在驶出装载现场前，应将车辆槽帮和车轮冲洗干净，不得车轮带泥行驶、不得沿途泄漏，运输时发现自身有泄漏的，应及时采取有效措施清扫干净。</w:t>
      </w:r>
    </w:p>
    <w:p w14:paraId="0E827E8A">
      <w:pPr>
        <w:keepNext w:val="0"/>
        <w:keepLines w:val="0"/>
        <w:pageBreakBefore w:val="0"/>
        <w:kinsoku/>
        <w:wordWrap/>
        <w:overflowPunct/>
        <w:topLinePunct w:val="0"/>
        <w:bidi w:val="0"/>
        <w:snapToGrid/>
        <w:spacing w:line="360" w:lineRule="auto"/>
        <w:ind w:firstLine="424" w:firstLineChars="202"/>
        <w:contextualSpacing/>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应严格按照交通运输及相关法律、法规操作，安全、合法地运输半干化泥粉。</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在任何情况下都不得进行任何形式的超载运输，否则造成的一切后果由</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承担。</w:t>
      </w:r>
    </w:p>
    <w:p w14:paraId="6B60035C">
      <w:pPr>
        <w:keepNext w:val="0"/>
        <w:keepLines w:val="0"/>
        <w:pageBreakBefore w:val="0"/>
        <w:kinsoku/>
        <w:wordWrap/>
        <w:overflowPunct/>
        <w:topLinePunct w:val="0"/>
        <w:bidi w:val="0"/>
        <w:snapToGrid/>
        <w:spacing w:line="360" w:lineRule="auto"/>
        <w:ind w:firstLine="424" w:firstLineChars="202"/>
        <w:contextualSpacing/>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w:t>
      </w:r>
      <w:r>
        <w:rPr>
          <w:rFonts w:hint="eastAsia" w:ascii="宋体" w:hAnsi="宋体" w:eastAsia="宋体" w:cs="宋体"/>
          <w:b/>
          <w:bCs/>
          <w:sz w:val="21"/>
          <w:szCs w:val="21"/>
          <w:highlight w:val="none"/>
          <w:u w:val="single"/>
          <w:lang w:val="en-US" w:eastAsia="zh-CN"/>
        </w:rPr>
        <w:t>供应商</w:t>
      </w:r>
      <w:r>
        <w:rPr>
          <w:rFonts w:hint="eastAsia" w:ascii="宋体" w:hAnsi="宋体" w:eastAsia="宋体" w:cs="宋体"/>
          <w:b/>
          <w:bCs/>
          <w:sz w:val="21"/>
          <w:szCs w:val="21"/>
          <w:highlight w:val="none"/>
          <w:u w:val="single"/>
        </w:rPr>
        <w:t>在</w:t>
      </w:r>
      <w:r>
        <w:rPr>
          <w:rFonts w:hint="eastAsia" w:ascii="宋体" w:hAnsi="宋体" w:eastAsia="宋体" w:cs="宋体"/>
          <w:b/>
          <w:bCs/>
          <w:sz w:val="21"/>
          <w:szCs w:val="21"/>
          <w:highlight w:val="none"/>
          <w:u w:val="single"/>
          <w:lang w:val="en-US" w:eastAsia="zh-CN"/>
        </w:rPr>
        <w:t>泥粉</w:t>
      </w:r>
      <w:r>
        <w:rPr>
          <w:rFonts w:hint="eastAsia" w:ascii="宋体" w:hAnsi="宋体" w:eastAsia="宋体" w:cs="宋体"/>
          <w:b/>
          <w:bCs/>
          <w:sz w:val="21"/>
          <w:szCs w:val="21"/>
          <w:highlight w:val="none"/>
          <w:u w:val="single"/>
        </w:rPr>
        <w:t>运输过程中严禁将</w:t>
      </w:r>
      <w:r>
        <w:rPr>
          <w:rFonts w:hint="eastAsia" w:ascii="宋体" w:hAnsi="宋体" w:eastAsia="宋体" w:cs="宋体"/>
          <w:b/>
          <w:bCs/>
          <w:sz w:val="21"/>
          <w:szCs w:val="21"/>
          <w:highlight w:val="none"/>
          <w:u w:val="single"/>
          <w:lang w:val="en-US" w:eastAsia="zh-CN"/>
        </w:rPr>
        <w:t>泥粉/</w:t>
      </w:r>
      <w:r>
        <w:rPr>
          <w:rFonts w:hint="eastAsia" w:ascii="宋体" w:hAnsi="宋体" w:eastAsia="宋体" w:cs="宋体"/>
          <w:b/>
          <w:bCs/>
          <w:sz w:val="21"/>
          <w:szCs w:val="21"/>
          <w:highlight w:val="none"/>
          <w:u w:val="single"/>
        </w:rPr>
        <w:t>污泥等一般固体废物在处置场所以外进行中转存放或堆放，严禁将未经处置的</w:t>
      </w:r>
      <w:r>
        <w:rPr>
          <w:rFonts w:hint="eastAsia" w:ascii="宋体" w:hAnsi="宋体" w:eastAsia="宋体" w:cs="宋体"/>
          <w:b/>
          <w:bCs/>
          <w:sz w:val="21"/>
          <w:szCs w:val="21"/>
          <w:highlight w:val="none"/>
          <w:u w:val="single"/>
          <w:lang w:val="en-US" w:eastAsia="zh-CN"/>
        </w:rPr>
        <w:t>泥粉/污泥等一般固体废物</w:t>
      </w:r>
      <w:r>
        <w:rPr>
          <w:rFonts w:hint="eastAsia" w:ascii="宋体" w:hAnsi="宋体" w:eastAsia="宋体" w:cs="宋体"/>
          <w:b/>
          <w:bCs/>
          <w:sz w:val="21"/>
          <w:szCs w:val="21"/>
          <w:highlight w:val="none"/>
          <w:u w:val="single"/>
        </w:rPr>
        <w:t>违规偷倒、丢弃、</w:t>
      </w:r>
      <w:r>
        <w:rPr>
          <w:rFonts w:hint="eastAsia" w:ascii="宋体" w:hAnsi="宋体" w:eastAsia="宋体" w:cs="宋体"/>
          <w:b/>
          <w:bCs/>
          <w:color w:val="000000"/>
          <w:sz w:val="21"/>
          <w:szCs w:val="21"/>
          <w:highlight w:val="none"/>
          <w:u w:val="single"/>
        </w:rPr>
        <w:t>填埋</w:t>
      </w:r>
      <w:r>
        <w:rPr>
          <w:rFonts w:hint="eastAsia" w:ascii="宋体" w:hAnsi="宋体" w:eastAsia="宋体" w:cs="宋体"/>
          <w:b/>
          <w:bCs/>
          <w:color w:val="000000"/>
          <w:sz w:val="21"/>
          <w:szCs w:val="21"/>
          <w:highlight w:val="none"/>
          <w:u w:val="single"/>
          <w:lang w:val="en-US" w:eastAsia="zh-CN"/>
        </w:rPr>
        <w:t>和采取污泥未经高温处理的建材利用类、土地利用（肥料生产制造）类处置方式</w:t>
      </w:r>
      <w:r>
        <w:rPr>
          <w:rFonts w:hint="eastAsia" w:ascii="宋体" w:hAnsi="宋体" w:eastAsia="宋体" w:cs="宋体"/>
          <w:b/>
          <w:bCs/>
          <w:sz w:val="21"/>
          <w:szCs w:val="21"/>
          <w:highlight w:val="none"/>
          <w:u w:val="single"/>
        </w:rPr>
        <w:t>。泥粉/污泥等一般固体废物运输过程中不得进行中间装卸操作</w:t>
      </w:r>
      <w:r>
        <w:rPr>
          <w:rFonts w:hint="eastAsia" w:ascii="宋体" w:hAnsi="宋体" w:eastAsia="宋体" w:cs="宋体"/>
          <w:sz w:val="21"/>
          <w:szCs w:val="21"/>
          <w:highlight w:val="none"/>
        </w:rPr>
        <w:t>。</w:t>
      </w:r>
    </w:p>
    <w:p w14:paraId="77EC7AF9">
      <w:pPr>
        <w:keepNext w:val="0"/>
        <w:keepLines w:val="0"/>
        <w:pageBreakBefore w:val="0"/>
        <w:kinsoku/>
        <w:wordWrap/>
        <w:overflowPunct/>
        <w:topLinePunct w:val="0"/>
        <w:bidi w:val="0"/>
        <w:snapToGrid/>
        <w:spacing w:line="360" w:lineRule="auto"/>
        <w:ind w:firstLine="424" w:firstLineChars="202"/>
        <w:contextualSpacing/>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在</w:t>
      </w:r>
      <w:r>
        <w:rPr>
          <w:rFonts w:hint="eastAsia" w:ascii="宋体" w:hAnsi="宋体" w:eastAsia="宋体" w:cs="宋体"/>
          <w:sz w:val="21"/>
          <w:szCs w:val="21"/>
          <w:highlight w:val="none"/>
          <w:lang w:val="en-US" w:eastAsia="zh-CN"/>
        </w:rPr>
        <w:t>泥粉</w:t>
      </w:r>
      <w:r>
        <w:rPr>
          <w:rFonts w:hint="eastAsia" w:ascii="宋体" w:hAnsi="宋体" w:eastAsia="宋体" w:cs="宋体"/>
          <w:sz w:val="21"/>
          <w:szCs w:val="21"/>
          <w:highlight w:val="none"/>
        </w:rPr>
        <w:t>运输过程中，应当防止造成二次污染，运输过程中发生</w:t>
      </w:r>
      <w:r>
        <w:rPr>
          <w:rFonts w:hint="eastAsia" w:ascii="宋体" w:hAnsi="宋体" w:eastAsia="宋体" w:cs="宋体"/>
          <w:sz w:val="21"/>
          <w:szCs w:val="21"/>
          <w:highlight w:val="none"/>
          <w:lang w:val="en-US" w:eastAsia="zh-CN"/>
        </w:rPr>
        <w:t>泥粉/污泥等一般固体废物</w:t>
      </w:r>
      <w:r>
        <w:rPr>
          <w:rFonts w:hint="eastAsia" w:ascii="宋体" w:hAnsi="宋体" w:eastAsia="宋体" w:cs="宋体"/>
          <w:sz w:val="21"/>
          <w:szCs w:val="21"/>
          <w:highlight w:val="none"/>
        </w:rPr>
        <w:t>泄漏、随意丢弃或倾倒等导致环境污染的，由</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承担相应的行政责任及经济责任，</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对运输及装卸过程的环境、安全负全责。</w:t>
      </w:r>
    </w:p>
    <w:p w14:paraId="6C164EFD">
      <w:pPr>
        <w:keepNext w:val="0"/>
        <w:keepLines w:val="0"/>
        <w:pageBreakBefore w:val="0"/>
        <w:kinsoku/>
        <w:wordWrap/>
        <w:overflowPunct/>
        <w:topLinePunct w:val="0"/>
        <w:bidi w:val="0"/>
        <w:snapToGrid/>
        <w:spacing w:line="360" w:lineRule="auto"/>
        <w:ind w:firstLine="424" w:firstLineChars="202"/>
        <w:contextualSpacing/>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泥粉/污泥等一般固体废物</w:t>
      </w:r>
      <w:r>
        <w:rPr>
          <w:rFonts w:hint="eastAsia" w:ascii="宋体" w:hAnsi="宋体" w:eastAsia="宋体" w:cs="宋体"/>
          <w:sz w:val="21"/>
          <w:szCs w:val="21"/>
          <w:highlight w:val="none"/>
        </w:rPr>
        <w:t>转移前，</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应</w:t>
      </w:r>
      <w:r>
        <w:rPr>
          <w:rFonts w:hint="eastAsia" w:ascii="宋体" w:hAnsi="宋体" w:eastAsia="宋体" w:cs="宋体"/>
          <w:sz w:val="21"/>
          <w:szCs w:val="21"/>
          <w:highlight w:val="none"/>
          <w:lang w:val="en-US" w:eastAsia="zh-CN"/>
        </w:rPr>
        <w:t>提供运输司机资料、</w:t>
      </w:r>
      <w:r>
        <w:rPr>
          <w:rFonts w:hint="eastAsia" w:ascii="宋体" w:hAnsi="宋体" w:eastAsia="宋体" w:cs="宋体"/>
          <w:sz w:val="21"/>
          <w:szCs w:val="21"/>
          <w:highlight w:val="none"/>
        </w:rPr>
        <w:t>制定运输车辆的行驶路线，并向</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报备，行驶路线一经确定，未经</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同意，</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不得擅自调整已报备的污泥运输行驶路线或更换司机。</w:t>
      </w:r>
    </w:p>
    <w:p w14:paraId="6F68FD1F">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bCs/>
          <w:sz w:val="21"/>
          <w:szCs w:val="21"/>
          <w:highlight w:val="none"/>
          <w:lang w:val="en-US" w:eastAsia="zh-CN" w:bidi="ar-SA"/>
        </w:rPr>
      </w:pPr>
      <w:r>
        <w:rPr>
          <w:rFonts w:hint="eastAsia" w:ascii="宋体" w:hAnsi="宋体" w:eastAsia="宋体" w:cs="宋体"/>
          <w:bCs/>
          <w:sz w:val="21"/>
          <w:szCs w:val="21"/>
          <w:highlight w:val="none"/>
          <w:lang w:val="en-US" w:eastAsia="zh-CN" w:bidi="ar-SA"/>
        </w:rPr>
        <w:t>8、供应商必须在泥粉到达其卸货点的次日10:00前，向招标人提供该车泥粉装卸货过程中的相关资料。</w:t>
      </w:r>
    </w:p>
    <w:p w14:paraId="2E7E7C56">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bCs/>
          <w:sz w:val="21"/>
          <w:szCs w:val="21"/>
          <w:highlight w:val="none"/>
          <w:lang w:val="en-US" w:eastAsia="zh-CN" w:bidi="ar-SA"/>
        </w:rPr>
      </w:pPr>
      <w:r>
        <w:rPr>
          <w:rFonts w:hint="eastAsia" w:ascii="宋体" w:hAnsi="宋体" w:eastAsia="宋体" w:cs="宋体"/>
          <w:bCs/>
          <w:sz w:val="21"/>
          <w:szCs w:val="21"/>
          <w:highlight w:val="none"/>
          <w:lang w:val="en-US" w:eastAsia="zh-CN" w:bidi="ar-SA"/>
        </w:rPr>
        <w:t>资料制作要求：（1）运输车辆到达泥粉装车地点，拍摄装车过程照片，装车照片应清晰显示车牌号码及车辆正在进行泥粉装车；（2）装车完成后上锁封条，拍摄封条照片，封条照片应清晰显示封条编号及封条未拆卸；（3）填写一式两份派车单并由运输司机及减量项目运营单位现场负责人签名，提交给泥粉产生单位；（4）运输车辆到指定称重点过磅，并拍摄过磅照片，照片应显示车辆正在地磅上称重，并清晰显示车辆车牌号码；（5）规范填写磅单，由车辆驾驶员签名，填写出厂日期，并拍摄照片，磅单照片应清晰显示完整信息（包括过磅时间、车牌号码、过磅重量等）；（6）运输车辆到达处置单位后拍摄卸货前封条照片，照片应清晰显示封条编号及封条未拆封；（7）卸货过程应拍摄照片及视频，照片应清晰显示车牌号码、正在起斗的过程，以及车后的泥仓；视频应按招标人提供的视频模板拍摄，视频时长约15秒，从车头车牌开始录制，缓慢移步至车辆一侧录制卸泥过程，要求显示起斗过程及泥仓；（8）卸货完成后，磅单与联单合拍照片，照片应清晰显示各项信息，包括出厂日期、过磅时间、重量、联单编号、处置方式及各处签名等；（9）上述照片、视频务必使用“今日水印相机”软件拍摄、录制，定位信息能清晰显示地点及日期。</w:t>
      </w:r>
    </w:p>
    <w:p w14:paraId="2B5CF963">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bCs/>
          <w:sz w:val="21"/>
          <w:szCs w:val="21"/>
          <w:highlight w:val="none"/>
          <w:lang w:val="en-US" w:eastAsia="zh-CN" w:bidi="ar-SA"/>
        </w:rPr>
      </w:pPr>
      <w:r>
        <w:rPr>
          <w:rFonts w:hint="eastAsia" w:ascii="宋体" w:hAnsi="宋体" w:eastAsia="宋体" w:cs="宋体"/>
          <w:bCs/>
          <w:sz w:val="21"/>
          <w:szCs w:val="21"/>
          <w:highlight w:val="none"/>
          <w:lang w:val="en-US" w:eastAsia="zh-CN" w:bidi="ar-SA"/>
        </w:rPr>
        <w:t>资料提交要求：（1）供应商按照本条款的要求进行拍摄、整理每日运输影像资料后，在次日上午10:00前，在招标人“污泥处理处置过程数据管理系统”完成资料上传和数据填报，系统网址：https://www.zywnxt.cn/（网址如有变化以招标人通知为准）。</w:t>
      </w:r>
    </w:p>
    <w:p w14:paraId="7184D7BC">
      <w:pPr>
        <w:keepNext w:val="0"/>
        <w:keepLines w:val="0"/>
        <w:pageBreakBefore w:val="0"/>
        <w:kinsoku/>
        <w:wordWrap/>
        <w:overflowPunct/>
        <w:topLinePunct w:val="0"/>
        <w:bidi w:val="0"/>
        <w:snapToGrid/>
        <w:spacing w:line="360" w:lineRule="auto"/>
        <w:ind w:firstLine="424" w:firstLineChars="202"/>
        <w:contextualSpacing/>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9</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供应商</w:t>
      </w:r>
      <w:r>
        <w:rPr>
          <w:rFonts w:hint="eastAsia" w:ascii="宋体" w:hAnsi="宋体" w:eastAsia="宋体" w:cs="宋体"/>
          <w:sz w:val="21"/>
          <w:szCs w:val="21"/>
          <w:highlight w:val="none"/>
        </w:rPr>
        <w:t>或其指定的第三方运输人员应当配合</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现场人员调度，遵守装车现场安全作业行为规范及防疫要求。</w:t>
      </w:r>
    </w:p>
    <w:p w14:paraId="771F1EF9">
      <w:pPr>
        <w:keepNext w:val="0"/>
        <w:keepLines w:val="0"/>
        <w:pageBreakBefore w:val="0"/>
        <w:kinsoku/>
        <w:wordWrap/>
        <w:overflowPunct/>
        <w:topLinePunct w:val="0"/>
        <w:bidi w:val="0"/>
        <w:snapToGrid/>
        <w:spacing w:line="360" w:lineRule="auto"/>
        <w:ind w:firstLine="424" w:firstLineChars="202"/>
        <w:contextualSpacing/>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10、供应商车辆及运输人员到达招标人半干化泥粉贮存点后，一切活动均须服从相关管理要求，包括不限于服从招标人（或招标人委托的污泥减量化服务单位、污泥产生单位）现场管理人员的调度、指挥，遵守现场安全作业行为规范和现场秩序，按要求穿戴个人防护用品，未经招标人（或招标人委托的污泥减量化服务单位、污泥产生单位）同意，不能进入与泥粉装运无关的区域，不得影响招标人（或招标人委托的污泥减量化服务单位、污泥产生单位）的办公、生产、生活等。对不服从管理或存在三违行为的供应商车辆及运输人员，招标人（或招标人委托的污泥减量化服务单位、污泥产生单位）有权拒绝其进入。供应商给招标人（或招标人委托的污泥减量化服务单位、污泥产生单位）造成的损失，全部由供应商承担相应责任及赔偿。</w:t>
      </w:r>
    </w:p>
    <w:p w14:paraId="44429C6B">
      <w:pPr>
        <w:pageBreakBefore/>
        <w:numPr>
          <w:ilvl w:val="0"/>
          <w:numId w:val="0"/>
        </w:numPr>
        <w:tabs>
          <w:tab w:val="left" w:pos="1080"/>
        </w:tabs>
        <w:autoSpaceDE w:val="0"/>
        <w:autoSpaceDN w:val="0"/>
        <w:adjustRightInd w:val="0"/>
        <w:spacing w:line="360" w:lineRule="auto"/>
        <w:ind w:left="357" w:leftChars="-100" w:hanging="567"/>
        <w:jc w:val="center"/>
        <w:outlineLvl w:val="0"/>
        <w:rPr>
          <w:rFonts w:hint="eastAsia" w:ascii="宋体" w:hAnsi="宋体" w:eastAsia="宋体" w:cs="宋体"/>
          <w:b/>
          <w:bCs/>
          <w:kern w:val="44"/>
          <w:sz w:val="32"/>
          <w:szCs w:val="32"/>
          <w:highlight w:val="none"/>
          <w:lang w:val="zh-CN"/>
        </w:rPr>
      </w:pPr>
      <w:bookmarkStart w:id="590" w:name="_Toc19477"/>
      <w:bookmarkStart w:id="591" w:name="_Toc7731"/>
      <w:bookmarkStart w:id="592" w:name="_Toc16518"/>
      <w:r>
        <w:rPr>
          <w:rFonts w:hint="eastAsia" w:ascii="宋体" w:hAnsi="宋体" w:eastAsia="宋体" w:cs="宋体"/>
          <w:b/>
          <w:bCs/>
          <w:kern w:val="44"/>
          <w:sz w:val="32"/>
          <w:szCs w:val="32"/>
          <w:highlight w:val="none"/>
          <w:lang w:val="zh-CN" w:eastAsia="zh-CN" w:bidi="ar-SA"/>
        </w:rPr>
        <w:t>第四篇</w:t>
      </w:r>
      <w:r>
        <w:rPr>
          <w:rFonts w:hint="eastAsia" w:ascii="宋体" w:hAnsi="宋体" w:eastAsia="宋体" w:cs="宋体"/>
          <w:b/>
          <w:bCs/>
          <w:kern w:val="44"/>
          <w:sz w:val="32"/>
          <w:szCs w:val="32"/>
          <w:highlight w:val="none"/>
          <w:lang w:val="en-US" w:eastAsia="zh-CN" w:bidi="ar-SA"/>
        </w:rPr>
        <w:t xml:space="preserve"> </w:t>
      </w:r>
      <w:r>
        <w:rPr>
          <w:rFonts w:hint="eastAsia" w:ascii="宋体" w:hAnsi="宋体" w:eastAsia="宋体" w:cs="宋体"/>
          <w:b/>
          <w:bCs/>
          <w:kern w:val="44"/>
          <w:sz w:val="32"/>
          <w:szCs w:val="32"/>
          <w:highlight w:val="none"/>
          <w:lang w:val="zh-CN"/>
        </w:rPr>
        <w:t>合同条款格式</w:t>
      </w:r>
      <w:bookmarkEnd w:id="590"/>
      <w:bookmarkEnd w:id="591"/>
      <w:bookmarkEnd w:id="592"/>
    </w:p>
    <w:p w14:paraId="3457EF33">
      <w:pPr>
        <w:pStyle w:val="2"/>
        <w:widowControl w:val="0"/>
        <w:numPr>
          <w:ilvl w:val="0"/>
          <w:numId w:val="0"/>
        </w:numPr>
        <w:autoSpaceDE w:val="0"/>
        <w:autoSpaceDN w:val="0"/>
        <w:adjustRightInd w:val="0"/>
        <w:snapToGrid w:val="0"/>
        <w:spacing w:before="120" w:line="360" w:lineRule="auto"/>
        <w:jc w:val="both"/>
        <w:rPr>
          <w:highlight w:val="none"/>
          <w:lang w:val="zh-CN"/>
        </w:rPr>
      </w:pPr>
    </w:p>
    <w:p w14:paraId="6630618E">
      <w:pPr>
        <w:autoSpaceDE w:val="0"/>
        <w:autoSpaceDN w:val="0"/>
        <w:adjustRightInd w:val="0"/>
        <w:spacing w:line="360" w:lineRule="auto"/>
        <w:ind w:firstLine="7005" w:firstLineChars="2492"/>
        <w:jc w:val="left"/>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合同编号：</w:t>
      </w:r>
    </w:p>
    <w:p w14:paraId="03468105">
      <w:pPr>
        <w:rPr>
          <w:highlight w:val="none"/>
          <w:lang w:val="zh-CN"/>
        </w:rPr>
      </w:pPr>
    </w:p>
    <w:p w14:paraId="72BB4177">
      <w:pPr>
        <w:pStyle w:val="2"/>
        <w:rPr>
          <w:highlight w:val="none"/>
          <w:lang w:val="zh-CN"/>
        </w:rPr>
      </w:pPr>
    </w:p>
    <w:p w14:paraId="628A853E">
      <w:pPr>
        <w:rPr>
          <w:highlight w:val="none"/>
          <w:lang w:val="zh-CN"/>
        </w:rPr>
      </w:pPr>
    </w:p>
    <w:p w14:paraId="62377312">
      <w:pPr>
        <w:pStyle w:val="2"/>
        <w:rPr>
          <w:highlight w:val="none"/>
          <w:lang w:val="zh-CN"/>
        </w:rPr>
      </w:pPr>
    </w:p>
    <w:p w14:paraId="6E8D8916">
      <w:pPr>
        <w:autoSpaceDE w:val="0"/>
        <w:autoSpaceDN w:val="0"/>
        <w:adjustRightInd w:val="0"/>
        <w:spacing w:line="360" w:lineRule="auto"/>
        <w:jc w:val="center"/>
        <w:rPr>
          <w:rFonts w:hint="default" w:ascii="宋体" w:hAnsi="宋体" w:eastAsia="宋体" w:cs="宋体"/>
          <w:bCs/>
          <w:color w:val="auto"/>
          <w:kern w:val="0"/>
          <w:sz w:val="52"/>
          <w:szCs w:val="52"/>
          <w:highlight w:val="none"/>
          <w:lang w:val="en-US" w:eastAsia="zh-CN"/>
        </w:rPr>
      </w:pPr>
      <w:r>
        <w:rPr>
          <w:rFonts w:hint="eastAsia" w:ascii="宋体" w:hAnsi="宋体" w:eastAsia="宋体" w:cs="宋体"/>
          <w:b/>
          <w:color w:val="auto"/>
          <w:kern w:val="0"/>
          <w:sz w:val="52"/>
          <w:szCs w:val="96"/>
          <w:highlight w:val="none"/>
          <w:lang w:eastAsia="zh-CN"/>
        </w:rPr>
        <w:t>东莞市众源环境投资有限公司半干化泥粉外运资源化处置服务供应商库</w:t>
      </w:r>
      <w:r>
        <w:rPr>
          <w:rFonts w:hint="eastAsia" w:ascii="宋体" w:hAnsi="宋体" w:eastAsia="宋体" w:cs="宋体"/>
          <w:b/>
          <w:color w:val="auto"/>
          <w:kern w:val="0"/>
          <w:sz w:val="52"/>
          <w:szCs w:val="96"/>
          <w:highlight w:val="none"/>
          <w:lang w:val="en-US" w:eastAsia="zh-CN"/>
        </w:rPr>
        <w:t>入库合同</w:t>
      </w:r>
    </w:p>
    <w:p w14:paraId="4C779A15">
      <w:pPr>
        <w:autoSpaceDE w:val="0"/>
        <w:autoSpaceDN w:val="0"/>
        <w:adjustRightInd w:val="0"/>
        <w:spacing w:line="360" w:lineRule="auto"/>
        <w:jc w:val="left"/>
        <w:rPr>
          <w:rFonts w:hint="eastAsia" w:ascii="宋体" w:hAnsi="宋体" w:eastAsia="宋体" w:cs="宋体"/>
          <w:b/>
          <w:bCs/>
          <w:color w:val="auto"/>
          <w:kern w:val="0"/>
          <w:sz w:val="24"/>
          <w:szCs w:val="21"/>
          <w:highlight w:val="none"/>
        </w:rPr>
      </w:pPr>
    </w:p>
    <w:p w14:paraId="51B6BA0E">
      <w:pPr>
        <w:autoSpaceDE w:val="0"/>
        <w:autoSpaceDN w:val="0"/>
        <w:adjustRightInd w:val="0"/>
        <w:spacing w:line="360" w:lineRule="auto"/>
        <w:jc w:val="left"/>
        <w:rPr>
          <w:rFonts w:hint="eastAsia" w:ascii="宋体" w:hAnsi="宋体" w:eastAsia="宋体" w:cs="宋体"/>
          <w:b/>
          <w:bCs/>
          <w:color w:val="auto"/>
          <w:kern w:val="0"/>
          <w:sz w:val="24"/>
          <w:szCs w:val="21"/>
          <w:highlight w:val="none"/>
        </w:rPr>
      </w:pPr>
    </w:p>
    <w:p w14:paraId="44A27D80">
      <w:pPr>
        <w:autoSpaceDE w:val="0"/>
        <w:autoSpaceDN w:val="0"/>
        <w:adjustRightInd w:val="0"/>
        <w:spacing w:line="360" w:lineRule="auto"/>
        <w:jc w:val="left"/>
        <w:rPr>
          <w:rFonts w:hint="eastAsia" w:ascii="宋体" w:hAnsi="宋体" w:eastAsia="宋体" w:cs="宋体"/>
          <w:b/>
          <w:bCs/>
          <w:color w:val="auto"/>
          <w:kern w:val="0"/>
          <w:sz w:val="24"/>
          <w:szCs w:val="21"/>
          <w:highlight w:val="none"/>
        </w:rPr>
      </w:pPr>
    </w:p>
    <w:p w14:paraId="3FFBB907">
      <w:pPr>
        <w:autoSpaceDE w:val="0"/>
        <w:autoSpaceDN w:val="0"/>
        <w:adjustRightInd w:val="0"/>
        <w:spacing w:line="360" w:lineRule="auto"/>
        <w:jc w:val="left"/>
        <w:rPr>
          <w:rFonts w:hint="eastAsia" w:ascii="宋体" w:hAnsi="宋体" w:eastAsia="宋体" w:cs="宋体"/>
          <w:b/>
          <w:bCs/>
          <w:color w:val="auto"/>
          <w:kern w:val="0"/>
          <w:sz w:val="24"/>
          <w:szCs w:val="21"/>
          <w:highlight w:val="none"/>
        </w:rPr>
      </w:pPr>
    </w:p>
    <w:p w14:paraId="7569D02D">
      <w:pPr>
        <w:autoSpaceDE w:val="0"/>
        <w:autoSpaceDN w:val="0"/>
        <w:adjustRightInd w:val="0"/>
        <w:spacing w:line="360" w:lineRule="auto"/>
        <w:ind w:firstLine="1102" w:firstLineChars="392"/>
        <w:jc w:val="left"/>
        <w:rPr>
          <w:rFonts w:hint="eastAsia" w:ascii="宋体" w:hAnsi="宋体" w:eastAsia="宋体" w:cs="宋体"/>
          <w:b/>
          <w:bCs/>
          <w:color w:val="auto"/>
          <w:kern w:val="0"/>
          <w:sz w:val="28"/>
          <w:szCs w:val="28"/>
          <w:highlight w:val="none"/>
        </w:rPr>
      </w:pPr>
    </w:p>
    <w:p w14:paraId="195F3F24">
      <w:pPr>
        <w:autoSpaceDE w:val="0"/>
        <w:autoSpaceDN w:val="0"/>
        <w:adjustRightInd w:val="0"/>
        <w:spacing w:line="360" w:lineRule="auto"/>
        <w:ind w:firstLine="1102" w:firstLineChars="392"/>
        <w:jc w:val="left"/>
        <w:rPr>
          <w:rFonts w:hint="eastAsia" w:ascii="宋体" w:hAnsi="宋体" w:eastAsia="宋体" w:cs="宋体"/>
          <w:b/>
          <w:bCs/>
          <w:color w:val="auto"/>
          <w:kern w:val="0"/>
          <w:sz w:val="28"/>
          <w:szCs w:val="28"/>
          <w:highlight w:val="none"/>
        </w:rPr>
      </w:pPr>
    </w:p>
    <w:p w14:paraId="07986D51">
      <w:pPr>
        <w:autoSpaceDE w:val="0"/>
        <w:autoSpaceDN w:val="0"/>
        <w:adjustRightInd w:val="0"/>
        <w:spacing w:line="360" w:lineRule="auto"/>
        <w:ind w:firstLine="1102" w:firstLineChars="392"/>
        <w:jc w:val="left"/>
        <w:rPr>
          <w:rFonts w:hint="eastAsia" w:ascii="宋体" w:hAnsi="宋体" w:eastAsia="宋体" w:cs="宋体"/>
          <w:b/>
          <w:bCs/>
          <w:color w:val="auto"/>
          <w:kern w:val="0"/>
          <w:sz w:val="28"/>
          <w:szCs w:val="28"/>
          <w:highlight w:val="none"/>
        </w:rPr>
      </w:pPr>
    </w:p>
    <w:p w14:paraId="104E86D5">
      <w:pPr>
        <w:autoSpaceDE w:val="0"/>
        <w:autoSpaceDN w:val="0"/>
        <w:adjustRightInd w:val="0"/>
        <w:spacing w:line="360" w:lineRule="auto"/>
        <w:ind w:firstLine="1102" w:firstLineChars="392"/>
        <w:jc w:val="left"/>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甲方（委托人）：东莞市众源环境投资有限公司</w:t>
      </w:r>
    </w:p>
    <w:p w14:paraId="25C51ED7">
      <w:pPr>
        <w:autoSpaceDE w:val="0"/>
        <w:autoSpaceDN w:val="0"/>
        <w:adjustRightInd w:val="0"/>
        <w:spacing w:line="360" w:lineRule="auto"/>
        <w:ind w:firstLine="1102" w:firstLineChars="392"/>
        <w:jc w:val="left"/>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 xml:space="preserve">乙方（受托人）：                           </w:t>
      </w:r>
    </w:p>
    <w:p w14:paraId="42FE7083">
      <w:pPr>
        <w:autoSpaceDE w:val="0"/>
        <w:autoSpaceDN w:val="0"/>
        <w:adjustRightInd w:val="0"/>
        <w:spacing w:line="360" w:lineRule="auto"/>
        <w:ind w:firstLine="1102" w:firstLineChars="392"/>
        <w:jc w:val="left"/>
        <w:rPr>
          <w:rFonts w:hint="eastAsia" w:ascii="宋体" w:hAnsi="宋体" w:eastAsia="宋体" w:cs="宋体"/>
          <w:b/>
          <w:bCs/>
          <w:color w:val="auto"/>
          <w:kern w:val="0"/>
          <w:sz w:val="28"/>
          <w:szCs w:val="28"/>
          <w:highlight w:val="none"/>
        </w:rPr>
      </w:pPr>
    </w:p>
    <w:p w14:paraId="203AC686">
      <w:pPr>
        <w:autoSpaceDE w:val="0"/>
        <w:autoSpaceDN w:val="0"/>
        <w:adjustRightInd w:val="0"/>
        <w:spacing w:line="360" w:lineRule="auto"/>
        <w:ind w:firstLine="1102" w:firstLineChars="392"/>
        <w:jc w:val="left"/>
        <w:rPr>
          <w:rFonts w:hint="eastAsia" w:ascii="宋体" w:hAnsi="宋体" w:eastAsia="宋体" w:cs="宋体"/>
          <w:b/>
          <w:bCs/>
          <w:color w:val="auto"/>
          <w:kern w:val="0"/>
          <w:sz w:val="28"/>
          <w:szCs w:val="28"/>
          <w:highlight w:val="none"/>
        </w:rPr>
      </w:pPr>
    </w:p>
    <w:p w14:paraId="389494F7">
      <w:pPr>
        <w:autoSpaceDE w:val="0"/>
        <w:autoSpaceDN w:val="0"/>
        <w:adjustRightInd w:val="0"/>
        <w:jc w:val="left"/>
        <w:rPr>
          <w:rFonts w:hint="eastAsia" w:ascii="宋体" w:hAnsi="宋体" w:eastAsia="宋体" w:cs="宋体"/>
          <w:b/>
          <w:bCs/>
          <w:color w:val="auto"/>
          <w:kern w:val="0"/>
          <w:sz w:val="28"/>
          <w:szCs w:val="28"/>
          <w:highlight w:val="none"/>
        </w:rPr>
      </w:pPr>
    </w:p>
    <w:p w14:paraId="7E376621">
      <w:pPr>
        <w:autoSpaceDE w:val="0"/>
        <w:autoSpaceDN w:val="0"/>
        <w:adjustRightInd w:val="0"/>
        <w:jc w:val="left"/>
        <w:rPr>
          <w:rFonts w:hint="eastAsia" w:ascii="宋体" w:hAnsi="宋体" w:eastAsia="宋体" w:cs="宋体"/>
          <w:b/>
          <w:bCs/>
          <w:color w:val="auto"/>
          <w:kern w:val="0"/>
          <w:sz w:val="28"/>
          <w:szCs w:val="28"/>
          <w:highlight w:val="none"/>
        </w:rPr>
      </w:pPr>
    </w:p>
    <w:p w14:paraId="6FD52153">
      <w:pP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br w:type="page"/>
      </w:r>
    </w:p>
    <w:p w14:paraId="64DDE3CE">
      <w:pPr>
        <w:widowControl/>
        <w:spacing w:line="360" w:lineRule="auto"/>
        <w:ind w:firstLine="424" w:firstLineChars="202"/>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甲方：</w:t>
      </w:r>
      <w:r>
        <w:rPr>
          <w:rFonts w:hint="eastAsia" w:ascii="宋体" w:hAnsi="宋体" w:eastAsia="宋体" w:cs="宋体"/>
          <w:bCs/>
          <w:sz w:val="21"/>
          <w:szCs w:val="21"/>
          <w:highlight w:val="none"/>
          <w:u w:val="single"/>
        </w:rPr>
        <w:t>东莞市众源环境投资有限公司</w:t>
      </w:r>
    </w:p>
    <w:p w14:paraId="0E887A84">
      <w:pPr>
        <w:widowControl/>
        <w:spacing w:line="360" w:lineRule="auto"/>
        <w:ind w:firstLine="424" w:firstLineChars="202"/>
        <w:rPr>
          <w:rFonts w:hint="default" w:ascii="宋体" w:hAnsi="宋体" w:eastAsia="宋体" w:cs="宋体"/>
          <w:sz w:val="21"/>
          <w:szCs w:val="21"/>
          <w:highlight w:val="none"/>
          <w:u w:val="single"/>
          <w:lang w:val="en-US" w:eastAsia="zh-CN"/>
        </w:rPr>
      </w:pPr>
      <w:r>
        <w:rPr>
          <w:rFonts w:hint="eastAsia" w:ascii="宋体" w:hAnsi="宋体" w:eastAsia="宋体" w:cs="宋体"/>
          <w:sz w:val="21"/>
          <w:szCs w:val="21"/>
          <w:highlight w:val="none"/>
        </w:rPr>
        <w:t>乙方：</w:t>
      </w:r>
      <w:r>
        <w:rPr>
          <w:rFonts w:hint="eastAsia" w:ascii="宋体" w:hAnsi="宋体" w:eastAsia="宋体" w:cs="宋体"/>
          <w:sz w:val="21"/>
          <w:szCs w:val="21"/>
          <w:highlight w:val="none"/>
          <w:u w:val="single"/>
          <w:lang w:val="en-US" w:eastAsia="zh-CN"/>
        </w:rPr>
        <w:t xml:space="preserve">                          </w:t>
      </w:r>
    </w:p>
    <w:p w14:paraId="18C02CCB">
      <w:pPr>
        <w:widowControl/>
        <w:spacing w:line="360" w:lineRule="auto"/>
        <w:ind w:firstLine="424" w:firstLineChars="202"/>
        <w:rPr>
          <w:rFonts w:hint="eastAsia" w:ascii="宋体" w:hAnsi="宋体" w:eastAsia="宋体" w:cs="宋体"/>
          <w:sz w:val="21"/>
          <w:szCs w:val="21"/>
          <w:highlight w:val="none"/>
        </w:rPr>
      </w:pPr>
    </w:p>
    <w:p w14:paraId="5FC2BC61">
      <w:pPr>
        <w:widowControl/>
        <w:spacing w:line="360" w:lineRule="auto"/>
        <w:ind w:firstLine="424" w:firstLineChars="202"/>
        <w:rPr>
          <w:rFonts w:ascii="宋体" w:hAnsi="宋体" w:eastAsia="宋体" w:cs="宋体"/>
          <w:szCs w:val="21"/>
          <w:highlight w:val="none"/>
        </w:rPr>
      </w:pPr>
      <w:r>
        <w:rPr>
          <w:rFonts w:hint="eastAsia" w:ascii="宋体" w:hAnsi="宋体" w:eastAsia="宋体" w:cs="宋体"/>
          <w:szCs w:val="21"/>
          <w:highlight w:val="none"/>
        </w:rPr>
        <w:t>基于甲方通过公开</w:t>
      </w:r>
      <w:r>
        <w:rPr>
          <w:rFonts w:hint="eastAsia" w:ascii="宋体" w:hAnsi="宋体" w:eastAsia="宋体" w:cs="宋体"/>
          <w:szCs w:val="21"/>
          <w:highlight w:val="none"/>
          <w:lang w:val="en-US" w:eastAsia="zh-CN"/>
        </w:rPr>
        <w:t>招标</w:t>
      </w:r>
      <w:r>
        <w:rPr>
          <w:rFonts w:hint="eastAsia" w:ascii="宋体" w:hAnsi="宋体" w:eastAsia="宋体" w:cs="宋体"/>
          <w:szCs w:val="21"/>
          <w:highlight w:val="none"/>
        </w:rPr>
        <w:t>的方式确定乙方为东莞市众源环境投资有限公司污泥外运资源化处置服务供应商库的入库供应商，甲乙双方本着诚实守信、平等互利的原则，根据《中华人民共和国民法典》及其他有关法律、行政法规规定，订立本合同。</w:t>
      </w:r>
    </w:p>
    <w:p w14:paraId="7E519740">
      <w:pPr>
        <w:widowControl/>
        <w:spacing w:line="360" w:lineRule="auto"/>
        <w:ind w:firstLine="424" w:firstLineChars="202"/>
        <w:rPr>
          <w:rFonts w:ascii="宋体" w:hAnsi="宋体" w:eastAsia="宋体" w:cs="宋体"/>
          <w:szCs w:val="21"/>
          <w:highlight w:val="none"/>
        </w:rPr>
      </w:pPr>
    </w:p>
    <w:p w14:paraId="6B73991E">
      <w:pPr>
        <w:spacing w:line="360" w:lineRule="auto"/>
        <w:outlineLvl w:val="2"/>
        <w:rPr>
          <w:rFonts w:ascii="宋体" w:hAnsi="宋体" w:eastAsia="宋体" w:cs="宋体"/>
          <w:b/>
          <w:szCs w:val="21"/>
          <w:highlight w:val="none"/>
        </w:rPr>
      </w:pPr>
      <w:r>
        <w:rPr>
          <w:rFonts w:hint="eastAsia" w:ascii="宋体" w:hAnsi="宋体" w:eastAsia="宋体" w:cs="宋体"/>
          <w:b/>
          <w:szCs w:val="21"/>
          <w:highlight w:val="none"/>
        </w:rPr>
        <w:t>第一条 合同范围</w:t>
      </w:r>
    </w:p>
    <w:p w14:paraId="0EB14843">
      <w:pPr>
        <w:tabs>
          <w:tab w:val="left" w:pos="0"/>
        </w:tabs>
        <w:spacing w:line="360" w:lineRule="auto"/>
        <w:ind w:right="-34" w:firstLine="420" w:firstLineChars="200"/>
        <w:rPr>
          <w:rFonts w:ascii="宋体" w:hAnsi="宋体" w:eastAsia="宋体" w:cs="宋体"/>
          <w:szCs w:val="21"/>
          <w:highlight w:val="none"/>
        </w:rPr>
      </w:pPr>
      <w:r>
        <w:rPr>
          <w:rFonts w:hint="eastAsia" w:ascii="宋体" w:hAnsi="宋体" w:eastAsia="宋体" w:cs="宋体"/>
          <w:szCs w:val="21"/>
          <w:highlight w:val="none"/>
        </w:rPr>
        <w:t>1.1 本合同为东莞市众源环境投资有限公司</w:t>
      </w:r>
      <w:r>
        <w:rPr>
          <w:rFonts w:hint="eastAsia" w:ascii="宋体" w:hAnsi="宋体" w:eastAsia="宋体" w:cs="宋体"/>
          <w:szCs w:val="21"/>
          <w:highlight w:val="none"/>
          <w:lang w:val="en-US" w:eastAsia="zh-CN"/>
        </w:rPr>
        <w:t>半干化泥粉</w:t>
      </w:r>
      <w:r>
        <w:rPr>
          <w:rFonts w:hint="eastAsia" w:ascii="宋体" w:hAnsi="宋体" w:eastAsia="宋体" w:cs="宋体"/>
          <w:szCs w:val="21"/>
          <w:highlight w:val="none"/>
        </w:rPr>
        <w:t>外运资源化处置服务供应商库入库合同，乙方服务范围包括：</w:t>
      </w:r>
    </w:p>
    <w:p w14:paraId="7B2EB789">
      <w:pPr>
        <w:spacing w:line="360" w:lineRule="auto"/>
        <w:ind w:firstLine="420" w:firstLineChars="200"/>
        <w:rPr>
          <w:rFonts w:ascii="宋体" w:hAnsi="宋体" w:eastAsia="宋体" w:cs="宋体"/>
          <w:color w:val="000000"/>
          <w:szCs w:val="21"/>
          <w:highlight w:val="none"/>
        </w:rPr>
      </w:pPr>
      <w:r>
        <w:rPr>
          <w:rFonts w:hint="eastAsia" w:ascii="宋体" w:hAnsi="宋体" w:eastAsia="宋体" w:cs="宋体"/>
          <w:szCs w:val="21"/>
          <w:highlight w:val="none"/>
        </w:rPr>
        <w:t>（1）将甲方减量化后的污水处理厂半干化泥粉运输至乙方处置场所依法进行资源化处置</w:t>
      </w:r>
      <w:r>
        <w:rPr>
          <w:rFonts w:hint="eastAsia" w:ascii="宋体" w:hAnsi="宋体" w:eastAsia="宋体" w:cs="宋体"/>
          <w:color w:val="000000"/>
          <w:szCs w:val="21"/>
          <w:highlight w:val="none"/>
        </w:rPr>
        <w:t>，以下简称“污水处理厂半干化泥粉项目”。</w:t>
      </w:r>
    </w:p>
    <w:p w14:paraId="44A8441F">
      <w:pPr>
        <w:spacing w:line="360" w:lineRule="auto"/>
        <w:ind w:firstLine="420" w:firstLineChars="200"/>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2）甲方根据建设、运营、承接项目、代管项目需要委托供应商库内供应商处理、处置甲方污水处理厂含水率约80%的湿泥、排水管渠污泥脱水减量化后的半干化泥粉、供水厂排泥水污泥脱水减量化后的半干化泥粉、以及其它污泥、淤泥或类似一般固体废物。前述项目的服务价格，由甲方根据服务需求产生时制定定价规则后确定，并在公平、公正的原则下确定具体实施单位。 </w:t>
      </w:r>
    </w:p>
    <w:p w14:paraId="5E8D567A">
      <w:pPr>
        <w:spacing w:line="360" w:lineRule="auto"/>
        <w:outlineLvl w:val="2"/>
        <w:rPr>
          <w:rFonts w:ascii="宋体" w:hAnsi="宋体" w:eastAsia="宋体" w:cs="宋体"/>
          <w:b/>
          <w:szCs w:val="21"/>
          <w:highlight w:val="none"/>
        </w:rPr>
      </w:pPr>
      <w:r>
        <w:rPr>
          <w:rFonts w:hint="eastAsia" w:ascii="宋体" w:hAnsi="宋体" w:eastAsia="宋体" w:cs="宋体"/>
          <w:b/>
          <w:szCs w:val="21"/>
          <w:highlight w:val="none"/>
        </w:rPr>
        <w:t>第二条 供应商服务资格有效期</w:t>
      </w:r>
    </w:p>
    <w:p w14:paraId="2EE2130D">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2.1 供应商服务资格有效期：入库合同签订之日起至2027年6月30日止，但如乙方违反本合同、单项污泥处置合同及甲方管理规定的，则根据相关合同的约定退出供应商库。具体污泥处置项目服务期以单项污泥处置合同为准。</w:t>
      </w:r>
    </w:p>
    <w:p w14:paraId="7C247BDD">
      <w:pPr>
        <w:spacing w:line="360" w:lineRule="auto"/>
        <w:ind w:firstLine="422" w:firstLineChars="200"/>
      </w:pPr>
      <w:r>
        <w:rPr>
          <w:rFonts w:hint="eastAsia" w:ascii="宋体" w:hAnsi="宋体" w:eastAsia="宋体" w:cs="宋体"/>
          <w:b/>
          <w:bCs/>
          <w:szCs w:val="21"/>
          <w:highlight w:val="none"/>
        </w:rPr>
        <w:t>乙方清楚理解并同意接受本项目具有不确定性，在供应商库使用期间，</w:t>
      </w:r>
      <w:r>
        <w:rPr>
          <w:rFonts w:hint="eastAsia" w:ascii="宋体" w:hAnsi="宋体" w:eastAsia="宋体" w:cs="宋体"/>
          <w:b/>
          <w:bCs/>
          <w:szCs w:val="21"/>
          <w:highlight w:val="none"/>
          <w:lang w:val="en-US" w:eastAsia="zh-CN"/>
        </w:rPr>
        <w:t>甲方</w:t>
      </w:r>
      <w:r>
        <w:rPr>
          <w:rFonts w:hint="eastAsia" w:ascii="宋体" w:hAnsi="宋体" w:eastAsia="宋体" w:cs="宋体"/>
          <w:b/>
          <w:bCs/>
          <w:szCs w:val="21"/>
          <w:highlight w:val="none"/>
        </w:rPr>
        <w:t>因</w:t>
      </w:r>
      <w:r>
        <w:rPr>
          <w:rFonts w:hint="eastAsia" w:ascii="宋体" w:hAnsi="宋体" w:eastAsia="宋体" w:cs="宋体"/>
          <w:b/>
          <w:bCs/>
          <w:szCs w:val="21"/>
          <w:highlight w:val="none"/>
          <w:lang w:val="en-US" w:eastAsia="zh-CN"/>
        </w:rPr>
        <w:t>上级部门或</w:t>
      </w:r>
      <w:r>
        <w:rPr>
          <w:rFonts w:hint="eastAsia" w:ascii="宋体" w:hAnsi="宋体" w:eastAsia="宋体" w:cs="宋体"/>
          <w:b/>
          <w:bCs/>
          <w:szCs w:val="21"/>
          <w:highlight w:val="none"/>
        </w:rPr>
        <w:t>相关行政主管部门</w:t>
      </w:r>
      <w:r>
        <w:rPr>
          <w:rFonts w:hint="eastAsia" w:ascii="宋体" w:hAnsi="宋体" w:eastAsia="宋体" w:cs="宋体"/>
          <w:b/>
          <w:bCs/>
          <w:szCs w:val="21"/>
          <w:highlight w:val="none"/>
          <w:lang w:val="en-US" w:eastAsia="zh-CN"/>
        </w:rPr>
        <w:t>的管理要求</w:t>
      </w:r>
      <w:r>
        <w:rPr>
          <w:rFonts w:hint="eastAsia" w:ascii="宋体" w:hAnsi="宋体" w:eastAsia="宋体" w:cs="宋体"/>
          <w:b/>
          <w:bCs/>
          <w:szCs w:val="21"/>
          <w:highlight w:val="none"/>
        </w:rPr>
        <w:t>，取消东莞市众源环境投资有限公司</w:t>
      </w:r>
      <w:r>
        <w:rPr>
          <w:rFonts w:hint="eastAsia" w:ascii="宋体" w:hAnsi="宋体" w:eastAsia="宋体" w:cs="宋体"/>
          <w:b/>
          <w:bCs/>
          <w:szCs w:val="21"/>
          <w:highlight w:val="none"/>
          <w:lang w:val="en-US" w:eastAsia="zh-CN"/>
        </w:rPr>
        <w:t>半干化泥粉</w:t>
      </w:r>
      <w:r>
        <w:rPr>
          <w:rFonts w:hint="eastAsia" w:ascii="宋体" w:hAnsi="宋体" w:eastAsia="宋体" w:cs="宋体"/>
          <w:b/>
          <w:bCs/>
          <w:szCs w:val="21"/>
          <w:highlight w:val="none"/>
        </w:rPr>
        <w:t>外运资源化处置服务供应商库</w:t>
      </w:r>
      <w:r>
        <w:rPr>
          <w:rFonts w:hint="eastAsia" w:ascii="宋体" w:hAnsi="宋体" w:eastAsia="宋体" w:cs="宋体"/>
          <w:b/>
          <w:bCs/>
          <w:szCs w:val="21"/>
          <w:highlight w:val="none"/>
          <w:lang w:val="en-US" w:eastAsia="zh-CN"/>
        </w:rPr>
        <w:t>的</w:t>
      </w:r>
      <w:r>
        <w:rPr>
          <w:rFonts w:hint="eastAsia" w:ascii="宋体" w:hAnsi="宋体" w:eastAsia="宋体" w:cs="宋体"/>
          <w:b/>
          <w:bCs/>
          <w:szCs w:val="21"/>
          <w:highlight w:val="none"/>
          <w:lang w:eastAsia="zh-CN"/>
        </w:rPr>
        <w:t>，</w:t>
      </w:r>
      <w:r>
        <w:rPr>
          <w:rFonts w:hint="eastAsia" w:ascii="宋体" w:hAnsi="宋体" w:eastAsia="宋体" w:cs="宋体"/>
          <w:b/>
          <w:bCs/>
          <w:szCs w:val="21"/>
          <w:highlight w:val="none"/>
        </w:rPr>
        <w:t>或甲方</w:t>
      </w:r>
      <w:r>
        <w:rPr>
          <w:rFonts w:hint="eastAsia" w:ascii="宋体" w:hAnsi="宋体" w:eastAsia="宋体" w:cs="宋体"/>
          <w:b/>
          <w:bCs/>
          <w:szCs w:val="21"/>
          <w:highlight w:val="none"/>
          <w:lang w:val="en-US" w:eastAsia="zh-CN"/>
        </w:rPr>
        <w:t>污泥焚烧项目投入运营</w:t>
      </w:r>
      <w:r>
        <w:rPr>
          <w:rFonts w:hint="eastAsia" w:ascii="宋体" w:hAnsi="宋体" w:eastAsia="宋体" w:cs="宋体"/>
          <w:b/>
          <w:bCs/>
          <w:szCs w:val="21"/>
          <w:highlight w:val="none"/>
        </w:rPr>
        <w:t>而导致提前解除本合同等</w:t>
      </w:r>
      <w:r>
        <w:rPr>
          <w:rFonts w:hint="eastAsia" w:ascii="宋体" w:hAnsi="宋体" w:eastAsia="宋体" w:cs="宋体"/>
          <w:b/>
          <w:bCs/>
          <w:szCs w:val="21"/>
          <w:highlight w:val="none"/>
          <w:lang w:eastAsia="zh-CN"/>
        </w:rPr>
        <w:t>，</w:t>
      </w:r>
      <w:r>
        <w:rPr>
          <w:rFonts w:hint="eastAsia" w:ascii="宋体" w:hAnsi="宋体" w:eastAsia="宋体" w:cs="宋体"/>
          <w:b/>
          <w:bCs/>
          <w:szCs w:val="21"/>
          <w:highlight w:val="none"/>
        </w:rPr>
        <w:t>前述原因或同类因素导致供应商库无法实施的，乙方同意放弃向甲方追讨任何费用或主张任何权利和责任。</w:t>
      </w:r>
    </w:p>
    <w:p w14:paraId="1C4B0131">
      <w:pPr>
        <w:spacing w:line="360" w:lineRule="auto"/>
        <w:outlineLvl w:val="2"/>
        <w:rPr>
          <w:rFonts w:ascii="宋体" w:hAnsi="宋体" w:eastAsia="宋体" w:cs="宋体"/>
          <w:b/>
          <w:szCs w:val="21"/>
          <w:highlight w:val="none"/>
        </w:rPr>
      </w:pPr>
      <w:r>
        <w:rPr>
          <w:rFonts w:hint="eastAsia" w:ascii="宋体" w:hAnsi="宋体" w:eastAsia="宋体" w:cs="宋体"/>
          <w:b/>
          <w:szCs w:val="21"/>
          <w:highlight w:val="none"/>
        </w:rPr>
        <w:t>第三条 供应商库使用方式</w:t>
      </w:r>
    </w:p>
    <w:p w14:paraId="12523D5E">
      <w:pPr>
        <w:pStyle w:val="150"/>
        <w:spacing w:line="360" w:lineRule="auto"/>
        <w:ind w:firstLineChars="0"/>
        <w:rPr>
          <w:rFonts w:hint="eastAsia" w:ascii="宋体" w:hAnsi="宋体" w:eastAsia="宋体" w:cs="宋体"/>
          <w:color w:val="000000"/>
          <w:szCs w:val="21"/>
          <w:highlight w:val="none"/>
        </w:rPr>
      </w:pPr>
      <w:r>
        <w:rPr>
          <w:rFonts w:hint="eastAsia" w:ascii="宋体" w:hAnsi="宋体" w:eastAsia="宋体" w:cs="宋体"/>
          <w:szCs w:val="21"/>
          <w:highlight w:val="none"/>
        </w:rPr>
        <w:t xml:space="preserve">3.1 </w:t>
      </w:r>
      <w:r>
        <w:rPr>
          <w:rFonts w:hint="eastAsia" w:ascii="宋体" w:hAnsi="宋体" w:eastAsia="宋体" w:cs="宋体"/>
          <w:color w:val="000000"/>
          <w:szCs w:val="21"/>
          <w:highlight w:val="none"/>
        </w:rPr>
        <w:t>“污水处理厂半干化泥粉项目”分配方式：</w:t>
      </w:r>
      <w:r>
        <w:rPr>
          <w:rFonts w:hint="eastAsia" w:ascii="宋体" w:hAnsi="宋体" w:eastAsia="宋体" w:cs="宋体"/>
          <w:color w:val="000000"/>
          <w:szCs w:val="21"/>
          <w:highlight w:val="none"/>
          <w:lang w:val="en-US" w:eastAsia="zh-CN"/>
        </w:rPr>
        <w:t>甲方</w:t>
      </w:r>
      <w:r>
        <w:rPr>
          <w:rFonts w:hint="eastAsia" w:ascii="宋体" w:hAnsi="宋体" w:eastAsia="宋体" w:cs="宋体"/>
          <w:color w:val="000000"/>
          <w:szCs w:val="21"/>
          <w:highlight w:val="none"/>
        </w:rPr>
        <w:t>按照“污水处理厂半干化泥粉项目”服务合同期限划分各期单项项目，具体各期“污水处理厂半干化泥粉项目”按需启动，各期单项项目按照二次竞价或轮派</w:t>
      </w:r>
      <w:r>
        <w:rPr>
          <w:rFonts w:hint="eastAsia" w:ascii="宋体" w:hAnsi="宋体" w:eastAsia="宋体" w:cs="宋体"/>
          <w:b w:val="0"/>
          <w:bCs w:val="0"/>
          <w:kern w:val="2"/>
          <w:sz w:val="21"/>
          <w:szCs w:val="21"/>
          <w:highlight w:val="none"/>
          <w:lang w:val="en-US" w:eastAsia="zh-CN" w:bidi="ar-SA"/>
        </w:rPr>
        <w:t>或其他</w:t>
      </w:r>
      <w:r>
        <w:rPr>
          <w:rFonts w:hint="eastAsia" w:ascii="宋体" w:hAnsi="宋体" w:eastAsia="宋体" w:cs="宋体"/>
          <w:b w:val="0"/>
          <w:bCs w:val="0"/>
          <w:color w:val="000000"/>
          <w:szCs w:val="21"/>
          <w:highlight w:val="none"/>
        </w:rPr>
        <w:t>方式开展，并签订“污水处理厂半干化泥粉项目”单项合同。在把各单项</w:t>
      </w:r>
      <w:r>
        <w:rPr>
          <w:rFonts w:hint="eastAsia" w:ascii="宋体" w:hAnsi="宋体" w:eastAsia="宋体" w:cs="宋体"/>
          <w:color w:val="000000"/>
          <w:szCs w:val="21"/>
          <w:highlight w:val="none"/>
        </w:rPr>
        <w:t>项目分配或签订单项合同前，</w:t>
      </w:r>
      <w:r>
        <w:rPr>
          <w:rFonts w:hint="eastAsia" w:ascii="宋体" w:hAnsi="宋体" w:eastAsia="宋体" w:cs="宋体"/>
          <w:color w:val="000000"/>
          <w:szCs w:val="21"/>
          <w:highlight w:val="none"/>
          <w:lang w:val="en-US" w:eastAsia="zh-CN"/>
        </w:rPr>
        <w:t>甲方</w:t>
      </w:r>
      <w:r>
        <w:rPr>
          <w:rFonts w:hint="eastAsia" w:ascii="宋体" w:hAnsi="宋体" w:eastAsia="宋体" w:cs="宋体"/>
          <w:color w:val="000000"/>
          <w:szCs w:val="21"/>
          <w:highlight w:val="none"/>
        </w:rPr>
        <w:t>会提前将具体分配方案发送至入库供应商预留邮箱。</w:t>
      </w:r>
    </w:p>
    <w:p w14:paraId="4373338E">
      <w:pPr>
        <w:pStyle w:val="150"/>
        <w:spacing w:line="360" w:lineRule="auto"/>
        <w:ind w:firstLineChars="0"/>
        <w:rPr>
          <w:rFonts w:ascii="宋体" w:hAnsi="宋体" w:eastAsia="宋体" w:cs="宋体"/>
          <w:szCs w:val="21"/>
          <w:highlight w:val="none"/>
        </w:rPr>
      </w:pPr>
      <w:r>
        <w:rPr>
          <w:rFonts w:hint="eastAsia" w:ascii="宋体" w:hAnsi="宋体" w:eastAsia="宋体" w:cs="宋体"/>
          <w:color w:val="000000"/>
          <w:szCs w:val="21"/>
          <w:highlight w:val="none"/>
        </w:rPr>
        <w:t>3.2 服务范围内除“污水处理厂半干化泥粉项目”外的其他污泥、淤泥或类似一般固体废物的单项项目按需启动，</w:t>
      </w:r>
      <w:r>
        <w:rPr>
          <w:rFonts w:hint="eastAsia" w:ascii="宋体" w:hAnsi="宋体" w:eastAsia="宋体" w:cs="宋体"/>
          <w:color w:val="000000"/>
          <w:szCs w:val="21"/>
          <w:highlight w:val="none"/>
          <w:lang w:val="en-US" w:eastAsia="zh-CN"/>
        </w:rPr>
        <w:t>甲方</w:t>
      </w:r>
      <w:r>
        <w:rPr>
          <w:rFonts w:hint="eastAsia" w:ascii="宋体" w:hAnsi="宋体" w:eastAsia="宋体" w:cs="宋体"/>
          <w:color w:val="000000"/>
          <w:szCs w:val="21"/>
          <w:highlight w:val="none"/>
        </w:rPr>
        <w:t>将参照“污水处理厂半干化泥粉项目”分配方式开展。</w:t>
      </w:r>
    </w:p>
    <w:p w14:paraId="7890956A">
      <w:pPr>
        <w:spacing w:line="360" w:lineRule="auto"/>
        <w:outlineLvl w:val="2"/>
        <w:rPr>
          <w:rFonts w:ascii="宋体" w:hAnsi="宋体" w:eastAsia="宋体" w:cs="宋体"/>
          <w:b/>
          <w:szCs w:val="21"/>
          <w:highlight w:val="none"/>
        </w:rPr>
      </w:pPr>
      <w:r>
        <w:rPr>
          <w:rFonts w:hint="eastAsia" w:ascii="宋体" w:hAnsi="宋体" w:eastAsia="宋体" w:cs="宋体"/>
          <w:b/>
          <w:szCs w:val="21"/>
          <w:highlight w:val="none"/>
        </w:rPr>
        <w:t>第四条 退出机制</w:t>
      </w:r>
    </w:p>
    <w:p w14:paraId="4C537111">
      <w:pPr>
        <w:pStyle w:val="150"/>
        <w:spacing w:line="360" w:lineRule="auto"/>
        <w:ind w:firstLineChars="0"/>
        <w:rPr>
          <w:rFonts w:ascii="宋体" w:hAnsi="宋体" w:eastAsia="宋体" w:cs="宋体"/>
          <w:color w:val="000000"/>
          <w:szCs w:val="21"/>
          <w:highlight w:val="none"/>
        </w:rPr>
      </w:pPr>
      <w:r>
        <w:rPr>
          <w:rFonts w:hint="eastAsia" w:ascii="宋体" w:hAnsi="宋体" w:eastAsia="宋体" w:cs="宋体"/>
          <w:color w:val="000000"/>
          <w:szCs w:val="21"/>
          <w:highlight w:val="none"/>
        </w:rPr>
        <w:t>4.1 协商退出：（1）乙方如不接受甲方的管理办法，可无责自行退出。[例如：乙方在按照甲方要求参与分配工作的前提下，两年内或连续两期库内分配未能获得单项项目服务资格时（未签订任何单项服务合同），可主动申请退出供应商库，并申请退还入库履约担保]（2）供应商库存续期间甲方有权对供应商管理模式进行调整（包括但不限于单项项目分配资格、分配方式和供应商库的服务期限等），乙方不接受调整的，可主动申请退出供应商库,并申请退还入库履约担保。在前述情形下，除本合同另有约定或双方另行协商一致外，乙方申请退出供应商库的，不影响乙方已签订的单项合同（如有）的效力，乙方仍应按照单项合同的约定向甲方提供污泥处置服务。</w:t>
      </w:r>
    </w:p>
    <w:p w14:paraId="2AA203B5">
      <w:pPr>
        <w:pStyle w:val="150"/>
        <w:spacing w:line="360" w:lineRule="auto"/>
        <w:ind w:firstLineChars="0"/>
        <w:rPr>
          <w:rFonts w:ascii="宋体" w:hAnsi="宋体" w:eastAsia="宋体" w:cs="宋体"/>
          <w:szCs w:val="21"/>
          <w:highlight w:val="none"/>
        </w:rPr>
      </w:pPr>
      <w:r>
        <w:rPr>
          <w:rFonts w:hint="eastAsia" w:ascii="宋体" w:hAnsi="宋体" w:eastAsia="宋体" w:cs="宋体"/>
          <w:color w:val="000000"/>
          <w:szCs w:val="21"/>
          <w:highlight w:val="none"/>
        </w:rPr>
        <w:t>4.2 违约退出：（1）严重违法违约。乙方出现严重违法、违约行为时，甲方有权依法追究其法律责任，并根据合同作出相应处理，包括但不限于单方解除本合同和单项合同，并将其从污泥处置服务供应商库中移除和没收其入库和单项合同履约保证金。（2）不配合分配工作。乙方出现不配合分配工作的，甲方有权采取相应措施，包括但不限于：一是在分配过程中，出现干扰分配公平公正等不良行为，甲方将取消其参与下一期“污水处理厂半干化泥粉项目”分配资格；二是连续两期分配因资质不全、处置相关问题未完成整改等情况，而无法参与分配工作，甲方有权单方解除本合同，并将其从污泥处置服务供应商库中移除和没收其入库履约保证金。（3）乙方动态考核评价得分低于60分，或动态考核评价得分在60分（含）-80分（不含）且连续两次整改后动态考核评价得分仍低于80分，甲方有权单方解除本合同，要求乙方退出供应商库。（4）在供应商库使用期间，乙方因其他项目被列入</w:t>
      </w:r>
      <w:r>
        <w:rPr>
          <w:rFonts w:hint="eastAsia" w:ascii="宋体" w:hAnsi="宋体" w:eastAsia="宋体" w:cs="宋体"/>
          <w:color w:val="000000"/>
          <w:szCs w:val="21"/>
          <w:highlight w:val="none"/>
          <w:lang w:eastAsia="zh-CN"/>
        </w:rPr>
        <w:t>东莞市水务环境投资控股集团有限公司</w:t>
      </w:r>
      <w:r>
        <w:rPr>
          <w:rFonts w:hint="eastAsia" w:ascii="宋体" w:hAnsi="宋体" w:eastAsia="宋体" w:cs="宋体"/>
          <w:color w:val="000000"/>
          <w:szCs w:val="21"/>
          <w:highlight w:val="none"/>
        </w:rPr>
        <w:t>（含</w:t>
      </w:r>
      <w:r>
        <w:rPr>
          <w:rFonts w:hint="eastAsia" w:ascii="宋体" w:hAnsi="宋体" w:eastAsia="宋体" w:cs="宋体"/>
          <w:kern w:val="2"/>
          <w:sz w:val="21"/>
          <w:szCs w:val="21"/>
          <w:highlight w:val="none"/>
          <w:lang w:val="en-US" w:eastAsia="zh-CN" w:bidi="ar-SA"/>
        </w:rPr>
        <w:t>其全资公司、</w:t>
      </w:r>
      <w:r>
        <w:rPr>
          <w:rFonts w:hint="eastAsia" w:ascii="宋体" w:hAnsi="宋体" w:eastAsia="宋体" w:cs="宋体"/>
          <w:color w:val="000000"/>
          <w:szCs w:val="21"/>
          <w:highlight w:val="none"/>
        </w:rPr>
        <w:t>控股公司、由其管理的参股公司）招标、采购、征集供应商或合作方采购的信用“黑名单”，直接取消入库资格。</w:t>
      </w:r>
    </w:p>
    <w:p w14:paraId="403B3DA3">
      <w:pPr>
        <w:spacing w:line="360" w:lineRule="auto"/>
        <w:outlineLvl w:val="2"/>
        <w:rPr>
          <w:rFonts w:ascii="宋体" w:hAnsi="宋体" w:eastAsia="宋体" w:cs="宋体"/>
          <w:b/>
          <w:szCs w:val="21"/>
          <w:highlight w:val="none"/>
        </w:rPr>
      </w:pPr>
      <w:r>
        <w:rPr>
          <w:rFonts w:hint="eastAsia" w:ascii="宋体" w:hAnsi="宋体" w:eastAsia="宋体" w:cs="宋体"/>
          <w:b/>
          <w:szCs w:val="21"/>
          <w:highlight w:val="none"/>
        </w:rPr>
        <w:t>第五条 供应商管理</w:t>
      </w:r>
    </w:p>
    <w:p w14:paraId="26027D72">
      <w:pPr>
        <w:spacing w:line="360" w:lineRule="auto"/>
        <w:ind w:firstLine="420" w:firstLineChars="200"/>
        <w:rPr>
          <w:rFonts w:ascii="宋体" w:hAnsi="宋体" w:eastAsia="宋体" w:cs="宋体"/>
          <w:color w:val="000000"/>
          <w:szCs w:val="21"/>
          <w:highlight w:val="none"/>
        </w:rPr>
      </w:pPr>
      <w:r>
        <w:rPr>
          <w:rFonts w:hint="eastAsia" w:ascii="宋体" w:hAnsi="宋体" w:eastAsia="宋体" w:cs="宋体"/>
          <w:color w:val="000000"/>
          <w:szCs w:val="21"/>
          <w:highlight w:val="none"/>
        </w:rPr>
        <w:t>5.1 供应商库动态考核机制。供应商库使用期间，甲方每半年组织对库内供应商进行动态考核评价，形成《供应商综合评价考核表》（百分制），考核评价得分在80分及以上为合格供应商；得分在60分（含）-80分（不含）的供应商，甲方发放限期整改通知书，供应商整改完成后甲方再次组织进行复核评价，供应商连续两次整改后得分仍低于80分的，甲方有权单方解除本合同，按照不合格供应商处理，要求乙方退出供应商库；得分低于60分的供应商为不合格供应商，甲方有权单方解除本合同，要求乙方退出供应商库。</w:t>
      </w:r>
    </w:p>
    <w:p w14:paraId="006AC2A0">
      <w:pPr>
        <w:spacing w:line="360" w:lineRule="auto"/>
        <w:ind w:firstLine="420" w:firstLineChars="200"/>
        <w:rPr>
          <w:rFonts w:ascii="宋体" w:hAnsi="宋体" w:eastAsia="宋体" w:cs="宋体"/>
          <w:color w:val="000000"/>
          <w:szCs w:val="21"/>
          <w:highlight w:val="none"/>
        </w:rPr>
      </w:pPr>
      <w:r>
        <w:rPr>
          <w:rFonts w:hint="eastAsia" w:ascii="宋体" w:hAnsi="宋体" w:eastAsia="宋体" w:cs="宋体"/>
          <w:color w:val="000000"/>
          <w:szCs w:val="21"/>
          <w:highlight w:val="none"/>
        </w:rPr>
        <w:t>5.2 供应商现场核查机制。每期单项分配后，若“推荐</w:t>
      </w:r>
      <w:r>
        <w:rPr>
          <w:rFonts w:hint="eastAsia" w:ascii="宋体" w:hAnsi="宋体" w:eastAsia="宋体" w:cs="宋体"/>
          <w:kern w:val="2"/>
          <w:sz w:val="21"/>
          <w:szCs w:val="21"/>
          <w:highlight w:val="none"/>
          <w:lang w:val="en-US" w:eastAsia="zh-CN" w:bidi="ar-SA"/>
        </w:rPr>
        <w:t>中标</w:t>
      </w:r>
      <w:r>
        <w:rPr>
          <w:rFonts w:hint="eastAsia" w:ascii="宋体" w:hAnsi="宋体" w:eastAsia="宋体" w:cs="宋体"/>
          <w:color w:val="000000"/>
          <w:szCs w:val="21"/>
          <w:highlight w:val="none"/>
        </w:rPr>
        <w:t>候选人名单”内的某一处置单位未能通过现场核查（如处置单位资质资料不齐全或处置能力不合格或监控设备不完善的），则对应片区</w:t>
      </w:r>
      <w:r>
        <w:rPr>
          <w:rFonts w:hint="eastAsia" w:ascii="宋体" w:hAnsi="宋体" w:eastAsia="宋体" w:cs="宋体"/>
          <w:kern w:val="2"/>
          <w:sz w:val="21"/>
          <w:szCs w:val="21"/>
          <w:highlight w:val="none"/>
          <w:lang w:val="en-US" w:eastAsia="zh-CN" w:bidi="ar-SA"/>
        </w:rPr>
        <w:t>中标</w:t>
      </w:r>
      <w:r>
        <w:rPr>
          <w:rFonts w:hint="eastAsia" w:ascii="宋体" w:hAnsi="宋体" w:eastAsia="宋体" w:cs="宋体"/>
          <w:color w:val="000000"/>
          <w:szCs w:val="21"/>
          <w:highlight w:val="none"/>
        </w:rPr>
        <w:t>候选人由下一顺序的处置单位递补，并由甲方对其进行现场核查，对于通过现场核查的处置单位，形成“</w:t>
      </w:r>
      <w:r>
        <w:rPr>
          <w:rFonts w:hint="eastAsia" w:ascii="宋体" w:hAnsi="宋体" w:eastAsia="宋体" w:cs="宋体"/>
          <w:kern w:val="2"/>
          <w:sz w:val="21"/>
          <w:szCs w:val="21"/>
          <w:highlight w:val="none"/>
          <w:lang w:val="en-US" w:eastAsia="zh-CN" w:bidi="ar-SA"/>
        </w:rPr>
        <w:t>中标</w:t>
      </w:r>
      <w:r>
        <w:rPr>
          <w:rFonts w:hint="eastAsia" w:ascii="宋体" w:hAnsi="宋体" w:eastAsia="宋体" w:cs="宋体"/>
          <w:color w:val="000000"/>
          <w:szCs w:val="21"/>
          <w:highlight w:val="none"/>
        </w:rPr>
        <w:t>人名单”，授予单项合同。对于不接受、不配合甲方现场核查工作的，视为放弃本期</w:t>
      </w:r>
      <w:r>
        <w:rPr>
          <w:rFonts w:hint="eastAsia" w:ascii="宋体" w:hAnsi="宋体" w:eastAsia="宋体" w:cs="宋体"/>
          <w:kern w:val="2"/>
          <w:sz w:val="21"/>
          <w:szCs w:val="21"/>
          <w:highlight w:val="none"/>
          <w:lang w:val="en-US" w:eastAsia="zh-CN" w:bidi="ar-SA"/>
        </w:rPr>
        <w:t>中标</w:t>
      </w:r>
      <w:r>
        <w:rPr>
          <w:rFonts w:hint="eastAsia" w:ascii="宋体" w:hAnsi="宋体" w:eastAsia="宋体" w:cs="宋体"/>
          <w:color w:val="000000"/>
          <w:szCs w:val="21"/>
          <w:highlight w:val="none"/>
        </w:rPr>
        <w:t>资格。</w:t>
      </w:r>
    </w:p>
    <w:p w14:paraId="1DF486ED">
      <w:pPr>
        <w:spacing w:line="360" w:lineRule="auto"/>
        <w:ind w:firstLine="420" w:firstLineChars="200"/>
        <w:rPr>
          <w:rFonts w:hint="eastAsia" w:ascii="宋体" w:hAnsi="宋体" w:eastAsia="宋体" w:cs="宋体"/>
          <w:b w:val="0"/>
          <w:color w:val="000000"/>
          <w:szCs w:val="21"/>
          <w:highlight w:val="none"/>
        </w:rPr>
      </w:pPr>
      <w:r>
        <w:rPr>
          <w:rFonts w:hint="eastAsia" w:ascii="宋体" w:hAnsi="宋体" w:eastAsia="宋体" w:cs="宋体"/>
          <w:b w:val="0"/>
          <w:color w:val="000000"/>
          <w:szCs w:val="21"/>
          <w:highlight w:val="none"/>
        </w:rPr>
        <w:t>5.3 供应商现场驻点核查机制。在供应商开始污泥收运至完成最终处置期间，甲方有权安排工作人员至供应商处置现场驻点核查，核查内容包括但不限于监管污泥接收、贮存、处置全流程。</w:t>
      </w:r>
    </w:p>
    <w:p w14:paraId="438A3BBF">
      <w:pPr>
        <w:spacing w:line="360" w:lineRule="auto"/>
        <w:outlineLvl w:val="2"/>
        <w:rPr>
          <w:rFonts w:ascii="宋体" w:hAnsi="宋体" w:eastAsia="宋体" w:cs="宋体"/>
          <w:b/>
          <w:szCs w:val="21"/>
          <w:highlight w:val="none"/>
        </w:rPr>
      </w:pPr>
      <w:r>
        <w:rPr>
          <w:rFonts w:hint="eastAsia" w:ascii="宋体" w:hAnsi="宋体" w:eastAsia="宋体" w:cs="宋体"/>
          <w:b/>
          <w:szCs w:val="21"/>
          <w:highlight w:val="none"/>
        </w:rPr>
        <w:t>第六条 服务要求</w:t>
      </w:r>
    </w:p>
    <w:p w14:paraId="2B8E5DA2">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6.1 在服务期内甲方通知的外运处置期，要求乙方实现每天不间断外运半干化泥粉/污泥等一般固体废物，并保证在服务期内其资质的持续有效性，具备主管部门对泥粉/污泥处置单位的要求条件和企业生产经营许可的相关资质要求。</w:t>
      </w:r>
    </w:p>
    <w:p w14:paraId="3AF0BCB9">
      <w:pPr>
        <w:spacing w:line="360" w:lineRule="auto"/>
        <w:ind w:firstLine="420" w:firstLineChars="200"/>
        <w:contextualSpacing/>
        <w:rPr>
          <w:rFonts w:ascii="宋体" w:hAnsi="宋体" w:eastAsia="宋体" w:cs="宋体"/>
          <w:szCs w:val="21"/>
          <w:highlight w:val="none"/>
        </w:rPr>
      </w:pPr>
      <w:r>
        <w:rPr>
          <w:rFonts w:hint="eastAsia" w:ascii="宋体" w:hAnsi="宋体" w:eastAsia="宋体" w:cs="宋体"/>
          <w:szCs w:val="21"/>
          <w:highlight w:val="none"/>
        </w:rPr>
        <w:t>6.</w:t>
      </w: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 xml:space="preserve"> 乙方应严格按照交通运输及相关法律、法规操作，安全、合法地运输半干化泥粉。乙方在任何情况下都不得进行任何形式的超载运输，否则造成的一切后果由乙方承担。</w:t>
      </w:r>
    </w:p>
    <w:p w14:paraId="20FF1CD7">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6.</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 xml:space="preserve"> 乙方所采用的泥粉运输车辆应密封、不渗漏，四周槽帮牢固可靠、无破损、挡板严密，车厢装配电动帆布，在驶出装载现场前，应将车辆槽帮和车轮冲洗干净，不得车轮带泥行驶、不得沿途泄漏，运输时发现自身有泄漏的，应及时采取有效措施清扫干净。</w:t>
      </w:r>
    </w:p>
    <w:p w14:paraId="2251ABF4">
      <w:pPr>
        <w:spacing w:line="360" w:lineRule="auto"/>
        <w:ind w:firstLine="420" w:firstLineChars="200"/>
        <w:contextualSpacing/>
        <w:rPr>
          <w:rFonts w:ascii="宋体" w:hAnsi="宋体" w:eastAsia="宋体" w:cs="宋体"/>
          <w:szCs w:val="21"/>
          <w:highlight w:val="none"/>
        </w:rPr>
      </w:pPr>
      <w:r>
        <w:rPr>
          <w:rFonts w:hint="eastAsia" w:ascii="宋体" w:hAnsi="宋体" w:eastAsia="宋体" w:cs="宋体"/>
          <w:szCs w:val="21"/>
          <w:highlight w:val="none"/>
        </w:rPr>
        <w:t>6.</w:t>
      </w:r>
      <w:r>
        <w:rPr>
          <w:rFonts w:hint="eastAsia" w:ascii="宋体" w:hAnsi="宋体" w:eastAsia="宋体" w:cs="宋体"/>
          <w:szCs w:val="21"/>
          <w:highlight w:val="none"/>
          <w:lang w:val="en-US" w:eastAsia="zh-CN"/>
        </w:rPr>
        <w:t>4</w:t>
      </w:r>
      <w:r>
        <w:rPr>
          <w:rFonts w:hint="eastAsia" w:ascii="宋体" w:hAnsi="宋体" w:eastAsia="宋体" w:cs="宋体"/>
          <w:szCs w:val="21"/>
          <w:highlight w:val="none"/>
        </w:rPr>
        <w:t xml:space="preserve"> 乙方在泥粉运输过程中严禁将泥粉/污泥等一般固体废物在处置场所以外进行中转存放或堆放，严禁将未经处置的泥粉/污泥等一般固体废物违规偷倒、丢弃、填埋或采取污泥未经高温处理的建材利用类、土地利用（肥料生产制造）类处置方式。泥粉/污泥等一般固体废物运输过程中不得进行中间装卸操作。运输过程中，应当防止造成二次污染，运输过程中发生泥粉/污泥等一般固体废物泄漏、随意丢弃或倾倒等导致环境污染的，由乙方承担相应的行政责任及经济责任，乙方对运输及装卸过程的环境、安全负全责。</w:t>
      </w:r>
    </w:p>
    <w:p w14:paraId="23905E78">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6.</w:t>
      </w:r>
      <w:r>
        <w:rPr>
          <w:rFonts w:hint="eastAsia" w:ascii="宋体" w:hAnsi="宋体" w:eastAsia="宋体" w:cs="宋体"/>
          <w:szCs w:val="21"/>
          <w:highlight w:val="none"/>
          <w:lang w:val="en-US" w:eastAsia="zh-CN"/>
        </w:rPr>
        <w:t>5</w:t>
      </w:r>
      <w:r>
        <w:rPr>
          <w:rFonts w:hint="eastAsia" w:ascii="宋体" w:hAnsi="宋体" w:eastAsia="宋体" w:cs="宋体"/>
          <w:szCs w:val="21"/>
          <w:highlight w:val="none"/>
        </w:rPr>
        <w:t xml:space="preserve"> 泥粉/污泥等一般固体废物转移前，乙方应提供运输司机资料、制定运输车辆的行驶路线，并向甲方报备，行驶路线一经确定，未经甲方同意，乙方不得擅自调整已报备的污泥运输行驶路线或更换司机。</w:t>
      </w:r>
    </w:p>
    <w:p w14:paraId="15B4A2B9">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6.</w:t>
      </w:r>
      <w:r>
        <w:rPr>
          <w:rFonts w:hint="eastAsia" w:ascii="宋体" w:hAnsi="宋体" w:eastAsia="宋体" w:cs="宋体"/>
          <w:szCs w:val="21"/>
          <w:highlight w:val="none"/>
          <w:lang w:val="en-US" w:eastAsia="zh-CN"/>
        </w:rPr>
        <w:t>6</w:t>
      </w:r>
      <w:r>
        <w:rPr>
          <w:rFonts w:hint="eastAsia" w:ascii="宋体" w:hAnsi="宋体" w:eastAsia="宋体" w:cs="宋体"/>
          <w:szCs w:val="21"/>
          <w:highlight w:val="none"/>
        </w:rPr>
        <w:t xml:space="preserve"> 乙方或其指定的第三方运输人员应当配合甲方现场人员调度，遵守装车现场安全作业行为规范及防疫要求。</w:t>
      </w:r>
    </w:p>
    <w:p w14:paraId="7F2698BE">
      <w:pPr>
        <w:pStyle w:val="207"/>
        <w:spacing w:line="360" w:lineRule="auto"/>
        <w:ind w:firstLine="420" w:firstLineChars="200"/>
        <w:rPr>
          <w:rFonts w:ascii="宋体" w:hAnsi="宋体" w:cs="宋体"/>
          <w:szCs w:val="21"/>
          <w:highlight w:val="none"/>
        </w:rPr>
      </w:pPr>
      <w:r>
        <w:rPr>
          <w:rFonts w:hint="eastAsia" w:ascii="宋体" w:hAnsi="宋体" w:cs="宋体"/>
          <w:szCs w:val="21"/>
          <w:highlight w:val="none"/>
        </w:rPr>
        <w:t>6.</w:t>
      </w:r>
      <w:r>
        <w:rPr>
          <w:rFonts w:hint="eastAsia" w:ascii="宋体" w:hAnsi="宋体" w:cs="宋体"/>
          <w:szCs w:val="21"/>
          <w:highlight w:val="none"/>
          <w:lang w:val="en-US" w:eastAsia="zh-CN"/>
        </w:rPr>
        <w:t>7</w:t>
      </w:r>
      <w:r>
        <w:rPr>
          <w:rFonts w:hint="eastAsia" w:ascii="宋体" w:hAnsi="宋体" w:cs="宋体"/>
          <w:szCs w:val="21"/>
          <w:highlight w:val="none"/>
        </w:rPr>
        <w:t xml:space="preserve"> </w:t>
      </w:r>
      <w:r>
        <w:rPr>
          <w:rFonts w:hint="eastAsia" w:ascii="宋体" w:hAnsi="宋体" w:cs="宋体"/>
          <w:szCs w:val="21"/>
          <w:highlight w:val="none"/>
          <w:lang w:eastAsia="zh-CN"/>
        </w:rPr>
        <w:t>乙方</w:t>
      </w:r>
      <w:r>
        <w:rPr>
          <w:rFonts w:hint="eastAsia" w:ascii="宋体" w:hAnsi="宋体" w:cs="宋体"/>
          <w:szCs w:val="21"/>
          <w:highlight w:val="none"/>
        </w:rPr>
        <w:t>应在接到</w:t>
      </w:r>
      <w:r>
        <w:rPr>
          <w:rFonts w:hint="eastAsia" w:ascii="宋体" w:hAnsi="宋体" w:cs="宋体"/>
          <w:szCs w:val="21"/>
          <w:highlight w:val="none"/>
          <w:lang w:eastAsia="zh-CN"/>
        </w:rPr>
        <w:t>甲方</w:t>
      </w:r>
      <w:r>
        <w:rPr>
          <w:rFonts w:hint="eastAsia" w:ascii="宋体" w:hAnsi="宋体" w:cs="宋体"/>
          <w:szCs w:val="21"/>
          <w:highlight w:val="none"/>
        </w:rPr>
        <w:t>外运转移泥粉通知之日起，2日内按</w:t>
      </w:r>
      <w:r>
        <w:rPr>
          <w:rFonts w:hint="eastAsia" w:ascii="宋体" w:hAnsi="宋体" w:cs="宋体"/>
          <w:szCs w:val="21"/>
          <w:highlight w:val="none"/>
          <w:lang w:eastAsia="zh-CN"/>
        </w:rPr>
        <w:t>甲方</w:t>
      </w:r>
      <w:r>
        <w:rPr>
          <w:rFonts w:hint="eastAsia" w:ascii="宋体" w:hAnsi="宋体" w:cs="宋体"/>
          <w:szCs w:val="21"/>
          <w:highlight w:val="none"/>
        </w:rPr>
        <w:t>要求的运力实施泥粉转移和处置。</w:t>
      </w:r>
      <w:r>
        <w:rPr>
          <w:rFonts w:hint="eastAsia" w:ascii="宋体" w:hAnsi="宋体" w:cs="宋体"/>
          <w:szCs w:val="21"/>
          <w:highlight w:val="none"/>
          <w:lang w:eastAsia="zh-CN"/>
        </w:rPr>
        <w:t>乙方</w:t>
      </w:r>
      <w:r>
        <w:rPr>
          <w:rFonts w:hint="eastAsia" w:ascii="宋体" w:hAnsi="宋体" w:cs="宋体"/>
          <w:szCs w:val="21"/>
          <w:highlight w:val="none"/>
        </w:rPr>
        <w:t>如因计划检修、设备保养等，不能接收</w:t>
      </w:r>
      <w:r>
        <w:rPr>
          <w:rFonts w:hint="eastAsia" w:ascii="宋体" w:hAnsi="宋体" w:cs="宋体"/>
          <w:szCs w:val="21"/>
          <w:highlight w:val="none"/>
          <w:lang w:eastAsia="zh-CN"/>
        </w:rPr>
        <w:t>甲方</w:t>
      </w:r>
      <w:r>
        <w:rPr>
          <w:rFonts w:hint="eastAsia" w:ascii="宋体" w:hAnsi="宋体" w:cs="宋体"/>
          <w:szCs w:val="21"/>
          <w:highlight w:val="none"/>
        </w:rPr>
        <w:t>泥粉的，应当提前三天告知</w:t>
      </w:r>
      <w:r>
        <w:rPr>
          <w:rFonts w:hint="eastAsia" w:ascii="宋体" w:hAnsi="宋体" w:cs="宋体"/>
          <w:szCs w:val="21"/>
          <w:highlight w:val="none"/>
          <w:lang w:eastAsia="zh-CN"/>
        </w:rPr>
        <w:t>甲方</w:t>
      </w:r>
      <w:r>
        <w:rPr>
          <w:rFonts w:hint="eastAsia" w:ascii="宋体" w:hAnsi="宋体" w:cs="宋体"/>
          <w:szCs w:val="21"/>
          <w:highlight w:val="none"/>
        </w:rPr>
        <w:t>，不可抗力除外。</w:t>
      </w:r>
      <w:r>
        <w:rPr>
          <w:rFonts w:hint="eastAsia" w:ascii="宋体" w:hAnsi="宋体" w:cs="宋体"/>
          <w:szCs w:val="21"/>
          <w:highlight w:val="none"/>
          <w:lang w:eastAsia="zh-CN"/>
        </w:rPr>
        <w:t>乙方</w:t>
      </w:r>
      <w:r>
        <w:rPr>
          <w:rFonts w:hint="eastAsia" w:ascii="宋体" w:hAnsi="宋体" w:cs="宋体"/>
          <w:szCs w:val="21"/>
          <w:highlight w:val="none"/>
        </w:rPr>
        <w:t>获得单项项目服务资格后，经</w:t>
      </w:r>
      <w:r>
        <w:rPr>
          <w:rFonts w:hint="eastAsia" w:ascii="宋体" w:hAnsi="宋体" w:cs="宋体"/>
          <w:szCs w:val="21"/>
          <w:highlight w:val="none"/>
          <w:lang w:eastAsia="zh-CN"/>
        </w:rPr>
        <w:t>甲方</w:t>
      </w:r>
      <w:r>
        <w:rPr>
          <w:rFonts w:hint="eastAsia" w:ascii="宋体" w:hAnsi="宋体" w:cs="宋体"/>
          <w:szCs w:val="21"/>
          <w:highlight w:val="none"/>
        </w:rPr>
        <w:t>通知后拒不向</w:t>
      </w:r>
      <w:r>
        <w:rPr>
          <w:rFonts w:hint="eastAsia" w:ascii="宋体" w:hAnsi="宋体" w:cs="宋体"/>
          <w:szCs w:val="21"/>
          <w:highlight w:val="none"/>
          <w:lang w:eastAsia="zh-CN"/>
        </w:rPr>
        <w:t>甲方</w:t>
      </w:r>
      <w:r>
        <w:rPr>
          <w:rFonts w:hint="eastAsia" w:ascii="宋体" w:hAnsi="宋体" w:cs="宋体"/>
          <w:szCs w:val="21"/>
          <w:highlight w:val="none"/>
        </w:rPr>
        <w:t>提供泥粉运输、处置服务的，每延误一天，</w:t>
      </w:r>
      <w:r>
        <w:rPr>
          <w:rFonts w:hint="eastAsia" w:ascii="宋体" w:hAnsi="宋体" w:cs="宋体"/>
          <w:szCs w:val="21"/>
          <w:highlight w:val="none"/>
          <w:lang w:eastAsia="zh-CN"/>
        </w:rPr>
        <w:t>甲方</w:t>
      </w:r>
      <w:r>
        <w:rPr>
          <w:rFonts w:hint="eastAsia" w:ascii="宋体" w:hAnsi="宋体" w:cs="宋体"/>
          <w:szCs w:val="21"/>
          <w:highlight w:val="none"/>
        </w:rPr>
        <w:t>有权要求</w:t>
      </w:r>
      <w:r>
        <w:rPr>
          <w:rFonts w:hint="eastAsia" w:ascii="宋体" w:hAnsi="宋体" w:cs="宋体"/>
          <w:szCs w:val="21"/>
          <w:highlight w:val="none"/>
          <w:lang w:eastAsia="zh-CN"/>
        </w:rPr>
        <w:t>乙方</w:t>
      </w:r>
      <w:r>
        <w:rPr>
          <w:rFonts w:hint="eastAsia" w:ascii="宋体" w:hAnsi="宋体" w:cs="宋体"/>
          <w:szCs w:val="21"/>
          <w:highlight w:val="none"/>
        </w:rPr>
        <w:t>根据</w:t>
      </w:r>
      <w:r>
        <w:rPr>
          <w:rFonts w:hint="eastAsia" w:ascii="宋体" w:hAnsi="宋体" w:cs="宋体"/>
          <w:szCs w:val="21"/>
          <w:highlight w:val="none"/>
          <w:lang w:val="en-US" w:eastAsia="zh-CN"/>
        </w:rPr>
        <w:t>单项</w:t>
      </w:r>
      <w:r>
        <w:rPr>
          <w:rFonts w:hint="eastAsia" w:ascii="宋体" w:hAnsi="宋体" w:cs="宋体"/>
          <w:szCs w:val="21"/>
          <w:highlight w:val="none"/>
        </w:rPr>
        <w:t>合同约定支付违约金，同时</w:t>
      </w:r>
      <w:r>
        <w:rPr>
          <w:rFonts w:hint="eastAsia" w:ascii="宋体" w:hAnsi="宋体" w:cs="宋体"/>
          <w:szCs w:val="21"/>
          <w:highlight w:val="none"/>
          <w:lang w:eastAsia="zh-CN"/>
        </w:rPr>
        <w:t>甲方</w:t>
      </w:r>
      <w:r>
        <w:rPr>
          <w:rFonts w:hint="eastAsia" w:ascii="宋体" w:hAnsi="宋体" w:cs="宋体"/>
          <w:szCs w:val="21"/>
          <w:highlight w:val="none"/>
        </w:rPr>
        <w:t>有权另行委托处置服务库内</w:t>
      </w:r>
      <w:r>
        <w:rPr>
          <w:rFonts w:hint="eastAsia" w:ascii="宋体" w:hAnsi="宋体" w:cs="宋体"/>
          <w:szCs w:val="21"/>
          <w:highlight w:val="none"/>
          <w:lang w:eastAsia="zh-CN"/>
        </w:rPr>
        <w:t>乙方</w:t>
      </w:r>
      <w:r>
        <w:rPr>
          <w:rFonts w:hint="eastAsia" w:ascii="宋体" w:hAnsi="宋体" w:cs="宋体"/>
          <w:szCs w:val="21"/>
          <w:highlight w:val="none"/>
        </w:rPr>
        <w:t>或其他第三方进行外运、处置</w:t>
      </w:r>
      <w:r>
        <w:rPr>
          <w:rFonts w:hint="eastAsia" w:ascii="宋体" w:hAnsi="宋体" w:cs="宋体"/>
          <w:szCs w:val="21"/>
          <w:highlight w:val="none"/>
          <w:lang w:eastAsia="zh-CN"/>
        </w:rPr>
        <w:t>，</w:t>
      </w:r>
      <w:r>
        <w:rPr>
          <w:rFonts w:hint="eastAsia" w:ascii="宋体" w:hAnsi="宋体" w:cs="宋体"/>
          <w:szCs w:val="21"/>
          <w:highlight w:val="none"/>
        </w:rPr>
        <w:t>并有权要求</w:t>
      </w:r>
      <w:r>
        <w:rPr>
          <w:rFonts w:hint="eastAsia" w:ascii="宋体" w:hAnsi="宋体" w:cs="宋体"/>
          <w:szCs w:val="21"/>
          <w:highlight w:val="none"/>
          <w:lang w:eastAsia="zh-CN"/>
        </w:rPr>
        <w:t>乙方</w:t>
      </w:r>
      <w:r>
        <w:rPr>
          <w:rFonts w:hint="eastAsia" w:ascii="宋体" w:hAnsi="宋体" w:cs="宋体"/>
          <w:szCs w:val="21"/>
          <w:highlight w:val="none"/>
        </w:rPr>
        <w:t>根据</w:t>
      </w:r>
      <w:r>
        <w:rPr>
          <w:rFonts w:hint="eastAsia" w:ascii="宋体" w:hAnsi="宋体" w:cs="宋体"/>
          <w:szCs w:val="21"/>
          <w:highlight w:val="none"/>
          <w:lang w:val="en-US" w:eastAsia="zh-CN"/>
        </w:rPr>
        <w:t>单项</w:t>
      </w:r>
      <w:r>
        <w:rPr>
          <w:rFonts w:hint="eastAsia" w:ascii="宋体" w:hAnsi="宋体" w:cs="宋体"/>
          <w:szCs w:val="21"/>
          <w:highlight w:val="none"/>
        </w:rPr>
        <w:t>合同约定支付违约金。</w:t>
      </w:r>
    </w:p>
    <w:p w14:paraId="447E6E93">
      <w:pPr>
        <w:spacing w:line="360" w:lineRule="auto"/>
        <w:ind w:firstLine="420" w:firstLineChars="200"/>
        <w:contextualSpacing/>
        <w:rPr>
          <w:rFonts w:ascii="宋体" w:hAnsi="宋体" w:eastAsia="宋体" w:cs="宋体"/>
          <w:szCs w:val="21"/>
          <w:highlight w:val="none"/>
        </w:rPr>
      </w:pPr>
      <w:r>
        <w:rPr>
          <w:rFonts w:hint="eastAsia" w:ascii="宋体" w:hAnsi="宋体" w:eastAsia="宋体" w:cs="宋体"/>
          <w:szCs w:val="21"/>
          <w:highlight w:val="none"/>
        </w:rPr>
        <w:t>6.</w:t>
      </w:r>
      <w:r>
        <w:rPr>
          <w:rFonts w:hint="eastAsia" w:ascii="宋体" w:hAnsi="宋体" w:eastAsia="宋体" w:cs="宋体"/>
          <w:szCs w:val="21"/>
          <w:highlight w:val="none"/>
          <w:lang w:val="en-US" w:eastAsia="zh-CN"/>
        </w:rPr>
        <w:t>8</w:t>
      </w:r>
      <w:r>
        <w:rPr>
          <w:rFonts w:hint="eastAsia" w:ascii="宋体" w:hAnsi="宋体" w:eastAsia="宋体" w:cs="宋体"/>
          <w:szCs w:val="21"/>
          <w:highlight w:val="none"/>
        </w:rPr>
        <w:t xml:space="preserve"> 乙方获得某一片区（或某一批次）常态化处置权时，对该片区（或该批次）范围内的所有污水厂污泥处置工作承担主要责任，当乙方作为某一片区（或某一批次）下的常态化或临时应急处置单位出现减产或停产时，甲方有权自行委托其他第三方运输、处置，由此造成甲方的经济损失（包括但不限于甲方委托第三方运输、处置的差价），由乙方承担全部赔偿。</w:t>
      </w:r>
    </w:p>
    <w:p w14:paraId="3C525478">
      <w:pPr>
        <w:spacing w:line="360" w:lineRule="auto"/>
        <w:ind w:firstLine="420" w:firstLineChars="200"/>
        <w:contextualSpacing/>
        <w:rPr>
          <w:rFonts w:ascii="宋体" w:hAnsi="宋体" w:eastAsia="宋体" w:cs="宋体"/>
          <w:szCs w:val="21"/>
          <w:highlight w:val="none"/>
        </w:rPr>
      </w:pPr>
      <w:r>
        <w:rPr>
          <w:rFonts w:hint="eastAsia" w:ascii="宋体" w:hAnsi="宋体" w:eastAsia="宋体" w:cs="宋体"/>
          <w:szCs w:val="21"/>
          <w:highlight w:val="none"/>
        </w:rPr>
        <w:t>6.</w:t>
      </w:r>
      <w:r>
        <w:rPr>
          <w:rFonts w:hint="eastAsia" w:ascii="宋体" w:hAnsi="宋体" w:eastAsia="宋体" w:cs="宋体"/>
          <w:szCs w:val="21"/>
          <w:highlight w:val="none"/>
          <w:lang w:val="en-US" w:eastAsia="zh-CN"/>
        </w:rPr>
        <w:t>9</w:t>
      </w:r>
      <w:r>
        <w:rPr>
          <w:rFonts w:hint="eastAsia" w:ascii="宋体" w:hAnsi="宋体" w:eastAsia="宋体" w:cs="宋体"/>
          <w:szCs w:val="21"/>
          <w:highlight w:val="none"/>
        </w:rPr>
        <w:t xml:space="preserve"> 乙方配备履行本服务合同必需的运输设备和工具，乙方或其指定的第三方具有道路运输经营许可证并符合一般工业固废运输的要求，运输司机及运输车辆须有正规保险凭证，运输司机及车辆必须持有合法、正规牌照，并且按照合同双方确定的泥粉运输常用（备用）路线运输泥粉/污泥等一般固体废物。泥粉/污泥等一般固体废物运输车辆应当全部安装GPS定位系统，并能直接与甲方在线监管平台对接，实时显示泥粉/污泥等一般固体废物运输轨迹等信息；乙方自有的车载GPS定位系统不能直接与甲方在线监管平台对接的，甲方提供定位系统设备供乙方使用。在运输过程中，乙方应保证GPS定位系统能正常接收信号，运输全程纳入定位管理。</w:t>
      </w:r>
    </w:p>
    <w:p w14:paraId="41D81AA5">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6.</w:t>
      </w:r>
      <w:r>
        <w:rPr>
          <w:rFonts w:hint="eastAsia" w:ascii="宋体" w:hAnsi="宋体" w:eastAsia="宋体" w:cs="宋体"/>
          <w:szCs w:val="21"/>
          <w:highlight w:val="none"/>
          <w:lang w:val="en-US" w:eastAsia="zh-CN"/>
        </w:rPr>
        <w:t>10</w:t>
      </w:r>
      <w:r>
        <w:rPr>
          <w:rFonts w:hint="eastAsia" w:ascii="宋体" w:hAnsi="宋体" w:eastAsia="宋体" w:cs="宋体"/>
          <w:szCs w:val="21"/>
          <w:highlight w:val="none"/>
        </w:rPr>
        <w:t xml:space="preserve"> 乙方必须制定与半干化泥粉处置有关的规章制度和发生意外事故时的应急预案，并向甲方报备。发生半干化泥粉流失、泄漏、扩散时，乙方应当立即采取紧急处理措施，并及时向生态环境主管部门报告</w:t>
      </w:r>
      <w:r>
        <w:rPr>
          <w:rFonts w:hint="eastAsia" w:ascii="宋体" w:hAnsi="宋体" w:eastAsia="宋体" w:cs="宋体"/>
          <w:sz w:val="21"/>
          <w:szCs w:val="21"/>
          <w:highlight w:val="none"/>
          <w:lang w:val="en-US" w:eastAsia="zh-CN" w:bidi="ar-SA"/>
        </w:rPr>
        <w:t>，</w:t>
      </w:r>
      <w:r>
        <w:rPr>
          <w:rFonts w:hint="eastAsia" w:ascii="宋体" w:hAnsi="宋体" w:eastAsia="宋体" w:cs="宋体"/>
          <w:color w:val="000000"/>
          <w:kern w:val="2"/>
          <w:sz w:val="21"/>
          <w:szCs w:val="21"/>
          <w:highlight w:val="none"/>
          <w:lang w:val="en-US" w:eastAsia="zh-CN" w:bidi="ar-SA"/>
        </w:rPr>
        <w:t>同步向甲方报告</w:t>
      </w:r>
      <w:r>
        <w:rPr>
          <w:rFonts w:hint="eastAsia" w:ascii="宋体" w:hAnsi="宋体" w:eastAsia="宋体" w:cs="宋体"/>
          <w:szCs w:val="21"/>
          <w:highlight w:val="none"/>
        </w:rPr>
        <w:t>。</w:t>
      </w:r>
    </w:p>
    <w:p w14:paraId="17382680">
      <w:pPr>
        <w:spacing w:line="360" w:lineRule="auto"/>
        <w:ind w:firstLine="420" w:firstLineChars="200"/>
        <w:contextualSpacing/>
        <w:rPr>
          <w:rFonts w:ascii="宋体" w:hAnsi="宋体" w:eastAsia="宋体" w:cs="宋体"/>
          <w:szCs w:val="21"/>
          <w:highlight w:val="none"/>
        </w:rPr>
      </w:pPr>
      <w:r>
        <w:rPr>
          <w:rFonts w:hint="eastAsia" w:ascii="宋体" w:hAnsi="宋体" w:eastAsia="宋体" w:cs="宋体"/>
          <w:szCs w:val="21"/>
          <w:highlight w:val="none"/>
        </w:rPr>
        <w:t>6.</w:t>
      </w:r>
      <w:r>
        <w:rPr>
          <w:rFonts w:hint="eastAsia" w:ascii="宋体" w:hAnsi="宋体" w:eastAsia="宋体" w:cs="宋体"/>
          <w:szCs w:val="21"/>
          <w:highlight w:val="none"/>
          <w:lang w:val="en-US" w:eastAsia="zh-CN"/>
        </w:rPr>
        <w:t>11</w:t>
      </w:r>
      <w:r>
        <w:rPr>
          <w:rFonts w:hint="eastAsia" w:ascii="宋体" w:hAnsi="宋体" w:eastAsia="宋体" w:cs="宋体"/>
          <w:szCs w:val="21"/>
          <w:highlight w:val="none"/>
        </w:rPr>
        <w:t xml:space="preserve"> 乙方必须对半干化泥粉运输和处置情况进行登记建立台账信息，同时应按照甲方要求在处置场所进出口、污泥接收储存仓、污泥处置投料口处安装监控视频，并定期通过移交监控储存移动硬盘等方式，将监控视频资料移交给甲方。运输和处置等相关台账信息资料保存时间为至少5年，监控视频资料保存时间至少3个月。</w:t>
      </w:r>
    </w:p>
    <w:p w14:paraId="5B538DC3">
      <w:pPr>
        <w:spacing w:line="360" w:lineRule="auto"/>
        <w:ind w:firstLine="420" w:firstLineChars="200"/>
        <w:contextualSpacing/>
        <w:rPr>
          <w:rFonts w:ascii="宋体" w:hAnsi="宋体" w:eastAsia="宋体" w:cs="宋体"/>
          <w:szCs w:val="21"/>
          <w:highlight w:val="none"/>
        </w:rPr>
      </w:pPr>
      <w:r>
        <w:rPr>
          <w:rFonts w:hint="eastAsia" w:ascii="宋体" w:hAnsi="宋体" w:eastAsia="宋体" w:cs="宋体"/>
          <w:szCs w:val="21"/>
          <w:highlight w:val="none"/>
        </w:rPr>
        <w:t>6.</w:t>
      </w:r>
      <w:r>
        <w:rPr>
          <w:rFonts w:hint="eastAsia" w:ascii="宋体" w:hAnsi="宋体" w:eastAsia="宋体" w:cs="宋体"/>
          <w:szCs w:val="21"/>
          <w:highlight w:val="none"/>
          <w:lang w:val="en-US" w:eastAsia="zh-CN"/>
        </w:rPr>
        <w:t>12</w:t>
      </w:r>
      <w:r>
        <w:rPr>
          <w:rFonts w:hint="eastAsia" w:ascii="宋体" w:hAnsi="宋体" w:eastAsia="宋体" w:cs="宋体"/>
          <w:szCs w:val="21"/>
          <w:highlight w:val="none"/>
        </w:rPr>
        <w:t xml:space="preserve"> 乙方必须确保在运输、处置甲方的半干化泥粉时，乙方实际处置的半干化泥粉量没有超出实际可处理能力范围。</w:t>
      </w:r>
    </w:p>
    <w:p w14:paraId="69AC3626">
      <w:pPr>
        <w:spacing w:line="360" w:lineRule="auto"/>
        <w:outlineLvl w:val="2"/>
        <w:rPr>
          <w:rFonts w:ascii="宋体" w:hAnsi="宋体" w:eastAsia="宋体" w:cs="宋体"/>
          <w:b/>
          <w:szCs w:val="21"/>
          <w:highlight w:val="none"/>
        </w:rPr>
      </w:pPr>
      <w:r>
        <w:rPr>
          <w:rFonts w:hint="eastAsia" w:ascii="宋体" w:hAnsi="宋体" w:eastAsia="宋体" w:cs="宋体"/>
          <w:b/>
          <w:szCs w:val="21"/>
          <w:highlight w:val="none"/>
        </w:rPr>
        <w:t>第七条 双方权利义务</w:t>
      </w:r>
    </w:p>
    <w:p w14:paraId="23CFB3C0">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7.1 甲方权利和义务</w:t>
      </w:r>
    </w:p>
    <w:p w14:paraId="494E01B0">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7.1.1 甲方有权对泥粉/污泥等一般固体废物的外运和处置全过程进行监督。</w:t>
      </w:r>
    </w:p>
    <w:p w14:paraId="09E0C383">
      <w:pPr>
        <w:spacing w:line="360" w:lineRule="auto"/>
        <w:ind w:firstLine="420" w:firstLineChars="200"/>
        <w:contextualSpacing/>
        <w:rPr>
          <w:rFonts w:ascii="宋体" w:hAnsi="宋体" w:eastAsia="宋体" w:cs="宋体"/>
          <w:szCs w:val="21"/>
          <w:highlight w:val="none"/>
        </w:rPr>
      </w:pPr>
      <w:r>
        <w:rPr>
          <w:rFonts w:hint="eastAsia" w:ascii="宋体" w:hAnsi="宋体" w:eastAsia="宋体" w:cs="宋体"/>
          <w:szCs w:val="21"/>
          <w:highlight w:val="none"/>
        </w:rPr>
        <w:t>7.1.2 本合同不具排他性，甲方对本合同范围内的具体服务分配享有自主选择的权利。根据项目的实际需要，甲方具有将本合同项下的泥粉/污泥等一般固体废物委托其他有资质的第三方处置的权利。</w:t>
      </w:r>
    </w:p>
    <w:p w14:paraId="75366AC3">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7.1.3 甲方将根据成本控制、生产运营需求情况，以及供应商库内供应商的实际处置能力波动情况（包括若供应商库内部分供应商资格被取消或因供应商处置量不满足甲方需求等原因造成服务单位数量不能满足正常工作需求等），补充符合资格条件的服务单位进入供应商库参与外运处置量的分配，以保证外运资源化处置能力满足项目的正常需求和成本控制的需求。</w:t>
      </w:r>
    </w:p>
    <w:p w14:paraId="3B1AA428">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7.1.4 甲方有权按照《供应商综合评价考核表》对乙方进行动态考核评价，并有权按照甲方管理要求进行处理。</w:t>
      </w:r>
    </w:p>
    <w:p w14:paraId="31E2520F">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7.1.5 甲方有权对乙方不符合要求的问题提出书面整改意见，乙方应在甲方规定的时间内完成整改。</w:t>
      </w:r>
    </w:p>
    <w:p w14:paraId="065BE9F3">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7.1.6 合同履行期内，甲方有权依据国家、行业有关规范标准，调整完善服务技术要求，乙方同意遵照执行。如合同履行期内相关行政管理部门出台相关执行标准，则执行新的标准，当新的标准与用户需求书中的执行标准要求不一致时，以要求最高的规范标准作为本合同的执行标准。在合同履行期内，乙方同意不因相关执行标准的调整而要求甲方增加费用或要求补偿。</w:t>
      </w:r>
    </w:p>
    <w:p w14:paraId="54B16561">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7.1.7 甲方及时办理服务费的支付手续。</w:t>
      </w:r>
    </w:p>
    <w:p w14:paraId="574F67FB">
      <w:pPr>
        <w:spacing w:line="360" w:lineRule="auto"/>
        <w:ind w:firstLine="420" w:firstLineChars="200"/>
        <w:rPr>
          <w:rFonts w:ascii="宋体" w:hAnsi="宋体" w:eastAsia="宋体" w:cs="宋体"/>
          <w:color w:val="000000"/>
          <w:szCs w:val="21"/>
          <w:highlight w:val="none"/>
        </w:rPr>
      </w:pPr>
      <w:r>
        <w:rPr>
          <w:rFonts w:hint="eastAsia" w:ascii="宋体" w:hAnsi="宋体" w:eastAsia="宋体" w:cs="宋体"/>
          <w:szCs w:val="21"/>
          <w:highlight w:val="none"/>
        </w:rPr>
        <w:t>7.1.8 甲方有权根据建设、运营、承接项目、代管项目需要，在公平、公正的基础上，在乙方具有对应资质和条件的情况下，经协商</w:t>
      </w:r>
      <w:r>
        <w:rPr>
          <w:rFonts w:hint="eastAsia" w:ascii="宋体" w:hAnsi="宋体" w:eastAsia="宋体" w:cs="宋体"/>
          <w:color w:val="000000"/>
          <w:szCs w:val="21"/>
          <w:highlight w:val="none"/>
        </w:rPr>
        <w:t>一致，委托乙方处理、处置甲方污水处理厂半干化泥粉、污水处理厂含水率约80%的湿泥、排水管渠污泥脱水减量化后的半干化泥粉、供水厂排泥水污泥脱水减量化后的半干化泥粉，以及（污水处理厂半干化泥粉项目以外的）其它污泥、淤泥或类似一般固体废物。</w:t>
      </w:r>
    </w:p>
    <w:p w14:paraId="459A8A5F">
      <w:pPr>
        <w:spacing w:line="360" w:lineRule="auto"/>
        <w:ind w:firstLine="420" w:firstLineChars="200"/>
        <w:rPr>
          <w:rFonts w:ascii="宋体" w:hAnsi="宋体" w:eastAsia="宋体" w:cs="宋体"/>
          <w:color w:val="000000"/>
          <w:szCs w:val="21"/>
          <w:highlight w:val="none"/>
        </w:rPr>
      </w:pPr>
      <w:r>
        <w:rPr>
          <w:rFonts w:hint="eastAsia" w:ascii="宋体" w:hAnsi="宋体" w:eastAsia="宋体" w:cs="宋体"/>
          <w:color w:val="000000"/>
          <w:szCs w:val="21"/>
          <w:highlight w:val="none"/>
        </w:rPr>
        <w:t>7.1.9 乙方承诺将严格遵守甲方（或甲方上级单位）提出或调整的日常管理制度或相关管理要求。</w:t>
      </w:r>
    </w:p>
    <w:p w14:paraId="5193A696">
      <w:pPr>
        <w:spacing w:line="360" w:lineRule="auto"/>
        <w:ind w:firstLine="420" w:firstLineChars="200"/>
        <w:rPr>
          <w:rFonts w:ascii="宋体" w:hAnsi="宋体" w:eastAsia="宋体" w:cs="宋体"/>
          <w:color w:val="000000"/>
          <w:szCs w:val="21"/>
          <w:highlight w:val="none"/>
        </w:rPr>
      </w:pPr>
      <w:r>
        <w:rPr>
          <w:rFonts w:hint="eastAsia" w:ascii="宋体" w:hAnsi="宋体" w:eastAsia="宋体" w:cs="宋体"/>
          <w:color w:val="000000"/>
          <w:szCs w:val="21"/>
          <w:highlight w:val="none"/>
        </w:rPr>
        <w:t>7.1.10 跨市转移处置污泥时，乙方应根据《广东省住房和城乡建设厅 广东省生态环境厅城镇生活污水处理厂污泥处理处置管理办法》的规定，办理完东莞市污泥主管部门备案手续方可外运处置，因乙方处理能力等导致不能完成备案手续的，甲方有权不委托乙方外运处置且无需承担违约责任。</w:t>
      </w:r>
    </w:p>
    <w:p w14:paraId="3AE9E790">
      <w:pPr>
        <w:spacing w:line="360" w:lineRule="auto"/>
        <w:ind w:firstLine="420" w:firstLineChars="200"/>
        <w:rPr>
          <w:rFonts w:ascii="宋体" w:hAnsi="宋体" w:eastAsia="宋体" w:cs="宋体"/>
          <w:color w:val="000000"/>
          <w:szCs w:val="21"/>
          <w:highlight w:val="none"/>
        </w:rPr>
      </w:pPr>
      <w:r>
        <w:rPr>
          <w:rFonts w:hint="eastAsia" w:ascii="宋体" w:hAnsi="宋体" w:eastAsia="宋体" w:cs="宋体"/>
          <w:color w:val="000000"/>
          <w:szCs w:val="21"/>
          <w:highlight w:val="none"/>
        </w:rPr>
        <w:t>7.1.11 在本合同2.1款约定的供应商服务资格有效期内，甲方有权调整供应商库管理模式，包括但不限于单项项目分配资格、分配方式和供应商库的服务期限等。</w:t>
      </w:r>
    </w:p>
    <w:p w14:paraId="0D01D389">
      <w:pPr>
        <w:spacing w:line="360" w:lineRule="auto"/>
        <w:ind w:firstLine="420" w:firstLineChars="200"/>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7.1.12 </w:t>
      </w:r>
      <w:r>
        <w:rPr>
          <w:rFonts w:hint="eastAsia" w:ascii="宋体" w:hAnsi="宋体" w:eastAsia="宋体" w:cs="宋体"/>
          <w:color w:val="000000"/>
          <w:szCs w:val="21"/>
          <w:highlight w:val="none"/>
          <w:lang w:val="en-US" w:eastAsia="zh-CN"/>
        </w:rPr>
        <w:t>招标</w:t>
      </w:r>
      <w:r>
        <w:rPr>
          <w:rFonts w:hint="eastAsia" w:ascii="宋体" w:hAnsi="宋体" w:eastAsia="宋体" w:cs="宋体"/>
          <w:color w:val="000000"/>
          <w:szCs w:val="21"/>
          <w:highlight w:val="none"/>
        </w:rPr>
        <w:t>文件、本合同文件及附件内容约定的甲方其他权利义务。污水处理厂半干化泥粉项目履行过程中，甲方还应按照单项合同（指甲乙双方就具体项目签订的服务合同）约定享有权利和履行义务。</w:t>
      </w:r>
    </w:p>
    <w:p w14:paraId="14E915E5">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7.2 乙方权利和义务</w:t>
      </w:r>
    </w:p>
    <w:p w14:paraId="2ABF051F">
      <w:pPr>
        <w:spacing w:line="360" w:lineRule="auto"/>
        <w:ind w:firstLine="420" w:firstLineChars="200"/>
        <w:contextualSpacing/>
        <w:rPr>
          <w:rFonts w:ascii="宋体" w:hAnsi="宋体" w:eastAsia="宋体" w:cs="宋体"/>
          <w:szCs w:val="21"/>
          <w:highlight w:val="none"/>
        </w:rPr>
      </w:pPr>
      <w:r>
        <w:rPr>
          <w:rFonts w:hint="eastAsia" w:ascii="宋体" w:hAnsi="宋体" w:eastAsia="宋体" w:cs="宋体"/>
          <w:szCs w:val="21"/>
          <w:highlight w:val="none"/>
        </w:rPr>
        <w:t>7.2.1 本合同禁止转包，乙方应将甲方交付的半干化泥粉/污泥等一般固体废物自行依法处置完毕，不得交由第三方处置。经甲方书面同意后，乙方可将乙方不具备对应资质的本合同非主体、非关键性工作（运输、处置后副产品的检测）分包给具备对应资质的单位实施，签订分包合同，并在分包工作实施前向甲方书面说明分包事宜，分包合同签订后向甲方提供分包合同、分包单位营业执照、分包单位资质（道路运输经营许可证或检验检测机构资质认定证书）、运输车辆及司机资料等备案材料，乙方负责分包单位的管理、材料及成果的接收，乙方对分包单位的安全、工作质量负责。乙方根据本合同的约定对甲方负责，分包单位按照分包合同的约定对乙方负责。</w:t>
      </w:r>
    </w:p>
    <w:p w14:paraId="087BFB66">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7.2.2 乙方应按甲方的要求连续不间断地外运处置泥粉/污泥等一般固体废物。</w:t>
      </w:r>
    </w:p>
    <w:p w14:paraId="163E8DAF">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7.2.3 在本合同履行期间，乙方应承担其聘请人员的用工责任及用人单位责任。为其雇员、劳动者依法提供劳动保护，为从事处理、处置工作的人员购买社会保险或意外伤害保险，并为施工场地内自有人员生命财产和施工机械设备办理保险，承担并支付保险费用。如乙方人员（包括雇员、乙方劳动者等）在服务过程中发生意外事故的，由乙方承担全部责任并支付全部费用。</w:t>
      </w:r>
    </w:p>
    <w:p w14:paraId="24A72CFB">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7.2.4 乙方应严格遵守国家法律、法规，协助甲方做好社会治安综合管理工作等工作。如乙方员工有违法乱纪的行为，乙方应承担一切经济责任和法律责任。</w:t>
      </w:r>
    </w:p>
    <w:p w14:paraId="145545C9">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7.2.5 每逢甲方上级单位或市有关部门进行监督检查时，乙方应无条件配合甲方及有关部门组织的突击性任务及迎检活动，按时、按标准、按要求完成甲方所分配的工作。积极响应并接受市、镇街相关主管部门及其他上级部门的监督检查并接受广大市民监督。</w:t>
      </w:r>
    </w:p>
    <w:p w14:paraId="2DB6A582">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7.2.6 乙方在合同期限内应保存好全部文件资料，且不得将上述文件资料向第三人披露或用于本项目之外的目的（依法需公开披露或成为公开信息除外，但乙方应在公开披露前及时提醒甲方）。在合同解除或终止后，按照甲方的要求，做好本项目的交接工作。如因资料缺失对甲方后续工作造成影响的，由此产生的费用由乙方全部承担。</w:t>
      </w:r>
    </w:p>
    <w:p w14:paraId="12798218">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7.2.</w:t>
      </w:r>
      <w:r>
        <w:rPr>
          <w:rFonts w:hint="eastAsia" w:ascii="宋体" w:hAnsi="宋体" w:eastAsia="宋体" w:cs="宋体"/>
          <w:szCs w:val="21"/>
          <w:highlight w:val="none"/>
          <w:lang w:val="en-US" w:eastAsia="zh-CN"/>
        </w:rPr>
        <w:t>7</w:t>
      </w:r>
      <w:r>
        <w:rPr>
          <w:rFonts w:hint="eastAsia" w:ascii="宋体" w:hAnsi="宋体" w:eastAsia="宋体" w:cs="宋体"/>
          <w:szCs w:val="21"/>
          <w:highlight w:val="none"/>
        </w:rPr>
        <w:t xml:space="preserve"> </w:t>
      </w:r>
      <w:r>
        <w:rPr>
          <w:rFonts w:hint="eastAsia" w:ascii="宋体" w:hAnsi="宋体" w:eastAsia="宋体" w:cs="宋体"/>
          <w:szCs w:val="21"/>
          <w:highlight w:val="none"/>
          <w:lang w:val="en-US" w:eastAsia="zh-CN"/>
        </w:rPr>
        <w:t>招标</w:t>
      </w:r>
      <w:r>
        <w:rPr>
          <w:rFonts w:hint="eastAsia" w:ascii="宋体" w:hAnsi="宋体" w:eastAsia="宋体" w:cs="宋体"/>
          <w:szCs w:val="21"/>
          <w:highlight w:val="none"/>
        </w:rPr>
        <w:t>文件、本合同文件及附件内容约定的乙方其他权利义务。</w:t>
      </w:r>
    </w:p>
    <w:p w14:paraId="46271CA1">
      <w:pPr>
        <w:spacing w:line="360" w:lineRule="auto"/>
        <w:outlineLvl w:val="2"/>
        <w:rPr>
          <w:rFonts w:ascii="宋体" w:hAnsi="宋体" w:eastAsia="宋体" w:cs="宋体"/>
          <w:b/>
          <w:szCs w:val="21"/>
          <w:highlight w:val="none"/>
        </w:rPr>
      </w:pPr>
      <w:r>
        <w:rPr>
          <w:rFonts w:hint="eastAsia" w:ascii="宋体" w:hAnsi="宋体" w:eastAsia="宋体" w:cs="宋体"/>
          <w:b/>
          <w:szCs w:val="21"/>
          <w:highlight w:val="none"/>
        </w:rPr>
        <w:t>第八条 服务费及支付方式</w:t>
      </w:r>
    </w:p>
    <w:p w14:paraId="6B878F04">
      <w:pPr>
        <w:spacing w:line="360" w:lineRule="auto"/>
        <w:ind w:firstLine="420" w:firstLineChars="200"/>
        <w:rPr>
          <w:rFonts w:ascii="宋体" w:hAnsi="宋体" w:eastAsia="宋体" w:cs="宋体"/>
          <w:szCs w:val="21"/>
          <w:highlight w:val="none"/>
        </w:rPr>
      </w:pPr>
      <w:r>
        <w:rPr>
          <w:rFonts w:hint="eastAsia" w:ascii="宋体" w:hAnsi="宋体" w:eastAsia="宋体" w:cs="宋体"/>
          <w:szCs w:val="21"/>
          <w:highlight w:val="none"/>
        </w:rPr>
        <w:t>8.1 处置服务费及服务费支付方式在单项合同内约定。</w:t>
      </w:r>
    </w:p>
    <w:p w14:paraId="744BB339">
      <w:pPr>
        <w:spacing w:line="360" w:lineRule="auto"/>
        <w:outlineLvl w:val="2"/>
        <w:rPr>
          <w:rFonts w:ascii="宋体" w:hAnsi="宋体" w:eastAsia="宋体" w:cs="宋体"/>
          <w:b/>
          <w:szCs w:val="21"/>
          <w:highlight w:val="none"/>
        </w:rPr>
      </w:pPr>
      <w:r>
        <w:rPr>
          <w:rFonts w:hint="eastAsia" w:ascii="宋体" w:hAnsi="宋体" w:eastAsia="宋体" w:cs="宋体"/>
          <w:b/>
          <w:szCs w:val="21"/>
          <w:highlight w:val="none"/>
        </w:rPr>
        <w:t>第九条 违约责任</w:t>
      </w:r>
    </w:p>
    <w:p w14:paraId="52DCCDC9">
      <w:pPr>
        <w:snapToGrid w:val="0"/>
        <w:spacing w:line="360" w:lineRule="auto"/>
        <w:ind w:firstLine="420" w:firstLineChars="200"/>
        <w:rPr>
          <w:rFonts w:ascii="宋体" w:hAnsi="宋体" w:eastAsia="宋体" w:cs="宋体"/>
          <w:bCs/>
          <w:szCs w:val="21"/>
          <w:highlight w:val="none"/>
        </w:rPr>
      </w:pPr>
      <w:r>
        <w:rPr>
          <w:rFonts w:hint="eastAsia" w:ascii="宋体" w:hAnsi="宋体" w:eastAsia="宋体" w:cs="宋体"/>
          <w:bCs/>
          <w:szCs w:val="21"/>
          <w:highlight w:val="none"/>
        </w:rPr>
        <w:t>9.1 在授予供应商库入库合同前，甲方将组织对乙方泥粉/污泥处置场所现场的真实性、合法性及履约能力进行核查，包括对乙方资格条件、履约能力是否符合</w:t>
      </w:r>
      <w:r>
        <w:rPr>
          <w:rFonts w:hint="eastAsia" w:ascii="宋体" w:hAnsi="宋体" w:eastAsia="宋体" w:cs="宋体"/>
          <w:bCs/>
          <w:szCs w:val="21"/>
          <w:highlight w:val="none"/>
          <w:lang w:val="en-US" w:eastAsia="zh-CN"/>
        </w:rPr>
        <w:t>招标</w:t>
      </w:r>
      <w:r>
        <w:rPr>
          <w:rFonts w:hint="eastAsia" w:ascii="宋体" w:hAnsi="宋体" w:eastAsia="宋体" w:cs="宋体"/>
          <w:bCs/>
          <w:szCs w:val="21"/>
          <w:highlight w:val="none"/>
        </w:rPr>
        <w:t>文件要求及</w:t>
      </w:r>
      <w:r>
        <w:rPr>
          <w:rFonts w:hint="eastAsia" w:ascii="宋体" w:hAnsi="宋体" w:eastAsia="宋体" w:cs="宋体"/>
          <w:bCs/>
          <w:szCs w:val="21"/>
          <w:highlight w:val="none"/>
          <w:lang w:val="en-US" w:eastAsia="zh-CN"/>
        </w:rPr>
        <w:t>投标</w:t>
      </w:r>
      <w:r>
        <w:rPr>
          <w:rFonts w:hint="eastAsia" w:ascii="宋体" w:hAnsi="宋体" w:eastAsia="宋体" w:cs="宋体"/>
          <w:bCs/>
          <w:szCs w:val="21"/>
          <w:highlight w:val="none"/>
        </w:rPr>
        <w:t>文件承诺，是否符合《广东省住房和城乡建设厅 广东省生态环境厅城镇生活污水处理厂污泥处理处置管理办法》（若后续相关法规管理要求有所变更，按最新的要求执行）规定的处置条件，乙方泥粉/污泥处置场所生产的产品属于主管部门规定需取得生产许可资质要求的，是否已取得所属行业主管部门的生产许可资质或批复等。若经现场核查乙方泥粉/污泥处置场所与</w:t>
      </w:r>
      <w:r>
        <w:rPr>
          <w:rFonts w:hint="eastAsia" w:ascii="宋体" w:hAnsi="宋体" w:eastAsia="宋体" w:cs="宋体"/>
          <w:bCs/>
          <w:szCs w:val="21"/>
          <w:highlight w:val="none"/>
          <w:lang w:val="en-US" w:eastAsia="zh-CN"/>
        </w:rPr>
        <w:t>投标</w:t>
      </w:r>
      <w:r>
        <w:rPr>
          <w:rFonts w:hint="eastAsia" w:ascii="宋体" w:hAnsi="宋体" w:eastAsia="宋体" w:cs="宋体"/>
          <w:bCs/>
          <w:szCs w:val="21"/>
          <w:highlight w:val="none"/>
        </w:rPr>
        <w:t>文件不符的，甲方有权取消乙方供应商库供应商资格</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rPr>
        <w:t>直接单方解除本合同，要求乙方退出供应商库，并承担【5】万元违约金。</w:t>
      </w:r>
    </w:p>
    <w:p w14:paraId="1F5D2CD1">
      <w:pPr>
        <w:snapToGrid w:val="0"/>
        <w:spacing w:line="360" w:lineRule="auto"/>
        <w:ind w:firstLine="420" w:firstLineChars="200"/>
        <w:rPr>
          <w:rFonts w:ascii="宋体" w:hAnsi="宋体" w:eastAsia="宋体" w:cs="宋体"/>
          <w:bCs/>
          <w:szCs w:val="21"/>
          <w:highlight w:val="none"/>
        </w:rPr>
      </w:pPr>
      <w:r>
        <w:rPr>
          <w:rFonts w:hint="eastAsia" w:ascii="宋体" w:hAnsi="宋体" w:eastAsia="宋体" w:cs="宋体"/>
          <w:bCs/>
          <w:szCs w:val="21"/>
          <w:highlight w:val="none"/>
        </w:rPr>
        <w:t>9.2 在甲方授予乙方单项合同后，如因乙方原因，导致单项合同解除，甲方有权取消乙方供应商库供应商资格，直接单方解除本合同，要求乙方退出供应商库，并</w:t>
      </w:r>
      <w:r>
        <w:rPr>
          <w:rFonts w:hint="eastAsia" w:ascii="宋体" w:hAnsi="宋体" w:eastAsia="宋体" w:cs="宋体"/>
          <w:bCs/>
          <w:szCs w:val="21"/>
          <w:highlight w:val="none"/>
          <w:lang w:val="en-US" w:eastAsia="zh-CN"/>
        </w:rPr>
        <w:t>承担【5】万元违约金</w:t>
      </w:r>
      <w:r>
        <w:rPr>
          <w:rFonts w:hint="eastAsia" w:ascii="宋体" w:hAnsi="宋体" w:eastAsia="宋体" w:cs="宋体"/>
          <w:bCs/>
          <w:szCs w:val="21"/>
          <w:highlight w:val="none"/>
        </w:rPr>
        <w:t>。</w:t>
      </w:r>
    </w:p>
    <w:p w14:paraId="5470BEFC">
      <w:pPr>
        <w:snapToGrid w:val="0"/>
        <w:spacing w:line="360" w:lineRule="auto"/>
        <w:ind w:firstLine="420" w:firstLineChars="200"/>
        <w:rPr>
          <w:rFonts w:ascii="宋体" w:hAnsi="宋体" w:eastAsia="宋体" w:cs="宋体"/>
          <w:bCs/>
          <w:szCs w:val="21"/>
          <w:highlight w:val="none"/>
        </w:rPr>
      </w:pPr>
      <w:r>
        <w:rPr>
          <w:rFonts w:hint="eastAsia" w:ascii="宋体" w:hAnsi="宋体" w:eastAsia="宋体" w:cs="宋体"/>
          <w:bCs/>
          <w:szCs w:val="21"/>
          <w:highlight w:val="none"/>
        </w:rPr>
        <w:t>9.3 在供应商库存续期间，甲方将对乙方进行动态考核评价，若乙方在动态考核评价得分低于60分或在60分（含）-80分（不含）且连续两次整改后动态考核评价得分仍低于80分，甲方有权取消乙方供应商库供应商资格，直接单方解除本合同，要求乙方退出供应商库</w:t>
      </w:r>
      <w:r>
        <w:rPr>
          <w:rFonts w:hint="eastAsia" w:ascii="宋体" w:hAnsi="宋体" w:eastAsia="宋体" w:cs="宋体"/>
          <w:bCs/>
          <w:szCs w:val="21"/>
          <w:highlight w:val="none"/>
          <w:lang w:eastAsia="zh-CN"/>
        </w:rPr>
        <w:t>，</w:t>
      </w:r>
      <w:r>
        <w:rPr>
          <w:rFonts w:hint="eastAsia" w:ascii="宋体" w:hAnsi="宋体" w:eastAsia="宋体" w:cs="宋体"/>
          <w:szCs w:val="21"/>
          <w:highlight w:val="none"/>
        </w:rPr>
        <w:t>并</w:t>
      </w:r>
      <w:r>
        <w:rPr>
          <w:rFonts w:hint="eastAsia" w:ascii="宋体" w:hAnsi="宋体" w:eastAsia="宋体" w:cs="宋体"/>
          <w:bCs/>
          <w:szCs w:val="21"/>
          <w:highlight w:val="none"/>
          <w:lang w:val="en-US" w:eastAsia="zh-CN"/>
        </w:rPr>
        <w:t>承担【5】万元违约金</w:t>
      </w:r>
      <w:r>
        <w:rPr>
          <w:rFonts w:hint="eastAsia" w:ascii="宋体" w:hAnsi="宋体" w:eastAsia="宋体" w:cs="宋体"/>
          <w:bCs/>
          <w:szCs w:val="21"/>
          <w:highlight w:val="none"/>
        </w:rPr>
        <w:t>。</w:t>
      </w:r>
    </w:p>
    <w:p w14:paraId="02D0C415">
      <w:pPr>
        <w:snapToGrid w:val="0"/>
        <w:spacing w:line="360" w:lineRule="auto"/>
        <w:ind w:firstLine="420" w:firstLineChars="200"/>
        <w:rPr>
          <w:rFonts w:ascii="宋体" w:hAnsi="宋体" w:eastAsia="宋体" w:cs="宋体"/>
          <w:bCs/>
          <w:szCs w:val="21"/>
          <w:highlight w:val="none"/>
        </w:rPr>
      </w:pPr>
      <w:r>
        <w:rPr>
          <w:rFonts w:hint="eastAsia" w:ascii="宋体" w:hAnsi="宋体" w:eastAsia="宋体" w:cs="宋体"/>
          <w:bCs/>
          <w:szCs w:val="21"/>
          <w:highlight w:val="none"/>
        </w:rPr>
        <w:t>9.4 在合同的履行期间，乙方应当保持相应资质的有效性，具备主管部门对污泥（泥粉）处置单位的要求条件和企业生产经营许可的相关资质要求。如因乙方前述资质、未办理对应手续等履约条件丧失，甲方有权取消乙方中标资格或供应商库供应商资格，直接单方解除本合同，要求乙方退出供应商库，并</w:t>
      </w:r>
      <w:r>
        <w:rPr>
          <w:rFonts w:hint="eastAsia" w:ascii="宋体" w:hAnsi="宋体" w:eastAsia="宋体" w:cs="宋体"/>
          <w:bCs/>
          <w:szCs w:val="21"/>
          <w:highlight w:val="none"/>
          <w:lang w:val="en-US" w:eastAsia="zh-CN"/>
        </w:rPr>
        <w:t>承担【5】万元违约金</w:t>
      </w:r>
      <w:r>
        <w:rPr>
          <w:rFonts w:hint="eastAsia" w:ascii="宋体" w:hAnsi="宋体" w:eastAsia="宋体" w:cs="宋体"/>
          <w:bCs/>
          <w:szCs w:val="21"/>
          <w:highlight w:val="none"/>
        </w:rPr>
        <w:t>。</w:t>
      </w:r>
    </w:p>
    <w:p w14:paraId="506CF9A6">
      <w:pPr>
        <w:snapToGrid w:val="0"/>
        <w:spacing w:line="360" w:lineRule="auto"/>
        <w:ind w:firstLine="420" w:firstLineChars="200"/>
        <w:rPr>
          <w:rFonts w:ascii="宋体" w:hAnsi="宋体" w:eastAsia="宋体" w:cs="宋体"/>
          <w:bCs/>
          <w:szCs w:val="21"/>
          <w:highlight w:val="none"/>
        </w:rPr>
      </w:pPr>
      <w:r>
        <w:rPr>
          <w:rFonts w:hint="eastAsia" w:ascii="宋体" w:hAnsi="宋体" w:eastAsia="宋体" w:cs="宋体"/>
          <w:bCs/>
          <w:szCs w:val="21"/>
          <w:highlight w:val="none"/>
        </w:rPr>
        <w:t>9.</w:t>
      </w:r>
      <w:r>
        <w:rPr>
          <w:rFonts w:hint="eastAsia" w:ascii="宋体" w:hAnsi="宋体" w:eastAsia="宋体" w:cs="宋体"/>
          <w:bCs/>
          <w:szCs w:val="21"/>
          <w:highlight w:val="none"/>
          <w:lang w:val="en-US" w:eastAsia="zh-CN"/>
        </w:rPr>
        <w:t>5</w:t>
      </w:r>
      <w:r>
        <w:rPr>
          <w:rFonts w:hint="eastAsia" w:ascii="宋体" w:hAnsi="宋体" w:eastAsia="宋体" w:cs="宋体"/>
          <w:bCs/>
          <w:szCs w:val="21"/>
          <w:highlight w:val="none"/>
        </w:rPr>
        <w:t xml:space="preserve"> 乙方必须根据本合同及附件中的各项条款，履行各项职责</w:t>
      </w:r>
      <w:r>
        <w:rPr>
          <w:rFonts w:hint="eastAsia" w:ascii="宋体" w:hAnsi="宋体" w:eastAsia="宋体" w:cs="宋体"/>
          <w:bCs/>
          <w:szCs w:val="21"/>
          <w:highlight w:val="none"/>
          <w:lang w:eastAsia="zh-CN"/>
        </w:rPr>
        <w:t>，</w:t>
      </w:r>
      <w:r>
        <w:rPr>
          <w:rFonts w:hint="eastAsia" w:ascii="宋体" w:hAnsi="宋体" w:eastAsia="宋体" w:cs="宋体"/>
          <w:color w:val="000000"/>
          <w:szCs w:val="21"/>
          <w:highlight w:val="none"/>
        </w:rPr>
        <w:t>遵守甲方（或甲方上级单位）提出或调整的日常管理制度或相关管理要求</w:t>
      </w:r>
      <w:r>
        <w:rPr>
          <w:rFonts w:hint="eastAsia" w:ascii="宋体" w:hAnsi="宋体" w:eastAsia="宋体" w:cs="宋体"/>
          <w:bCs/>
          <w:szCs w:val="21"/>
          <w:highlight w:val="none"/>
        </w:rPr>
        <w:t>。如乙方未能按照本合同及附件及经甲方确认的服务方案（包括实施计划、设备、人员、文明、安全等）</w:t>
      </w:r>
      <w:r>
        <w:rPr>
          <w:rFonts w:hint="eastAsia" w:ascii="宋体" w:hAnsi="宋体" w:eastAsia="宋体" w:cs="宋体"/>
          <w:bCs/>
          <w:szCs w:val="21"/>
          <w:highlight w:val="none"/>
          <w:lang w:eastAsia="zh-CN"/>
        </w:rPr>
        <w:t>、</w:t>
      </w:r>
      <w:r>
        <w:rPr>
          <w:rFonts w:hint="eastAsia" w:ascii="宋体" w:hAnsi="宋体" w:eastAsia="宋体" w:cs="宋体"/>
          <w:color w:val="000000"/>
          <w:szCs w:val="21"/>
          <w:highlight w:val="none"/>
        </w:rPr>
        <w:t>相关管理要求</w:t>
      </w:r>
      <w:r>
        <w:rPr>
          <w:rFonts w:hint="eastAsia" w:ascii="宋体" w:hAnsi="宋体" w:eastAsia="宋体" w:cs="宋体"/>
          <w:bCs/>
          <w:szCs w:val="21"/>
          <w:highlight w:val="none"/>
        </w:rPr>
        <w:t>履行义务，甲方有权单方解除合同</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rPr>
        <w:t>要求乙方退出供应商库，</w:t>
      </w:r>
      <w:r>
        <w:rPr>
          <w:rFonts w:hint="eastAsia" w:ascii="宋体" w:hAnsi="宋体" w:eastAsia="宋体" w:cs="宋体"/>
          <w:szCs w:val="21"/>
          <w:highlight w:val="none"/>
        </w:rPr>
        <w:t>并</w:t>
      </w:r>
      <w:r>
        <w:rPr>
          <w:rFonts w:hint="eastAsia" w:ascii="宋体" w:hAnsi="宋体" w:eastAsia="宋体" w:cs="宋体"/>
          <w:bCs/>
          <w:szCs w:val="21"/>
          <w:highlight w:val="none"/>
          <w:lang w:val="en-US" w:eastAsia="zh-CN"/>
        </w:rPr>
        <w:t>承担【5】万元违约金</w:t>
      </w:r>
      <w:r>
        <w:rPr>
          <w:rFonts w:hint="eastAsia" w:ascii="宋体" w:hAnsi="宋体" w:eastAsia="宋体" w:cs="宋体"/>
          <w:bCs/>
          <w:szCs w:val="21"/>
          <w:highlight w:val="none"/>
        </w:rPr>
        <w:t>。若由此给甲方造成损失的，乙方还应当承担全部赔偿责任，并承担相应的法律责任。</w:t>
      </w:r>
    </w:p>
    <w:p w14:paraId="7743EBBD">
      <w:pPr>
        <w:snapToGrid w:val="0"/>
        <w:spacing w:line="360" w:lineRule="auto"/>
        <w:ind w:firstLine="420" w:firstLineChars="200"/>
        <w:rPr>
          <w:rFonts w:ascii="宋体" w:hAnsi="宋体" w:eastAsia="宋体" w:cs="宋体"/>
          <w:bCs/>
          <w:szCs w:val="21"/>
          <w:highlight w:val="none"/>
        </w:rPr>
      </w:pPr>
      <w:r>
        <w:rPr>
          <w:rFonts w:hint="eastAsia" w:ascii="宋体" w:hAnsi="宋体" w:eastAsia="宋体" w:cs="宋体"/>
          <w:bCs/>
          <w:szCs w:val="21"/>
          <w:highlight w:val="none"/>
        </w:rPr>
        <w:t>9.</w:t>
      </w:r>
      <w:r>
        <w:rPr>
          <w:rFonts w:hint="eastAsia" w:ascii="宋体" w:hAnsi="宋体" w:eastAsia="宋体" w:cs="宋体"/>
          <w:bCs/>
          <w:szCs w:val="21"/>
          <w:highlight w:val="none"/>
          <w:lang w:val="en-US" w:eastAsia="zh-CN"/>
        </w:rPr>
        <w:t>6</w:t>
      </w:r>
      <w:r>
        <w:rPr>
          <w:rFonts w:hint="eastAsia" w:ascii="宋体" w:hAnsi="宋体" w:eastAsia="宋体" w:cs="宋体"/>
          <w:bCs/>
          <w:szCs w:val="21"/>
          <w:highlight w:val="none"/>
        </w:rPr>
        <w:t xml:space="preserve"> 乙方必须积极响应并接受相关部门的监督检查，若受到相关部门的通报批评，经调查认定情况属实的，甲方有权要求乙方支付</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rPr>
        <w:t>2</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rPr>
        <w:t>万元违约金（单项服务合同与本条约定不一致的，以单项合同约定为准）；若受到相关部门行政处罚或违法处罚的，甲方有权单方解除本合同，要求乙方退出供应商库，并承担【5】万元违约金，若由此给甲方造成损失的，乙方还应当承担全部赔偿责任。</w:t>
      </w:r>
    </w:p>
    <w:p w14:paraId="5D983219">
      <w:pPr>
        <w:snapToGrid w:val="0"/>
        <w:spacing w:line="360" w:lineRule="auto"/>
        <w:ind w:firstLine="420" w:firstLineChars="200"/>
        <w:rPr>
          <w:rFonts w:ascii="宋体" w:hAnsi="宋体" w:eastAsia="宋体" w:cs="宋体"/>
          <w:bCs/>
          <w:szCs w:val="21"/>
          <w:highlight w:val="none"/>
        </w:rPr>
      </w:pPr>
      <w:r>
        <w:rPr>
          <w:rFonts w:hint="eastAsia" w:ascii="宋体" w:hAnsi="宋体" w:eastAsia="宋体" w:cs="宋体"/>
          <w:bCs/>
          <w:szCs w:val="21"/>
          <w:highlight w:val="none"/>
        </w:rPr>
        <w:t>9.</w:t>
      </w:r>
      <w:r>
        <w:rPr>
          <w:rFonts w:hint="eastAsia" w:ascii="宋体" w:hAnsi="宋体" w:eastAsia="宋体" w:cs="宋体"/>
          <w:bCs/>
          <w:szCs w:val="21"/>
          <w:highlight w:val="none"/>
          <w:lang w:val="en-US" w:eastAsia="zh-CN"/>
        </w:rPr>
        <w:t>7</w:t>
      </w:r>
      <w:r>
        <w:rPr>
          <w:rFonts w:hint="eastAsia" w:ascii="宋体" w:hAnsi="宋体" w:eastAsia="宋体" w:cs="宋体"/>
          <w:bCs/>
          <w:szCs w:val="21"/>
          <w:highlight w:val="none"/>
        </w:rPr>
        <w:t xml:space="preserve"> 乙方无故拒不履行合同义务或怠于履行合同义务，或履行的合同义务不符合要求的，甲方有权要求乙方限期整改，若乙方逾期未整改或拒绝整改或经整改仍达不到甲方要求，或乙方无故拒绝向甲方提供泥粉运输、处置服务延误超过3天或累计达3次（含本数）的，甲方有权单方解除本合同，要求乙方退出供应商库，并承担【5】万元违约金，若由此给甲方造成损失的，乙方还应当承担全部赔偿责任。</w:t>
      </w:r>
    </w:p>
    <w:p w14:paraId="3CD1CD86">
      <w:pPr>
        <w:snapToGrid w:val="0"/>
        <w:spacing w:line="360" w:lineRule="auto"/>
        <w:ind w:firstLine="420" w:firstLineChars="200"/>
        <w:rPr>
          <w:rFonts w:ascii="宋体" w:hAnsi="宋体" w:eastAsia="宋体" w:cs="宋体"/>
          <w:bCs/>
          <w:szCs w:val="21"/>
          <w:highlight w:val="none"/>
        </w:rPr>
      </w:pPr>
      <w:r>
        <w:rPr>
          <w:rFonts w:hint="eastAsia" w:ascii="宋体" w:hAnsi="宋体" w:eastAsia="宋体" w:cs="宋体"/>
          <w:bCs/>
          <w:szCs w:val="21"/>
          <w:highlight w:val="none"/>
        </w:rPr>
        <w:t>9.</w:t>
      </w:r>
      <w:r>
        <w:rPr>
          <w:rFonts w:hint="eastAsia" w:ascii="宋体" w:hAnsi="宋体" w:eastAsia="宋体" w:cs="宋体"/>
          <w:bCs/>
          <w:szCs w:val="21"/>
          <w:highlight w:val="none"/>
          <w:lang w:val="en-US" w:eastAsia="zh-CN"/>
        </w:rPr>
        <w:t>8</w:t>
      </w:r>
      <w:r>
        <w:rPr>
          <w:rFonts w:hint="eastAsia" w:ascii="宋体" w:hAnsi="宋体" w:eastAsia="宋体" w:cs="宋体"/>
          <w:bCs/>
          <w:szCs w:val="21"/>
          <w:highlight w:val="none"/>
        </w:rPr>
        <w:t xml:space="preserve"> 乙方违反约定将合同项下乙方的权利义务全部转让给第三方，或未经甲方书面同意将部分权利义务转让给第三方的，甲方有权要求乙方支付</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lang w:val="en-US" w:eastAsia="zh-CN"/>
        </w:rPr>
        <w:t>10</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rPr>
        <w:t>万元违约金，并有权单方解除本合同，若由此给甲方造成损失的，乙方还应当承担全部赔偿责任。如因乙方将乙方本合同项下全部/部分权利义务转让给第三方导致安全事故或人身损害事故的，造成甲方其他损失的或甲方被认定承担赔偿责任的，甲方向乙方追偿并要求乙方另行承担</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lang w:val="en-US" w:eastAsia="zh-CN"/>
        </w:rPr>
        <w:t>10</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rPr>
        <w:t>万元违约金，前述违约金不足以弥补甲方损失的，乙方还需足额赔偿。</w:t>
      </w:r>
    </w:p>
    <w:p w14:paraId="3552A528">
      <w:pPr>
        <w:snapToGrid w:val="0"/>
        <w:spacing w:line="360" w:lineRule="auto"/>
        <w:ind w:firstLine="420" w:firstLineChars="200"/>
        <w:rPr>
          <w:rFonts w:ascii="宋体" w:hAnsi="宋体" w:eastAsia="宋体" w:cs="宋体"/>
          <w:bCs/>
          <w:szCs w:val="21"/>
          <w:highlight w:val="none"/>
        </w:rPr>
      </w:pPr>
      <w:r>
        <w:rPr>
          <w:rFonts w:hint="eastAsia" w:ascii="宋体" w:hAnsi="宋体" w:eastAsia="宋体" w:cs="宋体"/>
          <w:bCs/>
          <w:szCs w:val="21"/>
          <w:highlight w:val="none"/>
        </w:rPr>
        <w:t>9.</w:t>
      </w:r>
      <w:r>
        <w:rPr>
          <w:rFonts w:hint="eastAsia" w:ascii="宋体" w:hAnsi="宋体" w:eastAsia="宋体" w:cs="宋体"/>
          <w:bCs/>
          <w:szCs w:val="21"/>
          <w:highlight w:val="none"/>
          <w:lang w:val="en-US" w:eastAsia="zh-CN"/>
        </w:rPr>
        <w:t>9</w:t>
      </w:r>
      <w:r>
        <w:rPr>
          <w:rFonts w:hint="eastAsia" w:ascii="宋体" w:hAnsi="宋体" w:eastAsia="宋体" w:cs="宋体"/>
          <w:bCs/>
          <w:szCs w:val="21"/>
          <w:highlight w:val="none"/>
        </w:rPr>
        <w:t xml:space="preserve"> 乙方对分包单位的各项资质许可、运输车辆要求和人员资格等负有监管义务，甲方通过备案材料发现分包单位资质（道路运输经营许可证或检验检测机构资质认定证书）、运输车辆及司机资料等不符合相关法定要求时，乙方应在甲方限期内对分包单位进行整改（可行措施包括但不限于更换、返工、重新检测），若逾期未整改或整改后仍不符合甲方要求的，甲方有权单方解除本合同，要求乙方退出供应商库，</w:t>
      </w:r>
      <w:r>
        <w:rPr>
          <w:rFonts w:hint="eastAsia" w:ascii="宋体" w:hAnsi="宋体" w:eastAsia="宋体" w:cs="宋体"/>
          <w:bCs/>
          <w:szCs w:val="21"/>
          <w:highlight w:val="none"/>
          <w:lang w:val="en-US" w:eastAsia="zh-CN"/>
        </w:rPr>
        <w:t>并承担【</w:t>
      </w:r>
      <w:r>
        <w:rPr>
          <w:rFonts w:hint="eastAsia" w:ascii="宋体" w:hAnsi="宋体" w:eastAsia="宋体" w:cs="宋体"/>
          <w:bCs/>
          <w:szCs w:val="21"/>
          <w:highlight w:val="none"/>
        </w:rPr>
        <w:t>5</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rPr>
        <w:t>万元违约金，若由此给甲方造成损失的，乙方还应当承担全部赔偿责任。乙方和其分包单位就分包工作对甲方承担连带责任，且因分包单位违约导致乙方违反与甲方约定的，乙方应按与甲方约定承担违约责任，如给甲方造成损失的，由乙方向甲方承担赔偿责任。</w:t>
      </w:r>
    </w:p>
    <w:p w14:paraId="2FEDFB6E">
      <w:pPr>
        <w:snapToGrid w:val="0"/>
        <w:spacing w:line="360" w:lineRule="auto"/>
        <w:ind w:firstLine="420" w:firstLineChars="200"/>
        <w:rPr>
          <w:rFonts w:ascii="宋体" w:hAnsi="宋体" w:eastAsia="宋体" w:cs="宋体"/>
          <w:bCs/>
          <w:szCs w:val="21"/>
          <w:highlight w:val="none"/>
        </w:rPr>
      </w:pPr>
      <w:r>
        <w:rPr>
          <w:rFonts w:hint="eastAsia" w:ascii="宋体" w:hAnsi="宋体" w:eastAsia="宋体" w:cs="宋体"/>
          <w:bCs/>
          <w:szCs w:val="21"/>
          <w:highlight w:val="none"/>
        </w:rPr>
        <w:t>9.1</w:t>
      </w:r>
      <w:r>
        <w:rPr>
          <w:rFonts w:hint="eastAsia" w:ascii="宋体" w:hAnsi="宋体" w:eastAsia="宋体" w:cs="宋体"/>
          <w:bCs/>
          <w:szCs w:val="21"/>
          <w:highlight w:val="none"/>
          <w:lang w:val="en-US" w:eastAsia="zh-CN"/>
        </w:rPr>
        <w:t>0</w:t>
      </w:r>
      <w:r>
        <w:rPr>
          <w:rFonts w:hint="eastAsia" w:ascii="宋体" w:hAnsi="宋体" w:eastAsia="宋体" w:cs="宋体"/>
          <w:bCs/>
          <w:szCs w:val="21"/>
          <w:highlight w:val="none"/>
        </w:rPr>
        <w:t xml:space="preserve"> 乙方应承担的违约金、赔偿及罚款等其他费用，甲方有权直接从入库履约保证金或未付款项中直接扣除。</w:t>
      </w:r>
    </w:p>
    <w:p w14:paraId="0CB0CB82">
      <w:pPr>
        <w:snapToGrid w:val="0"/>
        <w:spacing w:line="360" w:lineRule="auto"/>
        <w:ind w:firstLine="420" w:firstLineChars="200"/>
        <w:rPr>
          <w:rFonts w:ascii="宋体" w:hAnsi="宋体" w:eastAsia="宋体" w:cs="宋体"/>
          <w:bCs/>
          <w:szCs w:val="21"/>
          <w:highlight w:val="none"/>
        </w:rPr>
      </w:pPr>
      <w:r>
        <w:rPr>
          <w:rFonts w:hint="eastAsia" w:ascii="宋体" w:hAnsi="宋体" w:eastAsia="宋体" w:cs="宋体"/>
          <w:bCs/>
          <w:szCs w:val="21"/>
          <w:highlight w:val="none"/>
        </w:rPr>
        <w:t>9.1</w:t>
      </w:r>
      <w:r>
        <w:rPr>
          <w:rFonts w:hint="eastAsia" w:ascii="宋体" w:hAnsi="宋体" w:eastAsia="宋体" w:cs="宋体"/>
          <w:bCs/>
          <w:szCs w:val="21"/>
          <w:highlight w:val="none"/>
          <w:lang w:val="en-US" w:eastAsia="zh-CN"/>
        </w:rPr>
        <w:t>1</w:t>
      </w:r>
      <w:r>
        <w:rPr>
          <w:rFonts w:hint="eastAsia" w:ascii="宋体" w:hAnsi="宋体" w:eastAsia="宋体" w:cs="宋体"/>
          <w:bCs/>
          <w:szCs w:val="21"/>
          <w:highlight w:val="none"/>
        </w:rPr>
        <w:t xml:space="preserve"> 在合同履行过程中，如甲方发现乙方存在提供虚假材料骗取入库情况的，甲方有权单方解除</w:t>
      </w:r>
      <w:r>
        <w:rPr>
          <w:rFonts w:hint="eastAsia" w:ascii="宋体" w:hAnsi="宋体" w:eastAsia="宋体" w:cs="宋体"/>
          <w:bCs/>
          <w:szCs w:val="21"/>
          <w:highlight w:val="none"/>
          <w:lang w:val="en-US" w:eastAsia="zh-CN"/>
        </w:rPr>
        <w:t>本</w:t>
      </w:r>
      <w:r>
        <w:rPr>
          <w:rFonts w:hint="eastAsia" w:ascii="宋体" w:hAnsi="宋体" w:eastAsia="宋体" w:cs="宋体"/>
          <w:bCs/>
          <w:szCs w:val="21"/>
          <w:highlight w:val="none"/>
        </w:rPr>
        <w:t>合同，并有权要求乙方支付</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lang w:val="en-US" w:eastAsia="zh-CN"/>
        </w:rPr>
        <w:t>10</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rPr>
        <w:t>万元违约金。同时，甲方有权将乙方纳入</w:t>
      </w:r>
      <w:r>
        <w:rPr>
          <w:rFonts w:hint="eastAsia" w:ascii="宋体" w:hAnsi="宋体" w:eastAsia="宋体" w:cs="宋体"/>
          <w:bCs/>
          <w:szCs w:val="21"/>
          <w:highlight w:val="none"/>
          <w:lang w:eastAsia="zh-CN"/>
        </w:rPr>
        <w:t>东莞市水务环境投资控股集团有限公司</w:t>
      </w:r>
      <w:r>
        <w:rPr>
          <w:rFonts w:hint="eastAsia" w:ascii="宋体" w:hAnsi="宋体" w:eastAsia="宋体" w:cs="宋体"/>
          <w:bCs/>
          <w:szCs w:val="21"/>
          <w:highlight w:val="none"/>
        </w:rPr>
        <w:t>（含其全资公司、控股公司、由其管理的参股公司）招标、采购、征集供应商或合作方采购‘黑名单’中，因此导致乙方无法参与</w:t>
      </w:r>
      <w:r>
        <w:rPr>
          <w:rFonts w:hint="eastAsia" w:ascii="宋体" w:hAnsi="宋体" w:eastAsia="宋体" w:cs="宋体"/>
          <w:bCs/>
          <w:szCs w:val="21"/>
          <w:highlight w:val="none"/>
          <w:lang w:eastAsia="zh-CN"/>
        </w:rPr>
        <w:t>东莞市水务环境投资控股集团有限公司（含其全资公司、控股公司、由其管理的参股公司）</w:t>
      </w:r>
      <w:r>
        <w:rPr>
          <w:rFonts w:hint="eastAsia" w:ascii="宋体" w:hAnsi="宋体" w:eastAsia="宋体" w:cs="宋体"/>
          <w:bCs/>
          <w:szCs w:val="21"/>
          <w:highlight w:val="none"/>
        </w:rPr>
        <w:t>相关招标采购活动的，由乙方自行承担全部后果。此外，甲方有权或协助主管部门认定乙方严重失信的不良行为，纳入相关企业信用“黑名单”，限制乙方参与依法必须招标项目的投标，并向行政主管部门报送结果。最后，甲方有权根据《关于对环境保护领域失信生产经营单位及其有关人员开展联合惩戒的合作备忘录》等规定，通过“信用中国”网站向社会公示乙方的失信行为，实现“一处失信、处处受限”。服务期内，若甲方根据乙方承诺的接收量向乙方外运/分配处置半干化泥粉时，乙方无法按承诺量接收甲方的半干化泥粉时，视为乙方通过弄虚作假骗取入库，甲方有权按本条约定处理乙方的违约行为。</w:t>
      </w:r>
    </w:p>
    <w:p w14:paraId="0529E527">
      <w:pPr>
        <w:snapToGrid w:val="0"/>
        <w:spacing w:line="360" w:lineRule="auto"/>
        <w:ind w:firstLine="420" w:firstLineChars="200"/>
        <w:rPr>
          <w:rFonts w:ascii="宋体" w:hAnsi="宋体" w:eastAsia="宋体" w:cs="宋体"/>
          <w:bCs/>
          <w:szCs w:val="21"/>
          <w:highlight w:val="none"/>
        </w:rPr>
      </w:pPr>
      <w:r>
        <w:rPr>
          <w:rFonts w:hint="eastAsia" w:ascii="宋体" w:hAnsi="宋体" w:eastAsia="宋体" w:cs="宋体"/>
          <w:bCs/>
          <w:szCs w:val="21"/>
          <w:highlight w:val="none"/>
        </w:rPr>
        <w:t>9.1</w:t>
      </w:r>
      <w:r>
        <w:rPr>
          <w:rFonts w:hint="eastAsia" w:ascii="宋体" w:hAnsi="宋体" w:eastAsia="宋体" w:cs="宋体"/>
          <w:bCs/>
          <w:szCs w:val="21"/>
          <w:highlight w:val="none"/>
          <w:lang w:val="en-US" w:eastAsia="zh-CN"/>
        </w:rPr>
        <w:t>2</w:t>
      </w:r>
      <w:r>
        <w:rPr>
          <w:rFonts w:hint="eastAsia" w:ascii="宋体" w:hAnsi="宋体" w:eastAsia="宋体" w:cs="宋体"/>
          <w:bCs/>
          <w:szCs w:val="21"/>
          <w:highlight w:val="none"/>
        </w:rPr>
        <w:t xml:space="preserve"> 若乙方发生本合同规定之外的任何违法行为，不得免除其在本合同下的任何责任或义务。</w:t>
      </w:r>
    </w:p>
    <w:p w14:paraId="01487B54">
      <w:pPr>
        <w:snapToGrid w:val="0"/>
        <w:spacing w:line="360" w:lineRule="auto"/>
        <w:ind w:left="0" w:leftChars="0"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rPr>
        <w:t>9.1</w:t>
      </w:r>
      <w:r>
        <w:rPr>
          <w:rFonts w:hint="eastAsia" w:ascii="宋体" w:hAnsi="宋体" w:eastAsia="宋体" w:cs="宋体"/>
          <w:bCs/>
          <w:szCs w:val="21"/>
          <w:highlight w:val="none"/>
          <w:lang w:val="en-US" w:eastAsia="zh-CN"/>
        </w:rPr>
        <w:t>3</w:t>
      </w:r>
      <w:r>
        <w:rPr>
          <w:rFonts w:hint="eastAsia" w:ascii="宋体" w:hAnsi="宋体" w:eastAsia="宋体" w:cs="宋体"/>
          <w:bCs/>
          <w:szCs w:val="21"/>
          <w:highlight w:val="none"/>
        </w:rPr>
        <w:t xml:space="preserve"> 单项合同履约过程中的违约责任，在单项合同内约定。</w:t>
      </w:r>
    </w:p>
    <w:p w14:paraId="4A1631A0">
      <w:pPr>
        <w:snapToGrid w:val="0"/>
        <w:spacing w:line="360" w:lineRule="auto"/>
        <w:ind w:left="0" w:leftChars="0"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lang w:val="en-US" w:eastAsia="zh-CN"/>
        </w:rPr>
        <w:t xml:space="preserve">9.14 </w:t>
      </w:r>
      <w:r>
        <w:rPr>
          <w:rFonts w:hint="eastAsia" w:ascii="宋体" w:hAnsi="宋体" w:eastAsia="宋体" w:cs="宋体"/>
          <w:bCs/>
          <w:szCs w:val="21"/>
          <w:highlight w:val="none"/>
        </w:rPr>
        <w:t>如因乙方原因，引发法律纠纷案件，并导致甲方被牵涉其中，成为需承担法律责任的诉讼参与方（无论是作为第三人或被告），或因法律纠纷对甲方造成社会负面影响的，则上述情形将被视为乙方违约，甲方即有权要求乙方向甲方一次性支付</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lang w:val="en-US" w:eastAsia="zh-CN"/>
        </w:rPr>
        <w:t>10</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lang w:val="en-US" w:eastAsia="zh-CN"/>
        </w:rPr>
        <w:t>万元</w:t>
      </w:r>
      <w:r>
        <w:rPr>
          <w:rFonts w:hint="eastAsia" w:ascii="宋体" w:hAnsi="宋体" w:eastAsia="宋体" w:cs="宋体"/>
          <w:bCs/>
          <w:szCs w:val="21"/>
          <w:highlight w:val="none"/>
        </w:rPr>
        <w:t>违约金；如造成甲方经济损失的（包括但不限于律师费、诉讼费、保全费、执行费、差旅费等损失），由乙方赔偿所有损失，并将相关情况报相关行政主管部门。甲方收到法院参与诉讼通知之日视为乙方构成违约，甲方即有权要求乙方承担前述违约金、损失赔偿及情况报送主管部门的违约责任，即使甲方最终未被法院判决承担任何责任，乙方也无权要求甲方免除前述违约责任。</w:t>
      </w:r>
    </w:p>
    <w:p w14:paraId="483F9202">
      <w:pPr>
        <w:snapToGrid w:val="0"/>
        <w:spacing w:line="360" w:lineRule="auto"/>
        <w:ind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lang w:val="en-US" w:eastAsia="zh-CN"/>
        </w:rPr>
        <w:t xml:space="preserve">9.15 </w:t>
      </w:r>
      <w:r>
        <w:rPr>
          <w:rFonts w:hint="eastAsia" w:ascii="宋体" w:hAnsi="宋体" w:eastAsia="宋体" w:cs="宋体"/>
          <w:bCs/>
          <w:szCs w:val="21"/>
          <w:highlight w:val="none"/>
        </w:rPr>
        <w:t>乙方违反本合同约定，合同对违约责任有特别约定的，适用特别约定；无特别约定的，甲方有权</w:t>
      </w:r>
      <w:r>
        <w:rPr>
          <w:rFonts w:hint="eastAsia" w:ascii="宋体" w:hAnsi="宋体" w:eastAsia="宋体" w:cs="宋体"/>
          <w:bCs/>
          <w:szCs w:val="21"/>
          <w:highlight w:val="none"/>
          <w:lang w:val="en-US" w:eastAsia="zh-CN"/>
        </w:rPr>
        <w:t>要求乙方承担【10】万元</w:t>
      </w:r>
      <w:r>
        <w:rPr>
          <w:rFonts w:hint="eastAsia" w:ascii="宋体" w:hAnsi="宋体" w:eastAsia="宋体" w:cs="宋体"/>
          <w:bCs/>
          <w:szCs w:val="21"/>
          <w:highlight w:val="none"/>
        </w:rPr>
        <w:t>违约金。违约金不足以弥补甲方因此所受损失的，乙方应予以补足。</w:t>
      </w:r>
    </w:p>
    <w:p w14:paraId="2344A666">
      <w:pPr>
        <w:snapToGrid w:val="0"/>
        <w:spacing w:line="360" w:lineRule="auto"/>
        <w:ind w:firstLine="420" w:firstLineChars="200"/>
        <w:rPr>
          <w:rFonts w:hint="eastAsia" w:ascii="宋体" w:hAnsi="宋体" w:eastAsia="宋体" w:cs="宋体"/>
          <w:b w:val="0"/>
          <w:bCs/>
          <w:szCs w:val="21"/>
          <w:highlight w:val="none"/>
        </w:rPr>
      </w:pPr>
      <w:r>
        <w:rPr>
          <w:rFonts w:hint="eastAsia" w:ascii="宋体" w:hAnsi="宋体" w:eastAsia="宋体" w:cs="宋体"/>
          <w:b w:val="0"/>
          <w:bCs/>
          <w:szCs w:val="21"/>
          <w:highlight w:val="none"/>
        </w:rPr>
        <w:t>9.1</w:t>
      </w:r>
      <w:r>
        <w:rPr>
          <w:rFonts w:hint="eastAsia" w:ascii="宋体" w:hAnsi="宋体" w:eastAsia="宋体" w:cs="宋体"/>
          <w:b w:val="0"/>
          <w:bCs/>
          <w:szCs w:val="21"/>
          <w:highlight w:val="none"/>
          <w:lang w:eastAsia="zh-CN"/>
        </w:rPr>
        <w:t>6</w:t>
      </w:r>
      <w:r>
        <w:rPr>
          <w:rFonts w:hint="eastAsia" w:ascii="宋体" w:hAnsi="宋体" w:eastAsia="宋体" w:cs="宋体"/>
          <w:b w:val="0"/>
          <w:bCs/>
          <w:szCs w:val="21"/>
          <w:highlight w:val="none"/>
        </w:rPr>
        <w:t>若运输过程中出现GPS定位系统设备信号无法正常连接或中断的，期间发生交通运输事故或运输过程中导致环境污染的，乙方须负全部责任，并承担由此产生的一切行政和经济法律责任。若乙方中止或终止为甲方提供污泥处置服务，应在5个工作日内向甲方归还完好的定位系统设备，未及时归还设备的，乙方向甲方支付500元/台的违约金，甲方有权直接在处置服务费、入库履约保证金中直接抵扣。</w:t>
      </w:r>
    </w:p>
    <w:p w14:paraId="0BFB0397">
      <w:pPr>
        <w:spacing w:line="360" w:lineRule="auto"/>
        <w:outlineLvl w:val="2"/>
        <w:rPr>
          <w:rFonts w:ascii="宋体" w:hAnsi="宋体" w:eastAsia="宋体" w:cs="宋体"/>
          <w:b/>
          <w:szCs w:val="21"/>
          <w:highlight w:val="none"/>
        </w:rPr>
      </w:pPr>
      <w:r>
        <w:rPr>
          <w:rFonts w:hint="eastAsia" w:ascii="宋体" w:hAnsi="宋体" w:eastAsia="宋体" w:cs="宋体"/>
          <w:b/>
          <w:szCs w:val="21"/>
          <w:highlight w:val="none"/>
        </w:rPr>
        <w:t>第十条 入库履约担保</w:t>
      </w:r>
    </w:p>
    <w:p w14:paraId="0A2D1CA2">
      <w:pPr>
        <w:spacing w:line="360" w:lineRule="auto"/>
        <w:ind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rPr>
        <w:t>10.1 乙方应当根据</w:t>
      </w:r>
      <w:r>
        <w:rPr>
          <w:rFonts w:hint="eastAsia" w:ascii="宋体" w:hAnsi="宋体" w:eastAsia="宋体" w:cs="宋体"/>
          <w:bCs/>
          <w:szCs w:val="21"/>
          <w:highlight w:val="none"/>
          <w:lang w:eastAsia="zh-CN"/>
        </w:rPr>
        <w:t>招标文件</w:t>
      </w:r>
      <w:r>
        <w:rPr>
          <w:rFonts w:hint="eastAsia" w:ascii="宋体" w:hAnsi="宋体" w:eastAsia="宋体" w:cs="宋体"/>
          <w:bCs/>
          <w:szCs w:val="21"/>
          <w:highlight w:val="none"/>
        </w:rPr>
        <w:t>的规定在签订本合同前向甲方提供</w:t>
      </w:r>
      <w:r>
        <w:rPr>
          <w:rFonts w:hint="eastAsia" w:ascii="宋体" w:hAnsi="宋体" w:eastAsia="宋体" w:cs="宋体"/>
          <w:bCs/>
          <w:szCs w:val="21"/>
          <w:highlight w:val="none"/>
          <w:lang w:val="en-US" w:eastAsia="zh-CN"/>
        </w:rPr>
        <w:t>入库</w:t>
      </w:r>
      <w:r>
        <w:rPr>
          <w:rFonts w:hint="eastAsia" w:ascii="宋体" w:hAnsi="宋体" w:eastAsia="宋体" w:cs="宋体"/>
          <w:bCs/>
          <w:szCs w:val="21"/>
          <w:highlight w:val="none"/>
        </w:rPr>
        <w:t>履约担保，</w:t>
      </w:r>
      <w:r>
        <w:rPr>
          <w:rFonts w:hint="eastAsia" w:ascii="宋体" w:hAnsi="宋体" w:eastAsia="宋体" w:cs="宋体"/>
          <w:bCs/>
          <w:szCs w:val="21"/>
          <w:highlight w:val="none"/>
          <w:lang w:val="en-US" w:eastAsia="zh-CN"/>
        </w:rPr>
        <w:t>入库</w:t>
      </w:r>
      <w:r>
        <w:rPr>
          <w:rFonts w:hint="eastAsia" w:ascii="宋体" w:hAnsi="宋体" w:eastAsia="宋体" w:cs="宋体"/>
          <w:bCs/>
          <w:szCs w:val="21"/>
          <w:highlight w:val="none"/>
        </w:rPr>
        <w:t>履约担保形式及金额由乙方从以下方式中任选一种：</w:t>
      </w:r>
    </w:p>
    <w:p w14:paraId="13E69F32">
      <w:pPr>
        <w:spacing w:line="360" w:lineRule="auto"/>
        <w:ind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lang w:eastAsia="zh-CN"/>
        </w:rPr>
        <w:t>□</w:t>
      </w:r>
      <w:r>
        <w:rPr>
          <w:rFonts w:hint="eastAsia" w:ascii="宋体" w:hAnsi="宋体" w:eastAsia="宋体" w:cs="宋体"/>
          <w:bCs/>
          <w:szCs w:val="21"/>
          <w:highlight w:val="none"/>
        </w:rPr>
        <w:t xml:space="preserve"> 履约保证金（银行转账形式）金额为¥100,000.00元，大写人民币壹拾万元整。</w:t>
      </w:r>
    </w:p>
    <w:p w14:paraId="53C7B6FB">
      <w:pPr>
        <w:spacing w:line="360" w:lineRule="auto"/>
        <w:ind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lang w:eastAsia="zh-CN"/>
        </w:rPr>
        <w:t>□</w:t>
      </w:r>
      <w:r>
        <w:rPr>
          <w:rFonts w:hint="eastAsia" w:ascii="宋体" w:hAnsi="宋体" w:eastAsia="宋体" w:cs="宋体"/>
          <w:bCs/>
          <w:szCs w:val="21"/>
          <w:highlight w:val="none"/>
        </w:rPr>
        <w:t xml:space="preserve"> 不可撤销银行履约保函金额为¥160,000.00元，大写人民币壹拾陆万元整。</w:t>
      </w:r>
    </w:p>
    <w:p w14:paraId="61D639EA">
      <w:pPr>
        <w:spacing w:line="360" w:lineRule="auto"/>
        <w:ind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lang w:eastAsia="zh-CN"/>
        </w:rPr>
        <w:t>□</w:t>
      </w:r>
      <w:r>
        <w:rPr>
          <w:rFonts w:hint="eastAsia" w:ascii="宋体" w:hAnsi="宋体" w:eastAsia="宋体" w:cs="宋体"/>
          <w:bCs/>
          <w:szCs w:val="21"/>
          <w:highlight w:val="none"/>
        </w:rPr>
        <w:t xml:space="preserve"> 履约保证保险金额为¥200,000.00元，大写人民币贰拾万元整。</w:t>
      </w:r>
    </w:p>
    <w:p w14:paraId="284477BD">
      <w:pPr>
        <w:spacing w:line="360" w:lineRule="auto"/>
        <w:ind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rPr>
        <w:t>□ 担保公司履约担保书金额为¥200,000.00元，大写人民币贰拾万元整。</w:t>
      </w:r>
    </w:p>
    <w:p w14:paraId="3010BBA7">
      <w:pPr>
        <w:spacing w:line="360" w:lineRule="auto"/>
        <w:ind w:firstLine="420" w:firstLineChars="200"/>
        <w:rPr>
          <w:rFonts w:hint="eastAsia" w:ascii="宋体" w:hAnsi="宋体" w:eastAsia="宋体" w:cs="宋体"/>
          <w:bCs/>
          <w:szCs w:val="21"/>
          <w:highlight w:val="none"/>
        </w:rPr>
      </w:pPr>
      <w:r>
        <w:rPr>
          <w:rFonts w:hint="eastAsia" w:ascii="宋体" w:hAnsi="宋体" w:eastAsia="宋体" w:cs="Arial"/>
          <w:bCs/>
          <w:kern w:val="0"/>
          <w:szCs w:val="24"/>
          <w:highlight w:val="none"/>
          <w:lang w:val="en-US" w:eastAsia="zh-CN"/>
        </w:rPr>
        <w:t>10.2</w:t>
      </w:r>
      <w:r>
        <w:rPr>
          <w:rFonts w:hint="eastAsia" w:ascii="宋体" w:hAnsi="宋体" w:eastAsia="宋体" w:cs="Arial"/>
          <w:bCs/>
          <w:kern w:val="0"/>
          <w:szCs w:val="24"/>
          <w:highlight w:val="none"/>
        </w:rPr>
        <w:t>合同履行过程中，</w:t>
      </w:r>
      <w:r>
        <w:rPr>
          <w:rFonts w:hint="eastAsia" w:ascii="宋体" w:hAnsi="宋体" w:eastAsia="宋体" w:cs="宋体"/>
          <w:bCs/>
          <w:szCs w:val="21"/>
          <w:highlight w:val="none"/>
        </w:rPr>
        <w:t>乙方</w:t>
      </w:r>
      <w:r>
        <w:rPr>
          <w:rFonts w:hint="eastAsia" w:ascii="宋体" w:hAnsi="宋体" w:eastAsia="宋体" w:cs="Arial"/>
          <w:kern w:val="0"/>
          <w:szCs w:val="24"/>
          <w:highlight w:val="none"/>
        </w:rPr>
        <w:t>给</w:t>
      </w:r>
      <w:r>
        <w:rPr>
          <w:rFonts w:hint="eastAsia" w:ascii="宋体" w:hAnsi="宋体" w:eastAsia="宋体" w:cs="宋体"/>
          <w:bCs/>
          <w:szCs w:val="21"/>
          <w:highlight w:val="none"/>
        </w:rPr>
        <w:t>甲方</w:t>
      </w:r>
      <w:r>
        <w:rPr>
          <w:rFonts w:hint="eastAsia" w:ascii="宋体" w:hAnsi="宋体" w:eastAsia="宋体" w:cs="Arial"/>
          <w:kern w:val="0"/>
          <w:szCs w:val="24"/>
          <w:highlight w:val="none"/>
        </w:rPr>
        <w:t>造成的损失超过履约担保数额的，</w:t>
      </w:r>
      <w:r>
        <w:rPr>
          <w:rFonts w:hint="eastAsia" w:ascii="宋体" w:hAnsi="宋体" w:eastAsia="宋体" w:cs="宋体"/>
          <w:bCs/>
          <w:szCs w:val="21"/>
          <w:highlight w:val="none"/>
        </w:rPr>
        <w:t>乙方</w:t>
      </w:r>
      <w:r>
        <w:rPr>
          <w:rFonts w:hint="eastAsia" w:ascii="宋体" w:hAnsi="宋体" w:eastAsia="宋体" w:cs="Arial"/>
          <w:kern w:val="0"/>
          <w:szCs w:val="24"/>
          <w:highlight w:val="none"/>
        </w:rPr>
        <w:t>还应当对超过部分予以赔偿，</w:t>
      </w:r>
      <w:r>
        <w:rPr>
          <w:rFonts w:hint="eastAsia" w:ascii="宋体" w:hAnsi="宋体" w:eastAsia="宋体" w:cs="宋体"/>
          <w:bCs/>
          <w:szCs w:val="21"/>
          <w:highlight w:val="none"/>
        </w:rPr>
        <w:t>甲方</w:t>
      </w:r>
      <w:r>
        <w:rPr>
          <w:rFonts w:hint="eastAsia" w:ascii="宋体" w:hAnsi="宋体" w:eastAsia="宋体" w:cs="Arial"/>
          <w:kern w:val="0"/>
          <w:szCs w:val="24"/>
          <w:highlight w:val="none"/>
        </w:rPr>
        <w:t>并依法追究</w:t>
      </w:r>
      <w:r>
        <w:rPr>
          <w:rFonts w:hint="eastAsia" w:ascii="宋体" w:hAnsi="宋体" w:eastAsia="宋体" w:cs="宋体"/>
          <w:bCs/>
          <w:szCs w:val="21"/>
          <w:highlight w:val="none"/>
        </w:rPr>
        <w:t>乙方</w:t>
      </w:r>
      <w:r>
        <w:rPr>
          <w:rFonts w:hint="eastAsia" w:ascii="宋体" w:hAnsi="宋体" w:eastAsia="宋体" w:cs="Arial"/>
          <w:kern w:val="0"/>
          <w:szCs w:val="24"/>
          <w:highlight w:val="none"/>
        </w:rPr>
        <w:t>的相应责任。</w:t>
      </w:r>
    </w:p>
    <w:p w14:paraId="48BB45B1">
      <w:pPr>
        <w:spacing w:line="360" w:lineRule="auto"/>
        <w:ind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lang w:val="en-US" w:eastAsia="zh-CN"/>
        </w:rPr>
        <w:t>10</w:t>
      </w:r>
      <w:r>
        <w:rPr>
          <w:rFonts w:hint="eastAsia" w:ascii="宋体" w:hAnsi="宋体" w:eastAsia="宋体" w:cs="宋体"/>
          <w:bCs/>
          <w:szCs w:val="21"/>
          <w:highlight w:val="none"/>
        </w:rPr>
        <w:t>.</w:t>
      </w:r>
      <w:r>
        <w:rPr>
          <w:rFonts w:hint="eastAsia" w:ascii="宋体" w:hAnsi="宋体" w:eastAsia="宋体" w:cs="宋体"/>
          <w:bCs/>
          <w:szCs w:val="21"/>
          <w:highlight w:val="none"/>
          <w:lang w:val="en-US" w:eastAsia="zh-CN"/>
        </w:rPr>
        <w:t>3入库</w:t>
      </w:r>
      <w:r>
        <w:rPr>
          <w:rFonts w:hint="eastAsia" w:ascii="宋体" w:hAnsi="宋体" w:eastAsia="宋体" w:cs="宋体"/>
          <w:bCs/>
          <w:szCs w:val="21"/>
          <w:highlight w:val="none"/>
        </w:rPr>
        <w:t>履约担保用于补偿甲方因乙方不能完全履行其合同义务而蒙受的损失，如发生下列任一情况时，甲方除有权依合同追究乙方违约责任外，还有权提取</w:t>
      </w:r>
      <w:r>
        <w:rPr>
          <w:rFonts w:hint="eastAsia" w:ascii="宋体" w:hAnsi="宋体" w:eastAsia="宋体" w:cs="宋体"/>
          <w:bCs/>
          <w:szCs w:val="21"/>
          <w:highlight w:val="none"/>
          <w:lang w:val="en-US" w:eastAsia="zh-CN"/>
        </w:rPr>
        <w:t>入库</w:t>
      </w:r>
      <w:r>
        <w:rPr>
          <w:rFonts w:hint="eastAsia" w:ascii="宋体" w:hAnsi="宋体" w:eastAsia="宋体" w:cs="宋体"/>
          <w:bCs/>
          <w:szCs w:val="21"/>
          <w:highlight w:val="none"/>
        </w:rPr>
        <w:t>履约担保并进行相应处理：</w:t>
      </w:r>
    </w:p>
    <w:p w14:paraId="61AB7E5A">
      <w:pPr>
        <w:spacing w:line="360" w:lineRule="auto"/>
        <w:ind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rPr>
        <w:t>（</w:t>
      </w:r>
      <w:r>
        <w:rPr>
          <w:rFonts w:hint="eastAsia" w:ascii="宋体" w:hAnsi="宋体" w:eastAsia="宋体" w:cs="宋体"/>
          <w:bCs/>
          <w:szCs w:val="21"/>
          <w:highlight w:val="none"/>
          <w:lang w:val="en-US" w:eastAsia="zh-CN"/>
        </w:rPr>
        <w:t>1</w:t>
      </w:r>
      <w:r>
        <w:rPr>
          <w:rFonts w:hint="eastAsia" w:ascii="宋体" w:hAnsi="宋体" w:eastAsia="宋体" w:cs="宋体"/>
          <w:bCs/>
          <w:szCs w:val="21"/>
          <w:highlight w:val="none"/>
        </w:rPr>
        <w:t>）在合同履行期间，因乙方服务质量问题造成损害、侵权损失（包括但不限于甲方经济损失、甲方人员人身财产损失、第三人人身财产损失等）、与其所雇用员工发生劳资纠纷、上访、闹事或其他影响甲方生产经营等情况而其未及时妥善处理的，甲方有权使用履约担保予以支付或作出相应处理，由此产生的一切法律后果由乙方承担。</w:t>
      </w:r>
    </w:p>
    <w:p w14:paraId="3E0C737F">
      <w:pPr>
        <w:spacing w:line="360" w:lineRule="auto"/>
        <w:ind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rPr>
        <w:t>（</w:t>
      </w:r>
      <w:r>
        <w:rPr>
          <w:rFonts w:hint="eastAsia" w:ascii="宋体" w:hAnsi="宋体" w:eastAsia="宋体" w:cs="宋体"/>
          <w:bCs/>
          <w:szCs w:val="21"/>
          <w:highlight w:val="none"/>
          <w:lang w:val="en-US" w:eastAsia="zh-CN"/>
        </w:rPr>
        <w:t>2</w:t>
      </w:r>
      <w:r>
        <w:rPr>
          <w:rFonts w:hint="eastAsia" w:ascii="宋体" w:hAnsi="宋体" w:eastAsia="宋体" w:cs="宋体"/>
          <w:bCs/>
          <w:szCs w:val="21"/>
          <w:highlight w:val="none"/>
        </w:rPr>
        <w:t>）在合同履行期间，乙方违约产生的违约金、赔偿、罚款或其他应付费用等款项，甲方有权直接从未付</w:t>
      </w:r>
      <w:r>
        <w:rPr>
          <w:rFonts w:hint="eastAsia" w:ascii="宋体" w:hAnsi="宋体" w:eastAsia="宋体" w:cs="宋体"/>
          <w:bCs/>
          <w:szCs w:val="21"/>
          <w:highlight w:val="none"/>
          <w:lang w:val="en-US" w:eastAsia="zh-CN"/>
        </w:rPr>
        <w:t>款项</w:t>
      </w:r>
      <w:r>
        <w:rPr>
          <w:rFonts w:hint="eastAsia" w:ascii="宋体" w:hAnsi="宋体" w:eastAsia="宋体" w:cs="宋体"/>
          <w:bCs/>
          <w:szCs w:val="21"/>
          <w:highlight w:val="none"/>
        </w:rPr>
        <w:t>中扣除或</w:t>
      </w:r>
      <w:r>
        <w:rPr>
          <w:rFonts w:hint="eastAsia" w:ascii="宋体" w:hAnsi="宋体" w:eastAsia="宋体" w:cs="宋体"/>
          <w:bCs/>
          <w:szCs w:val="21"/>
          <w:highlight w:val="none"/>
          <w:lang w:val="en-US" w:eastAsia="zh-CN"/>
        </w:rPr>
        <w:t>启用入库</w:t>
      </w:r>
      <w:r>
        <w:rPr>
          <w:rFonts w:hint="eastAsia" w:ascii="宋体" w:hAnsi="宋体" w:eastAsia="宋体" w:cs="宋体"/>
          <w:bCs/>
          <w:szCs w:val="21"/>
          <w:highlight w:val="none"/>
        </w:rPr>
        <w:t>履约担保予以支付。</w:t>
      </w:r>
    </w:p>
    <w:p w14:paraId="0C845A2A">
      <w:pPr>
        <w:spacing w:line="360" w:lineRule="auto"/>
        <w:ind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lang w:eastAsia="zh-CN"/>
        </w:rPr>
        <w:t>（</w:t>
      </w:r>
      <w:r>
        <w:rPr>
          <w:rFonts w:hint="eastAsia" w:ascii="宋体" w:hAnsi="宋体" w:eastAsia="宋体" w:cs="宋体"/>
          <w:bCs/>
          <w:szCs w:val="21"/>
          <w:highlight w:val="none"/>
          <w:lang w:val="en-US" w:eastAsia="zh-CN"/>
        </w:rPr>
        <w:t>3</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rPr>
        <w:t>合同期内，乙方不能及时完成合同某项义务的，甲方有权</w:t>
      </w:r>
      <w:r>
        <w:rPr>
          <w:rFonts w:hint="eastAsia" w:ascii="宋体" w:hAnsi="宋体" w:eastAsia="宋体" w:cs="宋体"/>
          <w:bCs/>
          <w:szCs w:val="21"/>
          <w:highlight w:val="none"/>
          <w:lang w:val="en-US" w:eastAsia="zh-CN"/>
        </w:rPr>
        <w:t>提取入库</w:t>
      </w:r>
      <w:r>
        <w:rPr>
          <w:rFonts w:hint="eastAsia" w:ascii="宋体" w:hAnsi="宋体" w:eastAsia="宋体" w:cs="宋体"/>
          <w:bCs/>
          <w:szCs w:val="21"/>
          <w:highlight w:val="none"/>
        </w:rPr>
        <w:t>履约担保用于处理该项工作。</w:t>
      </w:r>
    </w:p>
    <w:p w14:paraId="7D6646E2">
      <w:pPr>
        <w:spacing w:line="360" w:lineRule="auto"/>
        <w:ind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rPr>
        <w:t>（</w:t>
      </w:r>
      <w:r>
        <w:rPr>
          <w:rFonts w:hint="eastAsia" w:ascii="宋体" w:hAnsi="宋体" w:eastAsia="宋体" w:cs="宋体"/>
          <w:bCs/>
          <w:szCs w:val="21"/>
          <w:highlight w:val="none"/>
          <w:lang w:val="en-US" w:eastAsia="zh-CN"/>
        </w:rPr>
        <w:t>4</w:t>
      </w:r>
      <w:r>
        <w:rPr>
          <w:rFonts w:hint="eastAsia" w:ascii="宋体" w:hAnsi="宋体" w:eastAsia="宋体" w:cs="宋体"/>
          <w:bCs/>
          <w:szCs w:val="21"/>
          <w:highlight w:val="none"/>
        </w:rPr>
        <w:t>）其他根据本合同约定或法律规定，甲方可</w:t>
      </w:r>
      <w:r>
        <w:rPr>
          <w:rFonts w:hint="eastAsia" w:ascii="宋体" w:hAnsi="宋体" w:eastAsia="宋体" w:cs="宋体"/>
          <w:bCs/>
          <w:szCs w:val="21"/>
          <w:highlight w:val="none"/>
          <w:lang w:val="en-US" w:eastAsia="zh-CN"/>
        </w:rPr>
        <w:t>提取入库</w:t>
      </w:r>
      <w:r>
        <w:rPr>
          <w:rFonts w:hint="eastAsia" w:ascii="宋体" w:hAnsi="宋体" w:eastAsia="宋体" w:cs="宋体"/>
          <w:bCs/>
          <w:szCs w:val="21"/>
          <w:highlight w:val="none"/>
        </w:rPr>
        <w:t>履约担保的情形。</w:t>
      </w:r>
    </w:p>
    <w:p w14:paraId="4482E724">
      <w:pPr>
        <w:spacing w:line="360" w:lineRule="auto"/>
        <w:ind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lang w:val="en-US" w:eastAsia="zh-CN"/>
        </w:rPr>
        <w:t>10</w:t>
      </w:r>
      <w:r>
        <w:rPr>
          <w:rFonts w:hint="eastAsia" w:ascii="宋体" w:hAnsi="宋体" w:eastAsia="宋体" w:cs="宋体"/>
          <w:bCs/>
          <w:szCs w:val="21"/>
          <w:highlight w:val="none"/>
        </w:rPr>
        <w:t>.</w:t>
      </w:r>
      <w:r>
        <w:rPr>
          <w:rFonts w:hint="eastAsia" w:ascii="宋体" w:hAnsi="宋体" w:eastAsia="宋体" w:cs="宋体"/>
          <w:bCs/>
          <w:szCs w:val="21"/>
          <w:highlight w:val="none"/>
          <w:lang w:val="en-US" w:eastAsia="zh-CN"/>
        </w:rPr>
        <w:t>4</w:t>
      </w:r>
      <w:r>
        <w:rPr>
          <w:rFonts w:hint="eastAsia" w:ascii="宋体" w:hAnsi="宋体" w:eastAsia="宋体" w:cs="宋体"/>
          <w:bCs/>
          <w:szCs w:val="21"/>
          <w:highlight w:val="none"/>
        </w:rPr>
        <w:t>乙方以履约保证金（银行转账形式）提供履约担保的，在本合同服务期满且乙方依法完成本项目的所有合同（包括补充协议及单项合同）义务（或其它非强制退库的情况）后</w:t>
      </w:r>
      <w:r>
        <w:rPr>
          <w:rFonts w:hint="eastAsia" w:ascii="宋体" w:hAnsi="宋体" w:eastAsia="宋体" w:cs="宋体"/>
          <w:bCs/>
          <w:szCs w:val="21"/>
          <w:highlight w:val="none"/>
          <w:lang w:eastAsia="zh-CN"/>
        </w:rPr>
        <w:t>，</w:t>
      </w:r>
      <w:r>
        <w:rPr>
          <w:rFonts w:hint="eastAsia" w:ascii="宋体" w:hAnsi="宋体" w:eastAsia="宋体" w:cs="宋体"/>
          <w:color w:val="auto"/>
          <w:sz w:val="21"/>
          <w:szCs w:val="21"/>
          <w:highlight w:val="none"/>
          <w:lang w:val="en-US" w:eastAsia="zh-CN"/>
        </w:rPr>
        <w:t>甲方向乙方支付全部款项</w:t>
      </w:r>
      <w:r>
        <w:rPr>
          <w:rFonts w:hint="eastAsia" w:ascii="宋体" w:hAnsi="宋体" w:eastAsia="宋体" w:cs="宋体"/>
          <w:bCs/>
          <w:szCs w:val="21"/>
          <w:highlight w:val="none"/>
        </w:rPr>
        <w:t>二十八（28）日后</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rPr>
        <w:t>经甲方确认，乙方可向甲方提交退回履约担保的申请。甲方审核</w:t>
      </w:r>
      <w:r>
        <w:rPr>
          <w:rFonts w:hint="eastAsia" w:ascii="宋体" w:hAnsi="宋体" w:eastAsia="宋体" w:cs="宋体"/>
          <w:bCs/>
          <w:szCs w:val="21"/>
          <w:highlight w:val="none"/>
          <w:lang w:val="en-US" w:eastAsia="zh-CN"/>
        </w:rPr>
        <w:t>并在扣除相应的费用（若有）后</w:t>
      </w:r>
      <w:r>
        <w:rPr>
          <w:rFonts w:hint="eastAsia" w:ascii="宋体" w:hAnsi="宋体" w:eastAsia="宋体" w:cs="宋体"/>
          <w:bCs/>
          <w:szCs w:val="21"/>
          <w:highlight w:val="none"/>
        </w:rPr>
        <w:t>，办理履约担保退还手续，退回时一律以银行转账的形式无息退回到乙方的账号。</w:t>
      </w:r>
    </w:p>
    <w:p w14:paraId="22B85DF8">
      <w:pPr>
        <w:spacing w:line="360" w:lineRule="auto"/>
        <w:ind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lang w:val="en-US" w:eastAsia="zh-CN"/>
        </w:rPr>
        <w:t>10</w:t>
      </w:r>
      <w:r>
        <w:rPr>
          <w:rFonts w:hint="eastAsia" w:ascii="宋体" w:hAnsi="宋体" w:eastAsia="宋体" w:cs="宋体"/>
          <w:bCs/>
          <w:szCs w:val="21"/>
          <w:highlight w:val="none"/>
        </w:rPr>
        <w:t>.</w:t>
      </w:r>
      <w:r>
        <w:rPr>
          <w:rFonts w:hint="eastAsia" w:ascii="宋体" w:hAnsi="宋体" w:eastAsia="宋体" w:cs="宋体"/>
          <w:bCs/>
          <w:szCs w:val="21"/>
          <w:highlight w:val="none"/>
          <w:lang w:val="en-US" w:eastAsia="zh-CN"/>
        </w:rPr>
        <w:t>5</w:t>
      </w:r>
      <w:r>
        <w:rPr>
          <w:rFonts w:hint="eastAsia" w:ascii="宋体" w:hAnsi="宋体" w:eastAsia="宋体" w:cs="宋体"/>
          <w:bCs/>
          <w:szCs w:val="21"/>
          <w:highlight w:val="none"/>
        </w:rPr>
        <w:t>如乙方提供不可撤销银行履约保函（或履约保证保险或担保公司履约担保书）作为履约担保的，不可撤销银行履约保函（或履约保证保险或担保公司履约担保书）应从合同签订之日起（或签订合同前）至合同期限届满并完成本项目的所有合同（包括补充协议及单项合同）全部服务义务（或其它非强制退库的情况）</w:t>
      </w:r>
      <w:r>
        <w:rPr>
          <w:rFonts w:hint="eastAsia" w:ascii="宋体" w:hAnsi="宋体" w:eastAsia="宋体" w:cs="宋体"/>
          <w:bCs/>
          <w:szCs w:val="21"/>
          <w:highlight w:val="none"/>
          <w:lang w:eastAsia="zh-CN"/>
        </w:rPr>
        <w:t>，</w:t>
      </w:r>
      <w:r>
        <w:rPr>
          <w:rFonts w:hint="eastAsia" w:ascii="宋体" w:hAnsi="宋体" w:eastAsia="宋体" w:cs="宋体"/>
          <w:bCs/>
          <w:szCs w:val="21"/>
          <w:highlight w:val="none"/>
        </w:rPr>
        <w:t>甲方向乙方支付全部</w:t>
      </w:r>
      <w:r>
        <w:rPr>
          <w:rFonts w:hint="eastAsia" w:ascii="宋体" w:hAnsi="宋体" w:eastAsia="宋体" w:cs="宋体"/>
          <w:bCs/>
          <w:szCs w:val="21"/>
          <w:highlight w:val="none"/>
          <w:lang w:val="en-US" w:eastAsia="zh-CN"/>
        </w:rPr>
        <w:t>款项</w:t>
      </w:r>
      <w:r>
        <w:rPr>
          <w:rFonts w:hint="eastAsia" w:ascii="宋体" w:hAnsi="宋体" w:eastAsia="宋体" w:cs="宋体"/>
          <w:bCs/>
          <w:szCs w:val="21"/>
          <w:highlight w:val="none"/>
        </w:rPr>
        <w:t>后二十八（28）日内保持有效。</w:t>
      </w:r>
      <w:r>
        <w:rPr>
          <w:rFonts w:hint="eastAsia" w:ascii="宋体" w:hAnsi="宋体" w:eastAsia="宋体" w:cs="宋体"/>
          <w:color w:val="auto"/>
          <w:sz w:val="21"/>
          <w:szCs w:val="21"/>
          <w:highlight w:val="none"/>
        </w:rPr>
        <w:t>如不可撤销银行履约保函（或履约保证保险或担保公司履约担保书）到期时乙方尚未完成合同</w:t>
      </w:r>
      <w:r>
        <w:rPr>
          <w:rFonts w:hint="eastAsia" w:ascii="宋体" w:hAnsi="宋体" w:eastAsia="宋体" w:cs="宋体"/>
          <w:color w:val="auto"/>
          <w:sz w:val="21"/>
          <w:szCs w:val="21"/>
          <w:highlight w:val="none"/>
          <w:lang w:val="en-US" w:eastAsia="zh-CN"/>
        </w:rPr>
        <w:t>（包括补充协议及单项合同）</w:t>
      </w:r>
      <w:r>
        <w:rPr>
          <w:rFonts w:hint="eastAsia" w:ascii="宋体" w:hAnsi="宋体" w:eastAsia="宋体" w:cs="宋体"/>
          <w:color w:val="auto"/>
          <w:sz w:val="21"/>
          <w:szCs w:val="21"/>
          <w:highlight w:val="none"/>
        </w:rPr>
        <w:t>项下全部服务义务或甲方未支付全部款项,乙方必须在不可撤销银行履约保函（或履约保证保险或担保公司履约担保书）到期15日前无条件办理办妥符合甲方要求的延期手续或重新提供不可撤销银行履约保函（或履约保证保险或担保公司履约担保书）</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否则视为乙方违约</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甲方有权在不可撤销银行履约保函（或履约保证保险或担保公司履约担保书）到期前向出具履约担保的机构提取履约担保。在不可撤销银行履约保函（或履约保证保险或担保公司履约担保书）到期后乙方未按甲方要求重新提供的，</w:t>
      </w:r>
      <w:r>
        <w:rPr>
          <w:rFonts w:hint="eastAsia" w:ascii="宋体" w:hAnsi="宋体" w:eastAsia="宋体" w:cs="宋体"/>
          <w:bCs/>
          <w:szCs w:val="21"/>
          <w:highlight w:val="none"/>
          <w:lang w:val="en-US" w:eastAsia="zh-CN"/>
        </w:rPr>
        <w:t>乙方应向甲方支付【10】万元违约金，该违约金甲方有权从未付款项中扣除。</w:t>
      </w:r>
      <w:r>
        <w:rPr>
          <w:rFonts w:hint="eastAsia" w:ascii="宋体" w:hAnsi="宋体" w:eastAsia="宋体" w:cs="宋体"/>
          <w:color w:val="auto"/>
          <w:sz w:val="21"/>
          <w:szCs w:val="21"/>
          <w:highlight w:val="none"/>
        </w:rPr>
        <w:t>在乙方重新提供前甲方无需向乙方支付合同款项，且不视为甲方违约。</w:t>
      </w:r>
    </w:p>
    <w:p w14:paraId="6EE45FDE">
      <w:pPr>
        <w:spacing w:line="360" w:lineRule="auto"/>
        <w:ind w:firstLine="420" w:firstLineChars="200"/>
        <w:rPr>
          <w:rFonts w:hint="eastAsia" w:ascii="宋体" w:hAnsi="宋体" w:eastAsia="宋体" w:cs="宋体"/>
          <w:bCs/>
          <w:szCs w:val="21"/>
          <w:highlight w:val="none"/>
        </w:rPr>
      </w:pPr>
      <w:r>
        <w:rPr>
          <w:rFonts w:hint="eastAsia" w:ascii="宋体" w:hAnsi="宋体" w:eastAsia="宋体" w:cs="宋体"/>
          <w:bCs/>
          <w:szCs w:val="21"/>
          <w:highlight w:val="none"/>
          <w:lang w:val="en-US" w:eastAsia="zh-CN"/>
        </w:rPr>
        <w:t>10</w:t>
      </w:r>
      <w:r>
        <w:rPr>
          <w:rFonts w:hint="eastAsia" w:ascii="宋体" w:hAnsi="宋体" w:eastAsia="宋体" w:cs="宋体"/>
          <w:bCs/>
          <w:szCs w:val="21"/>
          <w:highlight w:val="none"/>
        </w:rPr>
        <w:t>.</w:t>
      </w:r>
      <w:r>
        <w:rPr>
          <w:rFonts w:hint="eastAsia" w:ascii="宋体" w:hAnsi="宋体" w:eastAsia="宋体" w:cs="宋体"/>
          <w:bCs/>
          <w:szCs w:val="21"/>
          <w:highlight w:val="none"/>
          <w:lang w:val="en-US" w:eastAsia="zh-CN"/>
        </w:rPr>
        <w:t>6</w:t>
      </w:r>
      <w:r>
        <w:rPr>
          <w:rFonts w:hint="eastAsia" w:ascii="宋体" w:hAnsi="宋体" w:eastAsia="宋体" w:cs="宋体"/>
          <w:bCs/>
          <w:szCs w:val="21"/>
          <w:highlight w:val="none"/>
        </w:rPr>
        <w:t>在合同履行过程中，不论何种原因导致</w:t>
      </w:r>
      <w:r>
        <w:rPr>
          <w:rFonts w:hint="eastAsia" w:ascii="宋体" w:hAnsi="宋体" w:eastAsia="宋体" w:cs="宋体"/>
          <w:bCs/>
          <w:szCs w:val="21"/>
          <w:highlight w:val="none"/>
          <w:lang w:val="en-US" w:eastAsia="zh-CN"/>
        </w:rPr>
        <w:t>入库</w:t>
      </w:r>
      <w:r>
        <w:rPr>
          <w:rFonts w:hint="eastAsia" w:ascii="宋体" w:hAnsi="宋体" w:eastAsia="宋体" w:cs="宋体"/>
          <w:bCs/>
          <w:szCs w:val="21"/>
          <w:highlight w:val="none"/>
        </w:rPr>
        <w:t>履约担保数额不符合</w:t>
      </w:r>
      <w:r>
        <w:rPr>
          <w:rFonts w:hint="eastAsia" w:ascii="宋体" w:hAnsi="宋体" w:eastAsia="宋体" w:cs="宋体"/>
          <w:bCs/>
          <w:szCs w:val="21"/>
          <w:highlight w:val="none"/>
          <w:lang w:val="en-US" w:eastAsia="zh-CN"/>
        </w:rPr>
        <w:t>招标文件</w:t>
      </w:r>
      <w:r>
        <w:rPr>
          <w:rFonts w:hint="eastAsia" w:ascii="宋体" w:hAnsi="宋体" w:eastAsia="宋体" w:cs="宋体"/>
          <w:bCs/>
          <w:szCs w:val="21"/>
          <w:highlight w:val="none"/>
        </w:rPr>
        <w:t>要求的，乙方应当在</w:t>
      </w:r>
      <w:r>
        <w:rPr>
          <w:rFonts w:hint="eastAsia" w:ascii="宋体" w:hAnsi="宋体" w:eastAsia="宋体" w:cs="宋体"/>
          <w:bCs/>
          <w:szCs w:val="21"/>
          <w:highlight w:val="none"/>
          <w:lang w:val="en-US" w:eastAsia="zh-CN"/>
        </w:rPr>
        <w:t>5</w:t>
      </w:r>
      <w:r>
        <w:rPr>
          <w:rFonts w:hint="eastAsia" w:ascii="宋体" w:hAnsi="宋体" w:eastAsia="宋体" w:cs="宋体"/>
          <w:bCs/>
          <w:szCs w:val="21"/>
          <w:highlight w:val="none"/>
        </w:rPr>
        <w:t>日内予以补足。逾期不予补足的，甲方有权按需补足的金额要求乙方承担违约金，并要求乙方限期补足，在乙方补足前甲方无需向乙方支付合同款项，且不视为甲方违约。</w:t>
      </w:r>
    </w:p>
    <w:p w14:paraId="55ED4BAA">
      <w:pPr>
        <w:spacing w:line="360" w:lineRule="auto"/>
        <w:outlineLvl w:val="2"/>
        <w:rPr>
          <w:rFonts w:ascii="宋体" w:hAnsi="宋体" w:eastAsia="宋体" w:cs="宋体"/>
          <w:b/>
          <w:szCs w:val="21"/>
          <w:highlight w:val="none"/>
        </w:rPr>
      </w:pPr>
      <w:r>
        <w:rPr>
          <w:rFonts w:hint="eastAsia" w:ascii="宋体" w:hAnsi="宋体" w:eastAsia="宋体" w:cs="宋体"/>
          <w:b/>
          <w:szCs w:val="21"/>
          <w:highlight w:val="none"/>
        </w:rPr>
        <w:t>第十一条 其它约定</w:t>
      </w:r>
    </w:p>
    <w:p w14:paraId="0E32D19E">
      <w:pPr>
        <w:spacing w:line="360" w:lineRule="auto"/>
        <w:ind w:firstLine="420" w:firstLineChars="200"/>
        <w:rPr>
          <w:rFonts w:ascii="宋体" w:hAnsi="宋体" w:eastAsia="宋体" w:cs="宋体"/>
          <w:bCs/>
          <w:color w:val="000000"/>
          <w:szCs w:val="21"/>
          <w:highlight w:val="none"/>
        </w:rPr>
      </w:pPr>
      <w:r>
        <w:rPr>
          <w:rFonts w:hint="eastAsia" w:ascii="宋体" w:hAnsi="宋体" w:eastAsia="宋体" w:cs="宋体"/>
          <w:bCs/>
          <w:szCs w:val="21"/>
          <w:highlight w:val="none"/>
        </w:rPr>
        <w:t>11.1 在合同期内，非因甲方原因，乙方未能按要求做好运输和处置工作，造成甲方、乙方、第三方的人身</w:t>
      </w:r>
      <w:r>
        <w:rPr>
          <w:rFonts w:hint="eastAsia" w:ascii="宋体" w:hAnsi="宋体" w:eastAsia="宋体" w:cs="宋体"/>
          <w:bCs/>
          <w:color w:val="000000"/>
          <w:szCs w:val="21"/>
          <w:highlight w:val="none"/>
        </w:rPr>
        <w:t>和财产损失，由乙方独自承担法律和经济责任。</w:t>
      </w:r>
    </w:p>
    <w:p w14:paraId="5E368261">
      <w:pPr>
        <w:spacing w:line="360" w:lineRule="auto"/>
        <w:ind w:firstLine="420" w:firstLineChars="200"/>
        <w:rPr>
          <w:rFonts w:ascii="宋体" w:hAnsi="宋体" w:eastAsia="宋体" w:cs="宋体"/>
          <w:bCs/>
          <w:szCs w:val="21"/>
          <w:highlight w:val="none"/>
        </w:rPr>
      </w:pPr>
      <w:r>
        <w:rPr>
          <w:rFonts w:hint="eastAsia" w:ascii="宋体" w:hAnsi="宋体" w:eastAsia="宋体" w:cs="宋体"/>
          <w:bCs/>
          <w:color w:val="000000"/>
          <w:szCs w:val="21"/>
          <w:highlight w:val="none"/>
        </w:rPr>
        <w:t>11.2 本合同为</w:t>
      </w:r>
      <w:r>
        <w:rPr>
          <w:rFonts w:hint="eastAsia" w:ascii="宋体" w:hAnsi="宋体" w:eastAsia="宋体" w:cs="宋体"/>
          <w:color w:val="000000"/>
          <w:szCs w:val="21"/>
          <w:highlight w:val="none"/>
          <w:lang w:val="zh-CN"/>
        </w:rPr>
        <w:t>东莞市众源环境投资有限公司</w:t>
      </w:r>
      <w:r>
        <w:rPr>
          <w:rFonts w:hint="eastAsia" w:ascii="宋体" w:hAnsi="宋体" w:eastAsia="宋体" w:cs="宋体"/>
          <w:color w:val="000000"/>
          <w:szCs w:val="21"/>
          <w:highlight w:val="none"/>
        </w:rPr>
        <w:t>污泥</w:t>
      </w:r>
      <w:r>
        <w:rPr>
          <w:rFonts w:hint="eastAsia" w:ascii="宋体" w:hAnsi="宋体" w:eastAsia="宋体" w:cs="宋体"/>
          <w:color w:val="000000"/>
          <w:szCs w:val="21"/>
          <w:highlight w:val="none"/>
          <w:lang w:val="zh-CN"/>
        </w:rPr>
        <w:t>外运资源化处置服务供应商库</w:t>
      </w:r>
      <w:r>
        <w:rPr>
          <w:rFonts w:hint="eastAsia" w:ascii="宋体" w:hAnsi="宋体" w:eastAsia="宋体" w:cs="宋体"/>
          <w:color w:val="000000"/>
          <w:szCs w:val="21"/>
          <w:highlight w:val="none"/>
        </w:rPr>
        <w:t>入库合同，代表乙方具有依法向甲方提供服务的资格。</w:t>
      </w:r>
      <w:r>
        <w:rPr>
          <w:rFonts w:hint="eastAsia" w:ascii="宋体" w:hAnsi="宋体" w:eastAsia="宋体" w:cs="宋体"/>
          <w:bCs/>
          <w:szCs w:val="21"/>
          <w:highlight w:val="none"/>
        </w:rPr>
        <w:t>甲方</w:t>
      </w:r>
      <w:r>
        <w:rPr>
          <w:rFonts w:hint="eastAsia" w:ascii="宋体" w:hAnsi="宋体" w:eastAsia="宋体" w:cs="宋体"/>
          <w:bCs/>
          <w:szCs w:val="21"/>
          <w:highlight w:val="none"/>
          <w:lang w:eastAsia="zh-CN"/>
        </w:rPr>
        <w:t>招标文件</w:t>
      </w:r>
      <w:r>
        <w:rPr>
          <w:rFonts w:hint="eastAsia" w:ascii="宋体" w:hAnsi="宋体" w:eastAsia="宋体" w:cs="宋体"/>
          <w:bCs/>
          <w:szCs w:val="21"/>
          <w:highlight w:val="none"/>
        </w:rPr>
        <w:t>中介绍的半干化泥粉产生量仅供乙方了解项目情况使用，不作为甲方最终委托外运处置量的保证。在合同服务期内乙方不得因实际泥粉/污泥处理量增减（含未能分配到外运泥粉/污泥处置、未被授予单项服务合同）而要求甲方提供任何形式的补偿或赔偿。</w:t>
      </w:r>
    </w:p>
    <w:p w14:paraId="58A25EE3">
      <w:pPr>
        <w:spacing w:line="360" w:lineRule="auto"/>
        <w:outlineLvl w:val="2"/>
        <w:rPr>
          <w:rFonts w:ascii="宋体" w:hAnsi="宋体" w:eastAsia="宋体" w:cs="宋体"/>
          <w:b/>
          <w:szCs w:val="21"/>
          <w:highlight w:val="none"/>
        </w:rPr>
      </w:pPr>
      <w:r>
        <w:rPr>
          <w:rFonts w:hint="eastAsia" w:ascii="宋体" w:hAnsi="宋体" w:eastAsia="宋体" w:cs="宋体"/>
          <w:b/>
          <w:szCs w:val="21"/>
          <w:highlight w:val="none"/>
        </w:rPr>
        <w:t>第十二条 争议或纠纷处理</w:t>
      </w:r>
    </w:p>
    <w:p w14:paraId="58B111FB">
      <w:pPr>
        <w:spacing w:line="360" w:lineRule="auto"/>
        <w:ind w:firstLine="422" w:firstLineChars="201"/>
        <w:rPr>
          <w:rFonts w:ascii="宋体" w:hAnsi="宋体" w:eastAsia="宋体" w:cs="宋体"/>
          <w:bCs/>
          <w:szCs w:val="21"/>
          <w:highlight w:val="none"/>
        </w:rPr>
      </w:pPr>
      <w:r>
        <w:rPr>
          <w:rFonts w:hint="eastAsia" w:ascii="宋体" w:hAnsi="宋体" w:eastAsia="宋体" w:cs="宋体"/>
          <w:szCs w:val="21"/>
          <w:highlight w:val="none"/>
        </w:rPr>
        <w:t>12.1 双方在履行合同时发生争议，首先本着友好态度协商解决，若经协商仍不能解决，甲乙双方可要求主管部门调解，调解不成的，双方一致同意提交甲方住所地有管辖权的人民法院诉讼解决</w:t>
      </w:r>
      <w:r>
        <w:rPr>
          <w:rFonts w:hint="eastAsia" w:ascii="宋体" w:hAnsi="宋体" w:eastAsia="宋体" w:cs="宋体"/>
          <w:bCs/>
          <w:szCs w:val="21"/>
          <w:highlight w:val="none"/>
        </w:rPr>
        <w:t>。</w:t>
      </w:r>
    </w:p>
    <w:p w14:paraId="6E3C4132">
      <w:pPr>
        <w:spacing w:line="360" w:lineRule="auto"/>
        <w:outlineLvl w:val="2"/>
        <w:rPr>
          <w:rFonts w:ascii="宋体" w:hAnsi="宋体" w:eastAsia="宋体" w:cs="宋体"/>
          <w:b/>
          <w:szCs w:val="21"/>
          <w:highlight w:val="none"/>
        </w:rPr>
      </w:pPr>
      <w:r>
        <w:rPr>
          <w:rFonts w:hint="eastAsia" w:ascii="宋体" w:hAnsi="宋体" w:eastAsia="宋体" w:cs="宋体"/>
          <w:b/>
          <w:szCs w:val="21"/>
          <w:highlight w:val="none"/>
        </w:rPr>
        <w:t>第十三条 附   则</w:t>
      </w:r>
    </w:p>
    <w:p w14:paraId="178ECC1E">
      <w:pPr>
        <w:spacing w:line="360" w:lineRule="auto"/>
        <w:ind w:firstLine="422" w:firstLineChars="201"/>
        <w:rPr>
          <w:rFonts w:ascii="宋体" w:hAnsi="宋体" w:eastAsia="宋体" w:cs="宋体"/>
          <w:szCs w:val="21"/>
          <w:highlight w:val="none"/>
        </w:rPr>
      </w:pPr>
      <w:r>
        <w:rPr>
          <w:rFonts w:hint="eastAsia" w:ascii="宋体" w:hAnsi="宋体" w:eastAsia="宋体" w:cs="宋体"/>
          <w:szCs w:val="21"/>
          <w:highlight w:val="none"/>
        </w:rPr>
        <w:t>13.1 本合同之所有附件均为合同的有效组成部分，与合同同具法律效力，合同与附件之间的内容应认为是互为补充和解释的，</w:t>
      </w:r>
      <w:r>
        <w:rPr>
          <w:rFonts w:hint="eastAsia" w:ascii="宋体" w:hAnsi="宋体" w:eastAsia="宋体" w:cs="宋体"/>
          <w:szCs w:val="21"/>
          <w:highlight w:val="none"/>
          <w:lang w:val="en-US" w:eastAsia="zh-CN"/>
        </w:rPr>
        <w:t>附件</w:t>
      </w:r>
      <w:r>
        <w:rPr>
          <w:rFonts w:hint="eastAsia" w:ascii="宋体" w:hAnsi="宋体" w:eastAsia="宋体" w:cs="宋体"/>
          <w:szCs w:val="21"/>
          <w:highlight w:val="none"/>
        </w:rPr>
        <w:t>与本合同正文约定不一致的，以有利于甲方的约定为准。若合同签订后，双方另有签订文件的，则以时间在后的文件为准。</w:t>
      </w:r>
    </w:p>
    <w:p w14:paraId="1EE8CABB">
      <w:pPr>
        <w:spacing w:line="360" w:lineRule="auto"/>
        <w:ind w:firstLine="422" w:firstLineChars="201"/>
        <w:rPr>
          <w:rFonts w:ascii="宋体" w:hAnsi="宋体" w:eastAsia="宋体" w:cs="宋体"/>
          <w:szCs w:val="21"/>
          <w:highlight w:val="none"/>
        </w:rPr>
      </w:pPr>
      <w:r>
        <w:rPr>
          <w:rFonts w:hint="eastAsia" w:ascii="宋体" w:hAnsi="宋体" w:eastAsia="宋体" w:cs="宋体"/>
          <w:szCs w:val="21"/>
          <w:highlight w:val="none"/>
        </w:rPr>
        <w:t>13.2 双方可对本合同的条款进行补充，以书面形式签订补充协议，补充协议为本合同有效组成部分。</w:t>
      </w:r>
    </w:p>
    <w:p w14:paraId="5B6E36D2">
      <w:pPr>
        <w:spacing w:line="360" w:lineRule="auto"/>
        <w:ind w:firstLine="422" w:firstLineChars="201"/>
        <w:rPr>
          <w:rFonts w:hint="eastAsia" w:ascii="宋体" w:hAnsi="宋体" w:eastAsia="宋体" w:cs="宋体"/>
          <w:szCs w:val="21"/>
          <w:highlight w:val="none"/>
        </w:rPr>
      </w:pPr>
      <w:r>
        <w:rPr>
          <w:rFonts w:hint="eastAsia" w:ascii="宋体" w:hAnsi="宋体" w:eastAsia="宋体" w:cs="宋体"/>
          <w:szCs w:val="21"/>
          <w:highlight w:val="none"/>
        </w:rPr>
        <w:t>13.3 由于地震、台风、水灾、战争以及其他不能预见并且对其发生和后果不能防止或避免的不可抗力事故，致使直接影响本合同的履行或不能按约定的条件履行时，遇有上述不可抗力事故的一方，应立即将事故情况以电话、传真或其他有效方式通知对方，并应在15个工作日内，提供事故详情及合同不能履行、或者部分不能履行、或者需要延期履行的理由的有效证明文件。如因为遭受不可抗力一方迟延通知而给对方造成损失的，该方应当赔偿由于通知迟延而给对方造成的损失。同时，遭受不可抗力的一方应采取一切必要的措施减少损失，否则应就扩大的损失承担责任。按照事故对履行合同影响的程度，由各方协商决定是否解除合同，或者部分免除履行合同的责任，或者延期履行合同。</w:t>
      </w:r>
    </w:p>
    <w:p w14:paraId="56DFD638">
      <w:pPr>
        <w:spacing w:line="360" w:lineRule="auto"/>
        <w:ind w:firstLine="422" w:firstLineChars="201"/>
        <w:rPr>
          <w:rFonts w:ascii="宋体" w:hAnsi="宋体" w:eastAsia="宋体" w:cs="宋体"/>
          <w:szCs w:val="21"/>
          <w:highlight w:val="none"/>
        </w:rPr>
      </w:pPr>
      <w:r>
        <w:rPr>
          <w:rFonts w:hint="eastAsia" w:ascii="宋体" w:hAnsi="宋体" w:eastAsia="宋体" w:cs="宋体"/>
          <w:szCs w:val="21"/>
          <w:highlight w:val="none"/>
        </w:rPr>
        <w:t>13.4 本合同一式</w:t>
      </w:r>
      <w:r>
        <w:rPr>
          <w:rFonts w:hint="eastAsia" w:ascii="宋体" w:hAnsi="宋体" w:eastAsia="宋体" w:cs="宋体"/>
          <w:szCs w:val="21"/>
          <w:highlight w:val="none"/>
          <w:u w:val="single"/>
          <w:lang w:val="en-US" w:eastAsia="zh-CN"/>
        </w:rPr>
        <w:t>柒</w:t>
      </w:r>
      <w:r>
        <w:rPr>
          <w:rFonts w:hint="eastAsia" w:ascii="宋体" w:hAnsi="宋体" w:eastAsia="宋体" w:cs="宋体"/>
          <w:szCs w:val="21"/>
          <w:highlight w:val="none"/>
        </w:rPr>
        <w:t>份，甲方执</w:t>
      </w:r>
      <w:r>
        <w:rPr>
          <w:rFonts w:hint="eastAsia" w:ascii="宋体" w:hAnsi="宋体" w:eastAsia="宋体" w:cs="宋体"/>
          <w:szCs w:val="21"/>
          <w:highlight w:val="none"/>
          <w:u w:val="single"/>
          <w:lang w:val="en-US" w:eastAsia="zh-CN"/>
        </w:rPr>
        <w:t>肆</w:t>
      </w:r>
      <w:r>
        <w:rPr>
          <w:rFonts w:hint="eastAsia" w:ascii="宋体" w:hAnsi="宋体" w:eastAsia="宋体" w:cs="宋体"/>
          <w:szCs w:val="21"/>
          <w:highlight w:val="none"/>
        </w:rPr>
        <w:t>份，乙方执</w:t>
      </w:r>
      <w:r>
        <w:rPr>
          <w:rFonts w:hint="eastAsia" w:ascii="宋体" w:hAnsi="宋体" w:eastAsia="宋体" w:cs="宋体"/>
          <w:szCs w:val="21"/>
          <w:highlight w:val="none"/>
          <w:u w:val="single"/>
          <w:lang w:val="en-US" w:eastAsia="zh-CN"/>
        </w:rPr>
        <w:t>贰</w:t>
      </w:r>
      <w:r>
        <w:rPr>
          <w:rFonts w:hint="eastAsia" w:ascii="宋体" w:hAnsi="宋体" w:eastAsia="宋体" w:cs="宋体"/>
          <w:szCs w:val="21"/>
          <w:highlight w:val="none"/>
        </w:rPr>
        <w:t>份，</w:t>
      </w:r>
      <w:r>
        <w:rPr>
          <w:rFonts w:hint="eastAsia" w:ascii="宋体" w:hAnsi="宋体" w:eastAsia="宋体" w:cs="宋体"/>
          <w:szCs w:val="21"/>
          <w:highlight w:val="none"/>
          <w:lang w:eastAsia="zh-CN"/>
        </w:rPr>
        <w:t>招标</w:t>
      </w:r>
      <w:r>
        <w:rPr>
          <w:rFonts w:hint="eastAsia" w:ascii="宋体" w:hAnsi="宋体" w:eastAsia="宋体" w:cs="宋体"/>
          <w:szCs w:val="21"/>
          <w:highlight w:val="none"/>
        </w:rPr>
        <w:t>代理机构执</w:t>
      </w:r>
      <w:r>
        <w:rPr>
          <w:rFonts w:hint="eastAsia" w:ascii="宋体" w:hAnsi="宋体" w:eastAsia="宋体" w:cs="宋体"/>
          <w:szCs w:val="21"/>
          <w:highlight w:val="none"/>
          <w:u w:val="single"/>
          <w:lang w:val="en-US" w:eastAsia="zh-CN"/>
        </w:rPr>
        <w:t>壹</w:t>
      </w:r>
      <w:r>
        <w:rPr>
          <w:rFonts w:hint="eastAsia" w:ascii="宋体" w:hAnsi="宋体" w:eastAsia="宋体" w:cs="宋体"/>
          <w:szCs w:val="21"/>
          <w:highlight w:val="none"/>
        </w:rPr>
        <w:t>份，具有同等法律效力，本合同自双方盖章、并经双方法定代表人签字之日起生效至合同项下全部义务履行完毕时终止。</w:t>
      </w:r>
    </w:p>
    <w:p w14:paraId="42952293">
      <w:pPr>
        <w:spacing w:line="360" w:lineRule="auto"/>
        <w:ind w:firstLine="422" w:firstLineChars="201"/>
        <w:rPr>
          <w:rFonts w:ascii="宋体" w:hAnsi="宋体" w:eastAsia="宋体" w:cs="宋体"/>
          <w:szCs w:val="21"/>
          <w:highlight w:val="none"/>
        </w:rPr>
      </w:pPr>
      <w:r>
        <w:rPr>
          <w:rFonts w:hint="eastAsia" w:ascii="宋体" w:hAnsi="宋体" w:eastAsia="宋体" w:cs="宋体"/>
          <w:szCs w:val="21"/>
          <w:highlight w:val="none"/>
        </w:rPr>
        <w:t>附件1：廉洁协议书</w:t>
      </w:r>
    </w:p>
    <w:p w14:paraId="46BE2A57">
      <w:pPr>
        <w:spacing w:line="360" w:lineRule="auto"/>
        <w:ind w:firstLine="422" w:firstLineChars="201"/>
        <w:rPr>
          <w:rFonts w:ascii="宋体" w:hAnsi="宋体" w:eastAsia="宋体" w:cs="宋体"/>
          <w:szCs w:val="21"/>
          <w:highlight w:val="none"/>
        </w:rPr>
      </w:pPr>
      <w:r>
        <w:rPr>
          <w:rFonts w:hint="eastAsia" w:ascii="宋体" w:hAnsi="宋体" w:eastAsia="宋体" w:cs="宋体"/>
          <w:szCs w:val="21"/>
          <w:highlight w:val="none"/>
        </w:rPr>
        <w:t>附件2：入库</w:t>
      </w:r>
      <w:r>
        <w:rPr>
          <w:rFonts w:hint="eastAsia" w:ascii="宋体" w:hAnsi="宋体" w:eastAsia="宋体" w:cs="宋体"/>
          <w:szCs w:val="21"/>
          <w:highlight w:val="none"/>
          <w:lang w:val="en-US" w:eastAsia="zh-CN"/>
        </w:rPr>
        <w:t>结果</w:t>
      </w:r>
      <w:r>
        <w:rPr>
          <w:rFonts w:hint="eastAsia" w:ascii="宋体" w:hAnsi="宋体" w:eastAsia="宋体" w:cs="宋体"/>
          <w:szCs w:val="21"/>
          <w:highlight w:val="none"/>
        </w:rPr>
        <w:t>通知书</w:t>
      </w:r>
    </w:p>
    <w:p w14:paraId="44C2014E">
      <w:pPr>
        <w:spacing w:line="360" w:lineRule="auto"/>
        <w:ind w:firstLine="422" w:firstLineChars="201"/>
        <w:rPr>
          <w:rFonts w:ascii="宋体" w:hAnsi="宋体" w:eastAsia="宋体" w:cs="宋体"/>
          <w:szCs w:val="21"/>
          <w:highlight w:val="none"/>
        </w:rPr>
      </w:pPr>
      <w:r>
        <w:rPr>
          <w:rFonts w:hint="eastAsia" w:ascii="宋体" w:hAnsi="宋体" w:eastAsia="宋体" w:cs="宋体"/>
          <w:szCs w:val="21"/>
          <w:highlight w:val="none"/>
        </w:rPr>
        <w:t>附件3：用户需求书</w:t>
      </w:r>
    </w:p>
    <w:p w14:paraId="1547C407">
      <w:pPr>
        <w:spacing w:line="360" w:lineRule="auto"/>
        <w:ind w:firstLine="422" w:firstLineChars="201"/>
        <w:rPr>
          <w:rFonts w:ascii="宋体" w:hAnsi="宋体" w:eastAsia="宋体" w:cs="宋体"/>
          <w:szCs w:val="21"/>
          <w:highlight w:val="none"/>
        </w:rPr>
      </w:pPr>
      <w:r>
        <w:rPr>
          <w:rFonts w:hint="eastAsia" w:ascii="宋体" w:hAnsi="宋体" w:eastAsia="宋体" w:cs="宋体"/>
          <w:szCs w:val="21"/>
          <w:highlight w:val="none"/>
        </w:rPr>
        <w:t>附件4：供应商综合评价考核表</w:t>
      </w:r>
    </w:p>
    <w:p w14:paraId="26CC00E0">
      <w:pPr>
        <w:widowControl/>
        <w:autoSpaceDE/>
        <w:autoSpaceDN/>
        <w:adjustRightInd/>
        <w:spacing w:line="240" w:lineRule="auto"/>
        <w:rPr>
          <w:rFonts w:hint="eastAsia" w:ascii="宋体" w:hAnsi="宋体" w:eastAsia="宋体" w:cs="宋体"/>
          <w:bCs/>
          <w:sz w:val="21"/>
          <w:szCs w:val="21"/>
          <w:highlight w:val="none"/>
          <w:lang w:val="en-US" w:eastAsia="zh-CN" w:bidi="ar-SA"/>
        </w:rPr>
      </w:pPr>
      <w:r>
        <w:rPr>
          <w:rFonts w:hint="eastAsia" w:ascii="宋体" w:hAnsi="宋体" w:eastAsia="宋体" w:cs="宋体"/>
          <w:szCs w:val="21"/>
          <w:highlight w:val="none"/>
        </w:rPr>
        <w:t>（以下无正文内容为签字盖章页）</w:t>
      </w:r>
      <w:r>
        <w:rPr>
          <w:rFonts w:hint="eastAsia" w:ascii="宋体" w:hAnsi="宋体" w:eastAsia="宋体" w:cs="宋体"/>
          <w:bCs/>
          <w:sz w:val="21"/>
          <w:szCs w:val="21"/>
          <w:highlight w:val="none"/>
          <w:lang w:val="en-US" w:eastAsia="zh-CN" w:bidi="ar-SA"/>
        </w:rPr>
        <w:br w:type="page"/>
      </w:r>
    </w:p>
    <w:p w14:paraId="5A09C097">
      <w:pPr>
        <w:pStyle w:val="24"/>
        <w:rPr>
          <w:rFonts w:hint="eastAsia"/>
          <w:highlight w:val="none"/>
          <w:lang w:val="en-US" w:eastAsia="zh-CN"/>
        </w:rPr>
      </w:pPr>
    </w:p>
    <w:p w14:paraId="4B22B84A">
      <w:pPr>
        <w:widowControl w:val="0"/>
        <w:autoSpaceDE w:val="0"/>
        <w:autoSpaceDN w:val="0"/>
        <w:adjustRightInd w:val="0"/>
        <w:spacing w:line="360" w:lineRule="auto"/>
        <w:rPr>
          <w:rFonts w:hint="eastAsia" w:ascii="宋体" w:hAnsi="宋体" w:eastAsia="宋体" w:cs="宋体"/>
          <w:bCs/>
          <w:sz w:val="21"/>
          <w:szCs w:val="21"/>
          <w:highlight w:val="none"/>
          <w:lang w:val="en-US" w:eastAsia="zh-CN" w:bidi="ar-SA"/>
        </w:rPr>
      </w:pPr>
    </w:p>
    <w:tbl>
      <w:tblPr>
        <w:tblStyle w:val="52"/>
        <w:tblW w:w="0" w:type="auto"/>
        <w:jc w:val="center"/>
        <w:tblLayout w:type="fixed"/>
        <w:tblCellMar>
          <w:top w:w="0" w:type="dxa"/>
          <w:left w:w="108" w:type="dxa"/>
          <w:bottom w:w="0" w:type="dxa"/>
          <w:right w:w="108" w:type="dxa"/>
        </w:tblCellMar>
      </w:tblPr>
      <w:tblGrid>
        <w:gridCol w:w="4253"/>
        <w:gridCol w:w="454"/>
        <w:gridCol w:w="4253"/>
      </w:tblGrid>
      <w:tr w14:paraId="0EF5F5AF">
        <w:tblPrEx>
          <w:tblCellMar>
            <w:top w:w="0" w:type="dxa"/>
            <w:left w:w="108" w:type="dxa"/>
            <w:bottom w:w="0" w:type="dxa"/>
            <w:right w:w="108" w:type="dxa"/>
          </w:tblCellMar>
        </w:tblPrEx>
        <w:trPr>
          <w:jc w:val="center"/>
        </w:trPr>
        <w:tc>
          <w:tcPr>
            <w:tcW w:w="4253" w:type="dxa"/>
            <w:noWrap w:val="0"/>
            <w:vAlign w:val="top"/>
          </w:tcPr>
          <w:p w14:paraId="034220AF">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甲方（盖章）：</w:t>
            </w:r>
          </w:p>
          <w:p w14:paraId="48ABE0A7">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w:t>
            </w:r>
          </w:p>
        </w:tc>
        <w:tc>
          <w:tcPr>
            <w:tcW w:w="454" w:type="dxa"/>
            <w:noWrap w:val="0"/>
            <w:vAlign w:val="top"/>
          </w:tcPr>
          <w:p w14:paraId="21CDDF70">
            <w:pPr>
              <w:spacing w:line="360" w:lineRule="auto"/>
              <w:rPr>
                <w:rFonts w:hint="eastAsia" w:ascii="宋体" w:hAnsi="宋体" w:eastAsia="宋体" w:cs="宋体"/>
                <w:sz w:val="21"/>
                <w:szCs w:val="21"/>
                <w:highlight w:val="none"/>
              </w:rPr>
            </w:pPr>
          </w:p>
        </w:tc>
        <w:tc>
          <w:tcPr>
            <w:tcW w:w="4253" w:type="dxa"/>
            <w:noWrap w:val="0"/>
            <w:vAlign w:val="top"/>
          </w:tcPr>
          <w:p w14:paraId="44439B78">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乙方（盖章）：</w:t>
            </w:r>
          </w:p>
          <w:p w14:paraId="4E3B87B8">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w:t>
            </w:r>
          </w:p>
        </w:tc>
      </w:tr>
      <w:tr w14:paraId="3C895662">
        <w:tblPrEx>
          <w:tblCellMar>
            <w:top w:w="0" w:type="dxa"/>
            <w:left w:w="108" w:type="dxa"/>
            <w:bottom w:w="0" w:type="dxa"/>
            <w:right w:w="108" w:type="dxa"/>
          </w:tblCellMar>
        </w:tblPrEx>
        <w:trPr>
          <w:jc w:val="center"/>
        </w:trPr>
        <w:tc>
          <w:tcPr>
            <w:tcW w:w="4253" w:type="dxa"/>
            <w:noWrap w:val="0"/>
            <w:vAlign w:val="top"/>
          </w:tcPr>
          <w:p w14:paraId="0443F73D">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电话：</w:t>
            </w:r>
          </w:p>
        </w:tc>
        <w:tc>
          <w:tcPr>
            <w:tcW w:w="454" w:type="dxa"/>
            <w:noWrap w:val="0"/>
            <w:vAlign w:val="top"/>
          </w:tcPr>
          <w:p w14:paraId="6C97D069">
            <w:pPr>
              <w:spacing w:line="360" w:lineRule="auto"/>
              <w:rPr>
                <w:rFonts w:hint="eastAsia" w:ascii="宋体" w:hAnsi="宋体" w:eastAsia="宋体" w:cs="宋体"/>
                <w:sz w:val="21"/>
                <w:szCs w:val="21"/>
                <w:highlight w:val="none"/>
              </w:rPr>
            </w:pPr>
          </w:p>
        </w:tc>
        <w:tc>
          <w:tcPr>
            <w:tcW w:w="4253" w:type="dxa"/>
            <w:noWrap w:val="0"/>
            <w:vAlign w:val="top"/>
          </w:tcPr>
          <w:p w14:paraId="3A751DEE">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电话：</w:t>
            </w:r>
          </w:p>
        </w:tc>
      </w:tr>
      <w:tr w14:paraId="5899D18A">
        <w:tblPrEx>
          <w:tblCellMar>
            <w:top w:w="0" w:type="dxa"/>
            <w:left w:w="108" w:type="dxa"/>
            <w:bottom w:w="0" w:type="dxa"/>
            <w:right w:w="108" w:type="dxa"/>
          </w:tblCellMar>
        </w:tblPrEx>
        <w:trPr>
          <w:jc w:val="center"/>
        </w:trPr>
        <w:tc>
          <w:tcPr>
            <w:tcW w:w="4253" w:type="dxa"/>
            <w:noWrap w:val="0"/>
            <w:vAlign w:val="top"/>
          </w:tcPr>
          <w:p w14:paraId="777D782C">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地址：</w:t>
            </w:r>
          </w:p>
          <w:p w14:paraId="26B50C5A">
            <w:pPr>
              <w:spacing w:line="360" w:lineRule="auto"/>
              <w:rPr>
                <w:rFonts w:hint="eastAsia" w:ascii="宋体" w:hAnsi="宋体" w:eastAsia="宋体" w:cs="宋体"/>
                <w:sz w:val="21"/>
                <w:szCs w:val="21"/>
                <w:highlight w:val="none"/>
              </w:rPr>
            </w:pPr>
          </w:p>
          <w:p w14:paraId="55166E50">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开户名称：</w:t>
            </w:r>
          </w:p>
        </w:tc>
        <w:tc>
          <w:tcPr>
            <w:tcW w:w="454" w:type="dxa"/>
            <w:noWrap w:val="0"/>
            <w:vAlign w:val="top"/>
          </w:tcPr>
          <w:p w14:paraId="77097EA0">
            <w:pPr>
              <w:spacing w:line="360" w:lineRule="auto"/>
              <w:rPr>
                <w:rFonts w:hint="eastAsia" w:ascii="宋体" w:hAnsi="宋体" w:eastAsia="宋体" w:cs="宋体"/>
                <w:sz w:val="21"/>
                <w:szCs w:val="21"/>
                <w:highlight w:val="none"/>
              </w:rPr>
            </w:pPr>
          </w:p>
        </w:tc>
        <w:tc>
          <w:tcPr>
            <w:tcW w:w="4253" w:type="dxa"/>
            <w:noWrap w:val="0"/>
            <w:vAlign w:val="top"/>
          </w:tcPr>
          <w:p w14:paraId="7F4BD0CA">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地址： </w:t>
            </w:r>
          </w:p>
        </w:tc>
      </w:tr>
      <w:tr w14:paraId="3C6E8D50">
        <w:tblPrEx>
          <w:tblCellMar>
            <w:top w:w="0" w:type="dxa"/>
            <w:left w:w="108" w:type="dxa"/>
            <w:bottom w:w="0" w:type="dxa"/>
            <w:right w:w="108" w:type="dxa"/>
          </w:tblCellMar>
        </w:tblPrEx>
        <w:trPr>
          <w:jc w:val="center"/>
        </w:trPr>
        <w:tc>
          <w:tcPr>
            <w:tcW w:w="4253" w:type="dxa"/>
            <w:noWrap w:val="0"/>
            <w:vAlign w:val="top"/>
          </w:tcPr>
          <w:p w14:paraId="69B8CA14">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开户银行：</w:t>
            </w:r>
          </w:p>
        </w:tc>
        <w:tc>
          <w:tcPr>
            <w:tcW w:w="454" w:type="dxa"/>
            <w:noWrap w:val="0"/>
            <w:vAlign w:val="top"/>
          </w:tcPr>
          <w:p w14:paraId="21E822CF">
            <w:pPr>
              <w:spacing w:line="360" w:lineRule="auto"/>
              <w:rPr>
                <w:rFonts w:hint="eastAsia" w:ascii="宋体" w:hAnsi="宋体" w:eastAsia="宋体" w:cs="宋体"/>
                <w:sz w:val="21"/>
                <w:szCs w:val="21"/>
                <w:highlight w:val="none"/>
              </w:rPr>
            </w:pPr>
          </w:p>
        </w:tc>
        <w:tc>
          <w:tcPr>
            <w:tcW w:w="4253" w:type="dxa"/>
            <w:noWrap w:val="0"/>
            <w:vAlign w:val="top"/>
          </w:tcPr>
          <w:p w14:paraId="7AD259C0">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开户银行：</w:t>
            </w:r>
          </w:p>
        </w:tc>
      </w:tr>
      <w:tr w14:paraId="411B8C99">
        <w:tblPrEx>
          <w:tblCellMar>
            <w:top w:w="0" w:type="dxa"/>
            <w:left w:w="108" w:type="dxa"/>
            <w:bottom w:w="0" w:type="dxa"/>
            <w:right w:w="108" w:type="dxa"/>
          </w:tblCellMar>
        </w:tblPrEx>
        <w:trPr>
          <w:jc w:val="center"/>
        </w:trPr>
        <w:tc>
          <w:tcPr>
            <w:tcW w:w="4253" w:type="dxa"/>
            <w:noWrap w:val="0"/>
            <w:vAlign w:val="top"/>
          </w:tcPr>
          <w:p w14:paraId="186288DF">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账号：</w:t>
            </w:r>
          </w:p>
        </w:tc>
        <w:tc>
          <w:tcPr>
            <w:tcW w:w="454" w:type="dxa"/>
            <w:noWrap w:val="0"/>
            <w:vAlign w:val="top"/>
          </w:tcPr>
          <w:p w14:paraId="0121FA9B">
            <w:pPr>
              <w:spacing w:line="360" w:lineRule="auto"/>
              <w:rPr>
                <w:rFonts w:hint="eastAsia" w:ascii="宋体" w:hAnsi="宋体" w:eastAsia="宋体" w:cs="宋体"/>
                <w:sz w:val="21"/>
                <w:szCs w:val="21"/>
                <w:highlight w:val="none"/>
              </w:rPr>
            </w:pPr>
          </w:p>
        </w:tc>
        <w:tc>
          <w:tcPr>
            <w:tcW w:w="4253" w:type="dxa"/>
            <w:noWrap w:val="0"/>
            <w:vAlign w:val="top"/>
          </w:tcPr>
          <w:p w14:paraId="76805E9A">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账号：</w:t>
            </w:r>
          </w:p>
        </w:tc>
      </w:tr>
    </w:tbl>
    <w:p w14:paraId="6301BF43">
      <w:pPr>
        <w:keepNext w:val="0"/>
        <w:keepLines w:val="0"/>
        <w:pageBreakBefore w:val="0"/>
        <w:widowControl/>
        <w:kinsoku/>
        <w:wordWrap/>
        <w:overflowPunct/>
        <w:topLinePunct w:val="0"/>
        <w:autoSpaceDE/>
        <w:autoSpaceDN/>
        <w:bidi w:val="0"/>
        <w:adjustRightInd/>
        <w:snapToGrid/>
        <w:spacing w:line="240" w:lineRule="auto"/>
        <w:textAlignment w:val="auto"/>
        <w:outlineLvl w:val="9"/>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br w:type="page"/>
      </w:r>
    </w:p>
    <w:p w14:paraId="46B98CAD">
      <w:pPr>
        <w:keepNext w:val="0"/>
        <w:keepLines w:val="0"/>
        <w:pageBreakBefore w:val="0"/>
        <w:widowControl/>
        <w:kinsoku/>
        <w:wordWrap/>
        <w:overflowPunct/>
        <w:topLinePunct w:val="0"/>
        <w:autoSpaceDE w:val="0"/>
        <w:autoSpaceDN w:val="0"/>
        <w:bidi w:val="0"/>
        <w:adjustRightInd w:val="0"/>
        <w:snapToGrid/>
        <w:spacing w:line="360" w:lineRule="auto"/>
        <w:ind w:right="31" w:rightChars="15"/>
        <w:jc w:val="left"/>
        <w:textAlignment w:val="auto"/>
        <w:outlineLvl w:val="2"/>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附件</w:t>
      </w:r>
      <w:r>
        <w:rPr>
          <w:rFonts w:hint="eastAsia" w:ascii="宋体" w:hAnsi="宋体" w:eastAsia="宋体" w:cs="宋体"/>
          <w:b/>
          <w:color w:val="auto"/>
          <w:szCs w:val="21"/>
          <w:highlight w:val="none"/>
          <w:lang w:val="en-US" w:eastAsia="zh-CN"/>
        </w:rPr>
        <w:t>1</w:t>
      </w:r>
      <w:r>
        <w:rPr>
          <w:rFonts w:hint="eastAsia" w:ascii="宋体" w:hAnsi="宋体" w:eastAsia="宋体" w:cs="宋体"/>
          <w:b/>
          <w:color w:val="auto"/>
          <w:szCs w:val="21"/>
          <w:highlight w:val="none"/>
        </w:rPr>
        <w:t>：廉洁协议书</w:t>
      </w:r>
    </w:p>
    <w:p w14:paraId="51386915">
      <w:pPr>
        <w:spacing w:line="360" w:lineRule="auto"/>
        <w:rPr>
          <w:rFonts w:hint="eastAsia" w:ascii="宋体" w:hAnsi="宋体" w:eastAsia="宋体" w:cs="宋体"/>
          <w:color w:val="auto"/>
          <w:szCs w:val="21"/>
          <w:highlight w:val="none"/>
        </w:rPr>
      </w:pPr>
    </w:p>
    <w:p w14:paraId="02066DD9">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廉洁协议书</w:t>
      </w:r>
    </w:p>
    <w:p w14:paraId="52B0A0A2">
      <w:pPr>
        <w:spacing w:line="360" w:lineRule="auto"/>
        <w:ind w:firstLine="422" w:firstLineChars="200"/>
        <w:jc w:val="center"/>
        <w:rPr>
          <w:rFonts w:hint="eastAsia" w:ascii="宋体" w:hAnsi="宋体" w:eastAsia="宋体" w:cs="宋体"/>
          <w:b/>
          <w:color w:val="auto"/>
          <w:szCs w:val="21"/>
          <w:highlight w:val="none"/>
        </w:rPr>
      </w:pPr>
    </w:p>
    <w:p w14:paraId="4F3E3279">
      <w:pPr>
        <w:spacing w:line="360" w:lineRule="auto"/>
        <w:ind w:firstLine="422" w:firstLineChars="200"/>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t>项目名称：</w:t>
      </w:r>
      <w:r>
        <w:rPr>
          <w:rFonts w:hint="eastAsia" w:ascii="宋体" w:hAnsi="宋体" w:eastAsia="宋体" w:cs="宋体"/>
          <w:b/>
          <w:bCs/>
          <w:color w:val="auto"/>
          <w:szCs w:val="21"/>
          <w:highlight w:val="none"/>
          <w:lang w:eastAsia="zh-CN"/>
        </w:rPr>
        <w:t xml:space="preserve"> </w:t>
      </w:r>
      <w:r>
        <w:rPr>
          <w:rFonts w:hint="eastAsia" w:ascii="宋体" w:hAnsi="宋体" w:eastAsia="宋体" w:cs="宋体"/>
          <w:b/>
          <w:bCs/>
          <w:color w:val="auto"/>
          <w:szCs w:val="21"/>
          <w:highlight w:val="none"/>
          <w:lang w:val="en-US" w:eastAsia="zh-CN"/>
        </w:rPr>
        <w:t xml:space="preserve">           </w:t>
      </w:r>
      <w:r>
        <w:rPr>
          <w:rFonts w:hint="eastAsia" w:ascii="宋体" w:hAnsi="宋体" w:eastAsia="宋体" w:cs="宋体"/>
          <w:b/>
          <w:bCs/>
          <w:color w:val="auto"/>
          <w:szCs w:val="21"/>
          <w:highlight w:val="none"/>
        </w:rPr>
        <w:t>(</w:t>
      </w:r>
      <w:r>
        <w:rPr>
          <w:rFonts w:hint="eastAsia" w:ascii="宋体" w:hAnsi="宋体" w:eastAsia="宋体" w:cs="宋体"/>
          <w:b/>
          <w:bCs/>
          <w:color w:val="auto"/>
          <w:szCs w:val="21"/>
          <w:highlight w:val="none"/>
          <w:lang w:val="en-US" w:eastAsia="zh-CN"/>
        </w:rPr>
        <w:t>招标</w:t>
      </w:r>
      <w:r>
        <w:rPr>
          <w:rFonts w:hint="eastAsia" w:ascii="宋体" w:hAnsi="宋体" w:eastAsia="宋体" w:cs="宋体"/>
          <w:b/>
          <w:bCs/>
          <w:color w:val="auto"/>
          <w:szCs w:val="21"/>
          <w:highlight w:val="none"/>
        </w:rPr>
        <w:t>编号：</w:t>
      </w:r>
      <w:r>
        <w:rPr>
          <w:rFonts w:hint="eastAsia" w:ascii="宋体" w:hAnsi="宋体" w:eastAsia="宋体" w:cs="宋体"/>
          <w:b/>
          <w:bCs/>
          <w:color w:val="auto"/>
          <w:szCs w:val="21"/>
          <w:highlight w:val="none"/>
          <w:lang w:val="en-US" w:eastAsia="zh-CN"/>
        </w:rPr>
        <w:t xml:space="preserve">               </w:t>
      </w:r>
      <w:r>
        <w:rPr>
          <w:rFonts w:hint="eastAsia" w:ascii="宋体" w:hAnsi="宋体" w:eastAsia="宋体" w:cs="宋体"/>
          <w:b/>
          <w:bCs/>
          <w:color w:val="auto"/>
          <w:szCs w:val="21"/>
          <w:highlight w:val="none"/>
        </w:rPr>
        <w:t>)</w:t>
      </w:r>
    </w:p>
    <w:p w14:paraId="549A25FA">
      <w:pPr>
        <w:spacing w:line="360" w:lineRule="auto"/>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甲方（业主单位）：</w:t>
      </w:r>
    </w:p>
    <w:p w14:paraId="56CCCB51">
      <w:pPr>
        <w:spacing w:line="360" w:lineRule="auto"/>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乙方：</w:t>
      </w:r>
    </w:p>
    <w:p w14:paraId="6E22B6FB">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为规范甲乙双方在订立、履行合同及经济业务往来过程中的行为，保持廉洁自律的工作作风,防止各种违法及不正当行为的发生,确保甲乙双方及其工作人员自觉遵守国家法律、法规及廉洁从业各项规定，特订立本协议。</w:t>
      </w:r>
    </w:p>
    <w:p w14:paraId="6B823411">
      <w:pPr>
        <w:spacing w:line="360" w:lineRule="auto"/>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第一条  甲乙双方的权利和义务</w:t>
      </w:r>
    </w:p>
    <w:p w14:paraId="18662318">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（一）严格遵守党和国家有关法律法规等有关廉洁从业规定。</w:t>
      </w:r>
    </w:p>
    <w:p w14:paraId="4594A128">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（二）严格执行本项目的合同文件，自觉按合同办事。</w:t>
      </w:r>
    </w:p>
    <w:p w14:paraId="3A8DC355">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（三）双方的业务活动坚持公开、公正、诚信、透明的原则（除法律认定的商业秘密和合同文件另有规定之外）不得损害国家和集体利益，违反工程建设管理及其他法律法规规章制度。</w:t>
      </w:r>
    </w:p>
    <w:p w14:paraId="23C9B55D">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（四）建立健全廉洁制度，开展廉洁教育，设立廉洁监督公示牌，公布举报电话，监督并认真查处违法违纪行为。</w:t>
      </w:r>
    </w:p>
    <w:p w14:paraId="01E3CA9B">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（五）发现对方在业务活动中有违反廉洁规定的行为，有及时提醒对方纠正的权利和义务。</w:t>
      </w:r>
    </w:p>
    <w:p w14:paraId="67EEDD1C">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（六）发现对方严重违反本协议义务条款的行为，有向其上级有关部门举报、建议给予处理并要求告知处理结果的权利。</w:t>
      </w:r>
    </w:p>
    <w:p w14:paraId="0095E7D3">
      <w:pPr>
        <w:spacing w:line="360" w:lineRule="auto"/>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第二条  甲方的义务</w:t>
      </w:r>
    </w:p>
    <w:p w14:paraId="1408DA62">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（一）甲方及其工作人员不得索要或接受乙方的礼金、有价证券和贵重物品，不得在乙方报销任何应由甲方或个人支付的费用。</w:t>
      </w:r>
    </w:p>
    <w:p w14:paraId="2ED4A17C">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（二）甲方工作人员不得参加乙方安排的高消费宴请和娱乐活动；不得接受乙方提供的通讯工具、交通工具和高档办公用品。</w:t>
      </w:r>
    </w:p>
    <w:p w14:paraId="2716AED7">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（三）甲方及其工作人员不得要求或者接受乙方为其住房装修、婚丧嫁娶活动、家属或亲友的工作安排以及出国出境、旅游等提供方便。</w:t>
      </w:r>
    </w:p>
    <w:p w14:paraId="46AD679A">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（四）甲方工作人员不得向乙方介绍其家属或者亲友（包括家属或亲友开办的公司企业）从事于本项目涉及的经济业务活动。</w:t>
      </w:r>
    </w:p>
    <w:p w14:paraId="2EC12019">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（五）甲方及其工作人员不得以任何理由向乙方推荐分包单位，不得要求乙方购买合同规定外的材料和设备。</w:t>
      </w:r>
    </w:p>
    <w:p w14:paraId="37B2DCCD">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（六）甲方及其工作人员不得进行违反廉洁规定的其他活动。</w:t>
      </w:r>
    </w:p>
    <w:p w14:paraId="28898DEB">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（七）甲方应对甲方工作人员进行廉洁监督管理，如甲方工作人员违反本协议第一、第二条，甲方应依据有关法律法规、党纪规定对其进行处理；涉嫌犯罪的，甲方应将其移交司法机关追究刑事责任。</w:t>
      </w:r>
    </w:p>
    <w:p w14:paraId="2AAA1635">
      <w:pPr>
        <w:spacing w:line="360" w:lineRule="auto"/>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第三条  乙方义务</w:t>
      </w:r>
    </w:p>
    <w:p w14:paraId="20820BFE">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（一）乙方不得以任何理由向甲方及其工作人员馈赠礼金、有价证券、贵重礼品，或报销应由甲方单位或个人支付的任何费用。</w:t>
      </w:r>
    </w:p>
    <w:p w14:paraId="2B8289E2">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（二）乙方及其工作人员不得以考察、参观、洽谈业务、签订合同等的借口邀请甲方及其工作人员参加高消费的宴请、娱乐和健身等活动。</w:t>
      </w:r>
    </w:p>
    <w:p w14:paraId="02BE5A6B">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（三）乙方不得为甲方单位和个人购置或提供通讯工具、交通工具和高档办公用品等。</w:t>
      </w:r>
    </w:p>
    <w:p w14:paraId="460A7EAC">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（四）乙方及其工作人员不得为甲方工作人员购买、装修、维修私人住房、汽车等。</w:t>
      </w:r>
    </w:p>
    <w:p w14:paraId="57DE7B66">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（五）乙方及其工作人员不得为甲方工作人员的婚丧嫁娶、家属或亲友的工作安排，及出国出境提供方便以及报销任何私人消费的费用。</w:t>
      </w:r>
    </w:p>
    <w:p w14:paraId="08956209">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（六）乙方及其工作人员不得进行影响甲方及其工作人员公正执行合同和履行职务的其他活动。</w:t>
      </w:r>
    </w:p>
    <w:p w14:paraId="0612A0B5">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七）乙方应对乙方工作人员进行廉洁监督管理，如乙方工作人员违反本协议第一、第三条，乙方应依据有关法律法规、党纪规定对其进行处理；乙方工作人员涉嫌犯罪的，乙方应将其移交司法机关追究刑事责任。</w:t>
      </w:r>
    </w:p>
    <w:p w14:paraId="420271F7">
      <w:pPr>
        <w:spacing w:line="360" w:lineRule="auto"/>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第四条  违约责任</w:t>
      </w:r>
    </w:p>
    <w:p w14:paraId="5C2EA3E4">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（一）甲方违反本协议第一、第二条给乙方单位造成经济损失的，应予以赔偿。</w:t>
      </w:r>
    </w:p>
    <w:p w14:paraId="033FE2DE">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（二）乙方违反本协议第一、第三条给甲方单位造成经济损失的，应予以赔偿。</w:t>
      </w:r>
    </w:p>
    <w:p w14:paraId="3FAD6E18">
      <w:pPr>
        <w:spacing w:line="360" w:lineRule="auto"/>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第五条  监督检查</w:t>
      </w:r>
    </w:p>
    <w:p w14:paraId="1787729D">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甲乙双方的廉洁从业行为由双方或双方上级单位的纪检、监察部门负责监督，对本协议履行情况进行检查。</w:t>
      </w:r>
    </w:p>
    <w:p w14:paraId="47C143BF">
      <w:pPr>
        <w:spacing w:line="360" w:lineRule="auto"/>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第六条 举报信访受理</w:t>
      </w:r>
    </w:p>
    <w:p w14:paraId="20246F18">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（一）举报受理部门：</w:t>
      </w:r>
      <w:r>
        <w:rPr>
          <w:rFonts w:hint="eastAsia" w:ascii="宋体" w:hAnsi="宋体" w:eastAsia="宋体" w:cs="宋体"/>
          <w:color w:val="auto"/>
          <w:szCs w:val="21"/>
          <w:highlight w:val="none"/>
          <w:lang w:eastAsia="zh-CN"/>
        </w:rPr>
        <w:t>东莞市水务环境投资控股集团有限公司</w:t>
      </w:r>
      <w:r>
        <w:rPr>
          <w:rFonts w:hint="eastAsia" w:ascii="宋体" w:hAnsi="宋体" w:eastAsia="宋体" w:cs="宋体"/>
          <w:color w:val="auto"/>
          <w:szCs w:val="21"/>
          <w:highlight w:val="none"/>
        </w:rPr>
        <w:t>纪检监察部。</w:t>
      </w:r>
    </w:p>
    <w:p w14:paraId="599A9F19">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（二）举报电话：（0769）23076092。</w:t>
      </w:r>
    </w:p>
    <w:p w14:paraId="4EA28B0A">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（三）举报邮箱：</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"mailto:jcsj@dgswjt.cn。" </w:instrText>
      </w:r>
      <w:r>
        <w:rPr>
          <w:rFonts w:hint="eastAsia" w:ascii="宋体" w:hAnsi="宋体" w:eastAsia="宋体" w:cs="宋体"/>
          <w:color w:val="auto"/>
          <w:highlight w:val="none"/>
        </w:rPr>
        <w:fldChar w:fldCharType="separate"/>
      </w:r>
      <w:r>
        <w:rPr>
          <w:rStyle w:val="58"/>
          <w:rFonts w:hint="eastAsia" w:ascii="宋体" w:hAnsi="宋体" w:eastAsia="宋体" w:cs="宋体"/>
          <w:color w:val="auto"/>
          <w:sz w:val="21"/>
          <w:szCs w:val="21"/>
          <w:highlight w:val="none"/>
        </w:rPr>
        <w:t>jcsj@dgswjt.cn。</w:t>
      </w:r>
      <w:r>
        <w:rPr>
          <w:rStyle w:val="58"/>
          <w:rFonts w:hint="eastAsia" w:ascii="宋体" w:hAnsi="宋体" w:eastAsia="宋体" w:cs="宋体"/>
          <w:color w:val="auto"/>
          <w:sz w:val="21"/>
          <w:szCs w:val="21"/>
          <w:highlight w:val="none"/>
        </w:rPr>
        <w:fldChar w:fldCharType="end"/>
      </w:r>
    </w:p>
    <w:p w14:paraId="38E35DBF">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（四）信访地址：广东省东莞市东城街道育华路1号。</w:t>
      </w:r>
    </w:p>
    <w:p w14:paraId="6CE2015C">
      <w:pPr>
        <w:spacing w:line="360" w:lineRule="auto"/>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第七条 其他</w:t>
      </w:r>
    </w:p>
    <w:p w14:paraId="0EF414EB">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本协议有效期为自双方盖章、并经双方法定代表人签字之日起生效至供应商库服务资格有效期满后止。</w:t>
      </w:r>
    </w:p>
    <w:p w14:paraId="7F56E88B">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本协议一式</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份，甲方执</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份，乙方执</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w:t>
      </w:r>
      <w:r>
        <w:rPr>
          <w:rFonts w:hint="eastAsia" w:ascii="宋体" w:hAnsi="宋体" w:eastAsia="宋体" w:cs="宋体"/>
          <w:color w:val="auto"/>
          <w:szCs w:val="21"/>
          <w:highlight w:val="none"/>
          <w:lang w:eastAsia="zh-CN"/>
        </w:rPr>
        <w:t>招标</w:t>
      </w:r>
      <w:r>
        <w:rPr>
          <w:rFonts w:hint="eastAsia" w:ascii="宋体" w:hAnsi="宋体" w:eastAsia="宋体" w:cs="宋体"/>
          <w:color w:val="auto"/>
          <w:szCs w:val="21"/>
          <w:highlight w:val="none"/>
        </w:rPr>
        <w:t>代理机构执</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w:t>
      </w:r>
    </w:p>
    <w:p w14:paraId="6A20DB26">
      <w:pPr>
        <w:spacing w:line="360" w:lineRule="auto"/>
        <w:rPr>
          <w:rFonts w:hint="eastAsia" w:ascii="宋体" w:hAnsi="宋体" w:eastAsia="宋体" w:cs="宋体"/>
          <w:color w:val="auto"/>
          <w:szCs w:val="21"/>
          <w:highlight w:val="none"/>
        </w:rPr>
      </w:pPr>
    </w:p>
    <w:p w14:paraId="2A93B618">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甲方（盖章）：</w:t>
      </w:r>
      <w:r>
        <w:rPr>
          <w:rFonts w:hint="eastAsia" w:ascii="宋体" w:hAnsi="宋体" w:eastAsia="宋体" w:cs="宋体"/>
          <w:sz w:val="21"/>
          <w:szCs w:val="21"/>
          <w:highlight w:val="none"/>
          <w:lang w:val="en-US" w:eastAsia="zh-CN"/>
        </w:rPr>
        <w:t xml:space="preserve">                          </w:t>
      </w:r>
      <w:r>
        <w:rPr>
          <w:rFonts w:hint="eastAsia" w:ascii="宋体" w:hAnsi="宋体" w:eastAsia="宋体" w:cs="宋体"/>
          <w:color w:val="auto"/>
          <w:szCs w:val="21"/>
          <w:highlight w:val="none"/>
        </w:rPr>
        <w:t xml:space="preserve">          乙方（盖章）： </w:t>
      </w:r>
    </w:p>
    <w:p w14:paraId="0731ED9A">
      <w:pPr>
        <w:spacing w:line="360" w:lineRule="auto"/>
        <w:ind w:firstLine="420" w:firstLineChars="200"/>
        <w:rPr>
          <w:rFonts w:hint="eastAsia" w:ascii="宋体" w:hAnsi="宋体" w:eastAsia="宋体" w:cs="宋体"/>
          <w:color w:val="auto"/>
          <w:szCs w:val="21"/>
          <w:highlight w:val="none"/>
        </w:rPr>
      </w:pPr>
    </w:p>
    <w:p w14:paraId="33E6C59E">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法定代表人：      </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 xml:space="preserve">   法定代表人：</w:t>
      </w:r>
    </w:p>
    <w:p w14:paraId="70D4F674">
      <w:pPr>
        <w:spacing w:line="360" w:lineRule="auto"/>
        <w:ind w:firstLine="420" w:firstLineChars="200"/>
        <w:rPr>
          <w:rFonts w:hint="eastAsia" w:ascii="宋体" w:hAnsi="宋体" w:eastAsia="宋体" w:cs="宋体"/>
          <w:color w:val="auto"/>
          <w:szCs w:val="21"/>
          <w:highlight w:val="none"/>
        </w:rPr>
      </w:pPr>
    </w:p>
    <w:p w14:paraId="019FF442">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签订日期：    年  月  日   </w:t>
      </w:r>
    </w:p>
    <w:p w14:paraId="176C39A5">
      <w:pPr>
        <w:pStyle w:val="24"/>
        <w:ind w:firstLineChars="200"/>
        <w:rPr>
          <w:rFonts w:hint="eastAsia" w:ascii="宋体" w:hAnsi="宋体" w:eastAsia="宋体" w:cs="宋体"/>
          <w:color w:val="auto"/>
          <w:szCs w:val="21"/>
          <w:highlight w:val="none"/>
        </w:rPr>
      </w:pPr>
    </w:p>
    <w:p w14:paraId="67848381">
      <w:pPr>
        <w:spacing w:line="360" w:lineRule="auto"/>
        <w:ind w:firstLine="420" w:firstLineChars="200"/>
        <w:rPr>
          <w:rFonts w:hint="eastAsia" w:ascii="宋体" w:hAnsi="宋体" w:eastAsia="宋体" w:cs="宋体"/>
          <w:color w:val="auto"/>
          <w:szCs w:val="21"/>
          <w:highlight w:val="none"/>
        </w:rPr>
      </w:pPr>
    </w:p>
    <w:p w14:paraId="6D11FD7E">
      <w:pPr>
        <w:pageBreakBefore w:val="0"/>
        <w:spacing w:line="240" w:lineRule="auto"/>
        <w:ind w:firstLine="0" w:firstLineChars="0"/>
        <w:jc w:val="left"/>
        <w:rPr>
          <w:rFonts w:hint="eastAsia" w:ascii="宋体" w:hAnsi="宋体" w:eastAsia="宋体" w:cs="宋体"/>
          <w:b/>
          <w:sz w:val="21"/>
          <w:szCs w:val="21"/>
          <w:highlight w:val="none"/>
        </w:rPr>
      </w:pPr>
      <w:r>
        <w:rPr>
          <w:rFonts w:hint="eastAsia" w:ascii="宋体" w:hAnsi="宋体" w:eastAsia="宋体" w:cs="宋体"/>
          <w:b/>
          <w:sz w:val="21"/>
          <w:szCs w:val="21"/>
          <w:highlight w:val="none"/>
        </w:rPr>
        <w:br w:type="page"/>
      </w:r>
    </w:p>
    <w:p w14:paraId="1F408A17">
      <w:pPr>
        <w:pageBreakBefore w:val="0"/>
        <w:widowControl/>
        <w:autoSpaceDE w:val="0"/>
        <w:autoSpaceDN w:val="0"/>
        <w:adjustRightInd w:val="0"/>
        <w:spacing w:line="360" w:lineRule="auto"/>
        <w:ind w:right="31" w:rightChars="15" w:firstLine="0" w:firstLineChars="0"/>
        <w:jc w:val="left"/>
        <w:outlineLvl w:val="2"/>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附件4：供应商综合评价考核表</w:t>
      </w:r>
    </w:p>
    <w:tbl>
      <w:tblPr>
        <w:tblStyle w:val="52"/>
        <w:tblW w:w="10520" w:type="dxa"/>
        <w:jc w:val="center"/>
        <w:tblLayout w:type="fixed"/>
        <w:tblCellMar>
          <w:top w:w="0" w:type="dxa"/>
          <w:left w:w="108" w:type="dxa"/>
          <w:bottom w:w="0" w:type="dxa"/>
          <w:right w:w="108" w:type="dxa"/>
        </w:tblCellMar>
      </w:tblPr>
      <w:tblGrid>
        <w:gridCol w:w="662"/>
        <w:gridCol w:w="1037"/>
        <w:gridCol w:w="730"/>
        <w:gridCol w:w="4931"/>
        <w:gridCol w:w="864"/>
        <w:gridCol w:w="893"/>
        <w:gridCol w:w="1403"/>
      </w:tblGrid>
      <w:tr w14:paraId="26DBC22C">
        <w:tblPrEx>
          <w:tblCellMar>
            <w:top w:w="0" w:type="dxa"/>
            <w:left w:w="108" w:type="dxa"/>
            <w:bottom w:w="0" w:type="dxa"/>
            <w:right w:w="108" w:type="dxa"/>
          </w:tblCellMar>
        </w:tblPrEx>
        <w:trPr>
          <w:trHeight w:val="648" w:hRule="atLeast"/>
          <w:jc w:val="center"/>
        </w:trPr>
        <w:tc>
          <w:tcPr>
            <w:tcW w:w="10520" w:type="dxa"/>
            <w:gridSpan w:val="7"/>
            <w:tcBorders>
              <w:top w:val="nil"/>
              <w:left w:val="nil"/>
              <w:bottom w:val="nil"/>
              <w:right w:val="nil"/>
            </w:tcBorders>
            <w:noWrap w:val="0"/>
            <w:vAlign w:val="center"/>
          </w:tcPr>
          <w:p w14:paraId="33C882E3">
            <w:pPr>
              <w:widowControl/>
              <w:jc w:val="center"/>
              <w:rPr>
                <w:rFonts w:hint="eastAsia" w:ascii="宋体" w:hAnsi="宋体" w:eastAsia="宋体" w:cs="宋体"/>
                <w:b/>
                <w:sz w:val="36"/>
                <w:szCs w:val="36"/>
                <w:highlight w:val="none"/>
                <w:lang w:eastAsia="zh-CN"/>
              </w:rPr>
            </w:pPr>
            <w:r>
              <w:rPr>
                <w:rFonts w:hint="eastAsia" w:ascii="宋体" w:hAnsi="宋体" w:eastAsia="宋体" w:cs="宋体"/>
                <w:b/>
                <w:sz w:val="21"/>
                <w:szCs w:val="21"/>
                <w:highlight w:val="none"/>
              </w:rPr>
              <w:t>供应商综合评价考核表</w:t>
            </w:r>
            <w:r>
              <w:rPr>
                <w:rFonts w:hint="eastAsia" w:ascii="宋体" w:hAnsi="宋体" w:eastAsia="宋体" w:cs="宋体"/>
                <w:b/>
                <w:sz w:val="21"/>
                <w:szCs w:val="21"/>
                <w:highlight w:val="none"/>
                <w:lang w:eastAsia="zh-CN"/>
              </w:rPr>
              <w:t>（</w:t>
            </w:r>
            <w:r>
              <w:rPr>
                <w:rFonts w:hint="eastAsia" w:ascii="宋体" w:hAnsi="宋体" w:eastAsia="宋体" w:cs="宋体"/>
                <w:b/>
                <w:sz w:val="21"/>
                <w:szCs w:val="21"/>
                <w:highlight w:val="none"/>
              </w:rPr>
              <w:t>未承接处置服务的供应商</w:t>
            </w:r>
            <w:r>
              <w:rPr>
                <w:rFonts w:hint="eastAsia" w:ascii="宋体" w:hAnsi="宋体" w:eastAsia="宋体" w:cs="宋体"/>
                <w:b/>
                <w:sz w:val="21"/>
                <w:szCs w:val="21"/>
                <w:highlight w:val="none"/>
                <w:lang w:eastAsia="zh-CN"/>
              </w:rPr>
              <w:t>）</w:t>
            </w:r>
          </w:p>
        </w:tc>
      </w:tr>
      <w:tr w14:paraId="7AB84338">
        <w:tblPrEx>
          <w:tblCellMar>
            <w:top w:w="0" w:type="dxa"/>
            <w:left w:w="108" w:type="dxa"/>
            <w:bottom w:w="0" w:type="dxa"/>
            <w:right w:w="108" w:type="dxa"/>
          </w:tblCellMar>
        </w:tblPrEx>
        <w:trPr>
          <w:trHeight w:val="90" w:hRule="atLeast"/>
          <w:jc w:val="center"/>
        </w:trPr>
        <w:tc>
          <w:tcPr>
            <w:tcW w:w="10520" w:type="dxa"/>
            <w:gridSpan w:val="7"/>
            <w:tcBorders>
              <w:top w:val="nil"/>
              <w:left w:val="nil"/>
              <w:bottom w:val="nil"/>
              <w:right w:val="nil"/>
            </w:tcBorders>
            <w:noWrap w:val="0"/>
            <w:vAlign w:val="center"/>
          </w:tcPr>
          <w:p w14:paraId="3E75327A">
            <w:pPr>
              <w:widowControl/>
              <w:spacing w:line="276"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供应商名称：</w:t>
            </w:r>
            <w:r>
              <w:rPr>
                <w:rFonts w:hint="eastAsia" w:ascii="宋体" w:hAnsi="宋体" w:eastAsia="宋体" w:cs="宋体"/>
                <w:sz w:val="21"/>
                <w:szCs w:val="21"/>
                <w:highlight w:val="none"/>
              </w:rPr>
              <w:tab/>
            </w:r>
            <w:r>
              <w:rPr>
                <w:rFonts w:hint="eastAsia" w:ascii="宋体" w:hAnsi="宋体" w:eastAsia="宋体" w:cs="宋体"/>
                <w:sz w:val="21"/>
                <w:szCs w:val="21"/>
                <w:highlight w:val="none"/>
              </w:rPr>
              <w:tab/>
            </w:r>
            <w:r>
              <w:rPr>
                <w:rFonts w:hint="eastAsia" w:ascii="宋体" w:hAnsi="宋体" w:eastAsia="宋体" w:cs="宋体"/>
                <w:sz w:val="21"/>
                <w:szCs w:val="21"/>
                <w:highlight w:val="none"/>
              </w:rPr>
              <w:t xml:space="preserve">              </w:t>
            </w:r>
          </w:p>
          <w:p w14:paraId="4553D987">
            <w:pPr>
              <w:widowControl/>
              <w:spacing w:line="276"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项目名称： </w:t>
            </w:r>
            <w:r>
              <w:rPr>
                <w:rFonts w:hint="eastAsia" w:ascii="宋体" w:hAnsi="宋体" w:eastAsia="宋体" w:cs="宋体"/>
                <w:sz w:val="21"/>
                <w:szCs w:val="21"/>
                <w:highlight w:val="none"/>
              </w:rPr>
              <w:tab/>
            </w:r>
            <w:r>
              <w:rPr>
                <w:rFonts w:hint="eastAsia" w:ascii="宋体" w:hAnsi="宋体" w:eastAsia="宋体" w:cs="宋体"/>
                <w:sz w:val="21"/>
                <w:szCs w:val="21"/>
                <w:highlight w:val="none"/>
              </w:rPr>
              <w:t xml:space="preserve">                                                      </w:t>
            </w:r>
          </w:p>
        </w:tc>
      </w:tr>
      <w:tr w14:paraId="469A03E8">
        <w:tblPrEx>
          <w:tblCellMar>
            <w:top w:w="0" w:type="dxa"/>
            <w:left w:w="108" w:type="dxa"/>
            <w:bottom w:w="0" w:type="dxa"/>
            <w:right w:w="108" w:type="dxa"/>
          </w:tblCellMar>
        </w:tblPrEx>
        <w:trPr>
          <w:trHeight w:val="582" w:hRule="atLeast"/>
          <w:jc w:val="center"/>
        </w:trPr>
        <w:tc>
          <w:tcPr>
            <w:tcW w:w="662" w:type="dxa"/>
            <w:tcBorders>
              <w:top w:val="single" w:color="auto" w:sz="4" w:space="0"/>
              <w:left w:val="single" w:color="auto" w:sz="4" w:space="0"/>
              <w:bottom w:val="single" w:color="auto" w:sz="4" w:space="0"/>
              <w:right w:val="single" w:color="auto" w:sz="4" w:space="0"/>
            </w:tcBorders>
            <w:noWrap w:val="0"/>
            <w:vAlign w:val="center"/>
          </w:tcPr>
          <w:p w14:paraId="049879A9">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序号</w:t>
            </w:r>
          </w:p>
        </w:tc>
        <w:tc>
          <w:tcPr>
            <w:tcW w:w="1037" w:type="dxa"/>
            <w:tcBorders>
              <w:top w:val="single" w:color="auto" w:sz="4" w:space="0"/>
              <w:left w:val="nil"/>
              <w:bottom w:val="single" w:color="auto" w:sz="4" w:space="0"/>
              <w:right w:val="single" w:color="auto" w:sz="4" w:space="0"/>
            </w:tcBorders>
            <w:noWrap w:val="0"/>
            <w:vAlign w:val="center"/>
          </w:tcPr>
          <w:p w14:paraId="2B4F356E">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考核</w:t>
            </w:r>
          </w:p>
          <w:p w14:paraId="42D15F49">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内容</w:t>
            </w:r>
          </w:p>
        </w:tc>
        <w:tc>
          <w:tcPr>
            <w:tcW w:w="730" w:type="dxa"/>
            <w:tcBorders>
              <w:top w:val="single" w:color="auto" w:sz="4" w:space="0"/>
              <w:left w:val="nil"/>
              <w:bottom w:val="single" w:color="auto" w:sz="4" w:space="0"/>
              <w:right w:val="single" w:color="auto" w:sz="4" w:space="0"/>
            </w:tcBorders>
            <w:noWrap w:val="0"/>
            <w:vAlign w:val="center"/>
          </w:tcPr>
          <w:p w14:paraId="0804BCC1">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分值</w:t>
            </w:r>
          </w:p>
        </w:tc>
        <w:tc>
          <w:tcPr>
            <w:tcW w:w="4931" w:type="dxa"/>
            <w:tcBorders>
              <w:top w:val="single" w:color="auto" w:sz="4" w:space="0"/>
              <w:left w:val="nil"/>
              <w:bottom w:val="single" w:color="auto" w:sz="4" w:space="0"/>
              <w:right w:val="single" w:color="auto" w:sz="4" w:space="0"/>
            </w:tcBorders>
            <w:noWrap w:val="0"/>
            <w:vAlign w:val="center"/>
          </w:tcPr>
          <w:p w14:paraId="0AB53E65">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考核具体说明</w:t>
            </w:r>
          </w:p>
        </w:tc>
        <w:tc>
          <w:tcPr>
            <w:tcW w:w="864" w:type="dxa"/>
            <w:tcBorders>
              <w:top w:val="single" w:color="auto" w:sz="4" w:space="0"/>
              <w:left w:val="nil"/>
              <w:bottom w:val="single" w:color="auto" w:sz="4" w:space="0"/>
              <w:right w:val="single" w:color="auto" w:sz="4" w:space="0"/>
            </w:tcBorders>
            <w:noWrap w:val="0"/>
            <w:vAlign w:val="center"/>
          </w:tcPr>
          <w:p w14:paraId="0399123F">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分值</w:t>
            </w:r>
          </w:p>
        </w:tc>
        <w:tc>
          <w:tcPr>
            <w:tcW w:w="893" w:type="dxa"/>
            <w:tcBorders>
              <w:top w:val="single" w:color="auto" w:sz="4" w:space="0"/>
              <w:left w:val="nil"/>
              <w:bottom w:val="single" w:color="auto" w:sz="4" w:space="0"/>
              <w:right w:val="single" w:color="auto" w:sz="4" w:space="0"/>
            </w:tcBorders>
            <w:noWrap w:val="0"/>
            <w:vAlign w:val="center"/>
          </w:tcPr>
          <w:p w14:paraId="1EBFF736">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考核</w:t>
            </w:r>
          </w:p>
          <w:p w14:paraId="5D45C0A2">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得分</w:t>
            </w:r>
          </w:p>
        </w:tc>
        <w:tc>
          <w:tcPr>
            <w:tcW w:w="1403" w:type="dxa"/>
            <w:tcBorders>
              <w:top w:val="single" w:color="auto" w:sz="4" w:space="0"/>
              <w:left w:val="nil"/>
              <w:bottom w:val="single" w:color="auto" w:sz="4" w:space="0"/>
              <w:right w:val="single" w:color="auto" w:sz="4" w:space="0"/>
            </w:tcBorders>
            <w:noWrap w:val="0"/>
            <w:vAlign w:val="center"/>
          </w:tcPr>
          <w:p w14:paraId="762EC135">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评分人签字</w:t>
            </w:r>
          </w:p>
        </w:tc>
      </w:tr>
      <w:tr w14:paraId="36FA0B3A">
        <w:tblPrEx>
          <w:tblCellMar>
            <w:top w:w="0" w:type="dxa"/>
            <w:left w:w="108" w:type="dxa"/>
            <w:bottom w:w="0" w:type="dxa"/>
            <w:right w:w="108" w:type="dxa"/>
          </w:tblCellMar>
        </w:tblPrEx>
        <w:trPr>
          <w:trHeight w:val="1308" w:hRule="atLeast"/>
          <w:jc w:val="center"/>
        </w:trPr>
        <w:tc>
          <w:tcPr>
            <w:tcW w:w="662" w:type="dxa"/>
            <w:vMerge w:val="restart"/>
            <w:tcBorders>
              <w:top w:val="single" w:color="auto" w:sz="4" w:space="0"/>
              <w:left w:val="single" w:color="auto" w:sz="4" w:space="0"/>
              <w:bottom w:val="single" w:color="auto" w:sz="4" w:space="0"/>
              <w:right w:val="single" w:color="auto" w:sz="4" w:space="0"/>
            </w:tcBorders>
            <w:noWrap w:val="0"/>
            <w:vAlign w:val="center"/>
          </w:tcPr>
          <w:p w14:paraId="0D078A79">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1037" w:type="dxa"/>
            <w:vMerge w:val="restart"/>
            <w:tcBorders>
              <w:top w:val="single" w:color="auto" w:sz="4" w:space="0"/>
              <w:left w:val="single" w:color="auto" w:sz="4" w:space="0"/>
              <w:bottom w:val="single" w:color="auto" w:sz="4" w:space="0"/>
              <w:right w:val="single" w:color="auto" w:sz="4" w:space="0"/>
            </w:tcBorders>
            <w:noWrap w:val="0"/>
            <w:vAlign w:val="center"/>
          </w:tcPr>
          <w:p w14:paraId="6A63B909">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污泥</w:t>
            </w:r>
          </w:p>
          <w:p w14:paraId="6BAB8B33">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储存</w:t>
            </w:r>
          </w:p>
          <w:p w14:paraId="5387C217">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与处</w:t>
            </w:r>
          </w:p>
          <w:p w14:paraId="254E8B07">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置情</w:t>
            </w:r>
          </w:p>
          <w:p w14:paraId="58193151">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况</w:t>
            </w:r>
          </w:p>
        </w:tc>
        <w:tc>
          <w:tcPr>
            <w:tcW w:w="730" w:type="dxa"/>
            <w:vMerge w:val="restart"/>
            <w:tcBorders>
              <w:top w:val="single" w:color="auto" w:sz="4" w:space="0"/>
              <w:left w:val="single" w:color="auto" w:sz="4" w:space="0"/>
              <w:bottom w:val="single" w:color="auto" w:sz="4" w:space="0"/>
              <w:right w:val="single" w:color="auto" w:sz="4" w:space="0"/>
            </w:tcBorders>
            <w:noWrap w:val="0"/>
            <w:vAlign w:val="center"/>
          </w:tcPr>
          <w:p w14:paraId="37466695">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w:t>
            </w:r>
          </w:p>
        </w:tc>
        <w:tc>
          <w:tcPr>
            <w:tcW w:w="4931" w:type="dxa"/>
            <w:tcBorders>
              <w:top w:val="nil"/>
              <w:left w:val="nil"/>
              <w:bottom w:val="single" w:color="auto" w:sz="4" w:space="0"/>
              <w:right w:val="single" w:color="auto" w:sz="4" w:space="0"/>
            </w:tcBorders>
            <w:noWrap w:val="0"/>
            <w:vAlign w:val="center"/>
          </w:tcPr>
          <w:p w14:paraId="57C58B10">
            <w:pPr>
              <w:widowControl/>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1.服务单位污泥储存仓对东莞市污泥设置独立存放区，具备污泥接收储存能力得10分，污泥储存仓未设置东莞市污泥独立存放区或不具备污泥接收储存能力得0分。</w:t>
            </w:r>
          </w:p>
        </w:tc>
        <w:tc>
          <w:tcPr>
            <w:tcW w:w="864" w:type="dxa"/>
            <w:tcBorders>
              <w:top w:val="nil"/>
              <w:left w:val="nil"/>
              <w:bottom w:val="single" w:color="auto" w:sz="4" w:space="0"/>
              <w:right w:val="single" w:color="auto" w:sz="4" w:space="0"/>
            </w:tcBorders>
            <w:noWrap w:val="0"/>
            <w:vAlign w:val="center"/>
          </w:tcPr>
          <w:p w14:paraId="14C5DFCA">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893" w:type="dxa"/>
            <w:tcBorders>
              <w:top w:val="nil"/>
              <w:left w:val="nil"/>
              <w:bottom w:val="single" w:color="auto" w:sz="4" w:space="0"/>
              <w:right w:val="single" w:color="auto" w:sz="4" w:space="0"/>
            </w:tcBorders>
            <w:noWrap w:val="0"/>
            <w:vAlign w:val="center"/>
          </w:tcPr>
          <w:p w14:paraId="7A8B2688">
            <w:pPr>
              <w:widowControl/>
              <w:spacing w:line="360" w:lineRule="auto"/>
              <w:jc w:val="center"/>
              <w:rPr>
                <w:rFonts w:hint="eastAsia" w:ascii="宋体" w:hAnsi="宋体" w:eastAsia="宋体" w:cs="宋体"/>
                <w:sz w:val="21"/>
                <w:szCs w:val="21"/>
                <w:highlight w:val="none"/>
              </w:rPr>
            </w:pPr>
          </w:p>
        </w:tc>
        <w:tc>
          <w:tcPr>
            <w:tcW w:w="1403" w:type="dxa"/>
            <w:tcBorders>
              <w:top w:val="nil"/>
              <w:left w:val="nil"/>
              <w:bottom w:val="single" w:color="auto" w:sz="4" w:space="0"/>
              <w:right w:val="single" w:color="auto" w:sz="4" w:space="0"/>
            </w:tcBorders>
            <w:noWrap w:val="0"/>
            <w:vAlign w:val="center"/>
          </w:tcPr>
          <w:p w14:paraId="0A568CD3">
            <w:pPr>
              <w:widowControl/>
              <w:spacing w:line="360" w:lineRule="auto"/>
              <w:jc w:val="center"/>
              <w:rPr>
                <w:rFonts w:hint="eastAsia" w:ascii="宋体" w:hAnsi="宋体" w:eastAsia="宋体" w:cs="宋体"/>
                <w:sz w:val="21"/>
                <w:szCs w:val="21"/>
                <w:highlight w:val="none"/>
              </w:rPr>
            </w:pPr>
          </w:p>
        </w:tc>
      </w:tr>
      <w:tr w14:paraId="44CC5BE8">
        <w:tblPrEx>
          <w:tblCellMar>
            <w:top w:w="0" w:type="dxa"/>
            <w:left w:w="108" w:type="dxa"/>
            <w:bottom w:w="0" w:type="dxa"/>
            <w:right w:w="108" w:type="dxa"/>
          </w:tblCellMar>
        </w:tblPrEx>
        <w:trPr>
          <w:trHeight w:val="659" w:hRule="atLeast"/>
          <w:jc w:val="center"/>
        </w:trPr>
        <w:tc>
          <w:tcPr>
            <w:tcW w:w="662" w:type="dxa"/>
            <w:vMerge w:val="continue"/>
            <w:tcBorders>
              <w:top w:val="single" w:color="auto" w:sz="4" w:space="0"/>
              <w:left w:val="single" w:color="auto" w:sz="4" w:space="0"/>
              <w:bottom w:val="single" w:color="auto" w:sz="4" w:space="0"/>
              <w:right w:val="single" w:color="auto" w:sz="4" w:space="0"/>
            </w:tcBorders>
            <w:noWrap w:val="0"/>
            <w:vAlign w:val="center"/>
          </w:tcPr>
          <w:p w14:paraId="5E29F6B0">
            <w:pPr>
              <w:widowControl/>
              <w:spacing w:line="360" w:lineRule="auto"/>
              <w:jc w:val="center"/>
              <w:rPr>
                <w:rFonts w:hint="eastAsia" w:ascii="宋体" w:hAnsi="宋体" w:eastAsia="宋体" w:cs="宋体"/>
                <w:sz w:val="21"/>
                <w:szCs w:val="21"/>
                <w:highlight w:val="none"/>
              </w:rPr>
            </w:pPr>
          </w:p>
        </w:tc>
        <w:tc>
          <w:tcPr>
            <w:tcW w:w="1037" w:type="dxa"/>
            <w:vMerge w:val="continue"/>
            <w:tcBorders>
              <w:top w:val="single" w:color="auto" w:sz="4" w:space="0"/>
              <w:left w:val="nil"/>
              <w:bottom w:val="single" w:color="auto" w:sz="4" w:space="0"/>
              <w:right w:val="single" w:color="auto" w:sz="4" w:space="0"/>
            </w:tcBorders>
            <w:noWrap w:val="0"/>
            <w:vAlign w:val="center"/>
          </w:tcPr>
          <w:p w14:paraId="4300D344">
            <w:pPr>
              <w:widowControl/>
              <w:spacing w:line="360" w:lineRule="auto"/>
              <w:jc w:val="center"/>
              <w:rPr>
                <w:rFonts w:hint="eastAsia" w:ascii="宋体" w:hAnsi="宋体" w:eastAsia="宋体" w:cs="宋体"/>
                <w:sz w:val="21"/>
                <w:szCs w:val="21"/>
                <w:highlight w:val="none"/>
              </w:rPr>
            </w:pPr>
          </w:p>
        </w:tc>
        <w:tc>
          <w:tcPr>
            <w:tcW w:w="730" w:type="dxa"/>
            <w:vMerge w:val="continue"/>
            <w:tcBorders>
              <w:top w:val="single" w:color="auto" w:sz="4" w:space="0"/>
              <w:left w:val="nil"/>
              <w:bottom w:val="single" w:color="auto" w:sz="4" w:space="0"/>
              <w:right w:val="single" w:color="auto" w:sz="4" w:space="0"/>
            </w:tcBorders>
            <w:noWrap w:val="0"/>
            <w:vAlign w:val="center"/>
          </w:tcPr>
          <w:p w14:paraId="705F2DD0">
            <w:pPr>
              <w:widowControl/>
              <w:spacing w:line="360" w:lineRule="auto"/>
              <w:jc w:val="center"/>
              <w:rPr>
                <w:rFonts w:hint="eastAsia" w:ascii="宋体" w:hAnsi="宋体" w:eastAsia="宋体" w:cs="宋体"/>
                <w:sz w:val="21"/>
                <w:szCs w:val="21"/>
                <w:highlight w:val="none"/>
              </w:rPr>
            </w:pPr>
          </w:p>
        </w:tc>
        <w:tc>
          <w:tcPr>
            <w:tcW w:w="4931" w:type="dxa"/>
            <w:tcBorders>
              <w:top w:val="nil"/>
              <w:left w:val="nil"/>
              <w:bottom w:val="single" w:color="auto" w:sz="4" w:space="0"/>
              <w:right w:val="single" w:color="auto" w:sz="4" w:space="0"/>
            </w:tcBorders>
            <w:noWrap w:val="0"/>
            <w:vAlign w:val="center"/>
          </w:tcPr>
          <w:p w14:paraId="49F519E3">
            <w:pPr>
              <w:widowControl/>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2.服务单位污泥储存仓完成全部密闭和硬底化得15分，污泥储存仓完成未全部密闭和硬底化得0分。</w:t>
            </w:r>
          </w:p>
        </w:tc>
        <w:tc>
          <w:tcPr>
            <w:tcW w:w="864" w:type="dxa"/>
            <w:tcBorders>
              <w:top w:val="nil"/>
              <w:left w:val="nil"/>
              <w:bottom w:val="single" w:color="auto" w:sz="4" w:space="0"/>
              <w:right w:val="single" w:color="auto" w:sz="4" w:space="0"/>
            </w:tcBorders>
            <w:noWrap w:val="0"/>
            <w:vAlign w:val="center"/>
          </w:tcPr>
          <w:p w14:paraId="049775BC">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15</w:t>
            </w:r>
          </w:p>
        </w:tc>
        <w:tc>
          <w:tcPr>
            <w:tcW w:w="893" w:type="dxa"/>
            <w:tcBorders>
              <w:top w:val="nil"/>
              <w:left w:val="nil"/>
              <w:bottom w:val="single" w:color="auto" w:sz="4" w:space="0"/>
              <w:right w:val="single" w:color="auto" w:sz="4" w:space="0"/>
            </w:tcBorders>
            <w:noWrap w:val="0"/>
            <w:vAlign w:val="center"/>
          </w:tcPr>
          <w:p w14:paraId="00330C96">
            <w:pPr>
              <w:widowControl/>
              <w:spacing w:line="360" w:lineRule="auto"/>
              <w:jc w:val="center"/>
              <w:rPr>
                <w:rFonts w:hint="eastAsia" w:ascii="宋体" w:hAnsi="宋体" w:eastAsia="宋体" w:cs="宋体"/>
                <w:sz w:val="21"/>
                <w:szCs w:val="21"/>
                <w:highlight w:val="none"/>
              </w:rPr>
            </w:pPr>
          </w:p>
        </w:tc>
        <w:tc>
          <w:tcPr>
            <w:tcW w:w="1403" w:type="dxa"/>
            <w:tcBorders>
              <w:top w:val="nil"/>
              <w:left w:val="nil"/>
              <w:bottom w:val="single" w:color="auto" w:sz="4" w:space="0"/>
              <w:right w:val="single" w:color="auto" w:sz="4" w:space="0"/>
            </w:tcBorders>
            <w:noWrap w:val="0"/>
            <w:vAlign w:val="center"/>
          </w:tcPr>
          <w:p w14:paraId="24B5E492">
            <w:pPr>
              <w:widowControl/>
              <w:spacing w:line="360" w:lineRule="auto"/>
              <w:jc w:val="center"/>
              <w:rPr>
                <w:rFonts w:hint="eastAsia" w:ascii="宋体" w:hAnsi="宋体" w:eastAsia="宋体" w:cs="宋体"/>
                <w:sz w:val="21"/>
                <w:szCs w:val="21"/>
                <w:highlight w:val="none"/>
              </w:rPr>
            </w:pPr>
          </w:p>
        </w:tc>
      </w:tr>
      <w:tr w14:paraId="10B0F5F7">
        <w:tblPrEx>
          <w:tblCellMar>
            <w:top w:w="0" w:type="dxa"/>
            <w:left w:w="108" w:type="dxa"/>
            <w:bottom w:w="0" w:type="dxa"/>
            <w:right w:w="108" w:type="dxa"/>
          </w:tblCellMar>
        </w:tblPrEx>
        <w:trPr>
          <w:trHeight w:val="983" w:hRule="atLeast"/>
          <w:jc w:val="center"/>
        </w:trPr>
        <w:tc>
          <w:tcPr>
            <w:tcW w:w="662" w:type="dxa"/>
            <w:vMerge w:val="continue"/>
            <w:tcBorders>
              <w:top w:val="single" w:color="auto" w:sz="4" w:space="0"/>
              <w:left w:val="single" w:color="auto" w:sz="4" w:space="0"/>
              <w:bottom w:val="single" w:color="auto" w:sz="4" w:space="0"/>
              <w:right w:val="single" w:color="auto" w:sz="4" w:space="0"/>
            </w:tcBorders>
            <w:noWrap w:val="0"/>
            <w:vAlign w:val="center"/>
          </w:tcPr>
          <w:p w14:paraId="7B004A67">
            <w:pPr>
              <w:widowControl/>
              <w:spacing w:line="360" w:lineRule="auto"/>
              <w:jc w:val="center"/>
              <w:rPr>
                <w:rFonts w:hint="eastAsia" w:ascii="宋体" w:hAnsi="宋体" w:eastAsia="宋体" w:cs="宋体"/>
                <w:sz w:val="21"/>
                <w:szCs w:val="21"/>
                <w:highlight w:val="none"/>
              </w:rPr>
            </w:pPr>
          </w:p>
        </w:tc>
        <w:tc>
          <w:tcPr>
            <w:tcW w:w="1037" w:type="dxa"/>
            <w:vMerge w:val="continue"/>
            <w:tcBorders>
              <w:top w:val="single" w:color="auto" w:sz="4" w:space="0"/>
              <w:left w:val="nil"/>
              <w:bottom w:val="single" w:color="auto" w:sz="4" w:space="0"/>
              <w:right w:val="single" w:color="auto" w:sz="4" w:space="0"/>
            </w:tcBorders>
            <w:noWrap w:val="0"/>
            <w:vAlign w:val="center"/>
          </w:tcPr>
          <w:p w14:paraId="68AEB8CA">
            <w:pPr>
              <w:widowControl/>
              <w:spacing w:line="360" w:lineRule="auto"/>
              <w:jc w:val="center"/>
              <w:rPr>
                <w:rFonts w:hint="eastAsia" w:ascii="宋体" w:hAnsi="宋体" w:eastAsia="宋体" w:cs="宋体"/>
                <w:sz w:val="21"/>
                <w:szCs w:val="21"/>
                <w:highlight w:val="none"/>
              </w:rPr>
            </w:pPr>
          </w:p>
        </w:tc>
        <w:tc>
          <w:tcPr>
            <w:tcW w:w="730" w:type="dxa"/>
            <w:vMerge w:val="continue"/>
            <w:tcBorders>
              <w:top w:val="single" w:color="auto" w:sz="4" w:space="0"/>
              <w:left w:val="nil"/>
              <w:bottom w:val="single" w:color="auto" w:sz="4" w:space="0"/>
              <w:right w:val="single" w:color="auto" w:sz="4" w:space="0"/>
            </w:tcBorders>
            <w:noWrap w:val="0"/>
            <w:vAlign w:val="center"/>
          </w:tcPr>
          <w:p w14:paraId="1A950152">
            <w:pPr>
              <w:widowControl/>
              <w:spacing w:line="360" w:lineRule="auto"/>
              <w:jc w:val="center"/>
              <w:rPr>
                <w:rFonts w:hint="eastAsia" w:ascii="宋体" w:hAnsi="宋体" w:eastAsia="宋体" w:cs="宋体"/>
                <w:sz w:val="21"/>
                <w:szCs w:val="21"/>
                <w:highlight w:val="none"/>
              </w:rPr>
            </w:pPr>
          </w:p>
        </w:tc>
        <w:tc>
          <w:tcPr>
            <w:tcW w:w="4931" w:type="dxa"/>
            <w:tcBorders>
              <w:top w:val="nil"/>
              <w:left w:val="nil"/>
              <w:bottom w:val="single" w:color="auto" w:sz="4" w:space="0"/>
              <w:right w:val="single" w:color="auto" w:sz="4" w:space="0"/>
            </w:tcBorders>
            <w:noWrap w:val="0"/>
            <w:vAlign w:val="center"/>
          </w:tcPr>
          <w:p w14:paraId="1B347C9F">
            <w:pPr>
              <w:widowControl/>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3.服务单位污泥处置及生产设备定期进行维护保养并能提供相关佐证材料得15分，未进行定期维护保养或未能提供佐证材料得0分。</w:t>
            </w:r>
          </w:p>
        </w:tc>
        <w:tc>
          <w:tcPr>
            <w:tcW w:w="864" w:type="dxa"/>
            <w:tcBorders>
              <w:top w:val="nil"/>
              <w:left w:val="nil"/>
              <w:bottom w:val="single" w:color="auto" w:sz="4" w:space="0"/>
              <w:right w:val="single" w:color="auto" w:sz="4" w:space="0"/>
            </w:tcBorders>
            <w:noWrap w:val="0"/>
            <w:vAlign w:val="center"/>
          </w:tcPr>
          <w:p w14:paraId="3EEC3717">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15</w:t>
            </w:r>
          </w:p>
        </w:tc>
        <w:tc>
          <w:tcPr>
            <w:tcW w:w="893" w:type="dxa"/>
            <w:tcBorders>
              <w:top w:val="nil"/>
              <w:left w:val="nil"/>
              <w:bottom w:val="single" w:color="auto" w:sz="4" w:space="0"/>
              <w:right w:val="single" w:color="auto" w:sz="4" w:space="0"/>
            </w:tcBorders>
            <w:noWrap w:val="0"/>
            <w:vAlign w:val="center"/>
          </w:tcPr>
          <w:p w14:paraId="0E19E78F">
            <w:pPr>
              <w:widowControl/>
              <w:spacing w:line="360" w:lineRule="auto"/>
              <w:jc w:val="center"/>
              <w:rPr>
                <w:rFonts w:hint="eastAsia" w:ascii="宋体" w:hAnsi="宋体" w:eastAsia="宋体" w:cs="宋体"/>
                <w:sz w:val="21"/>
                <w:szCs w:val="21"/>
                <w:highlight w:val="none"/>
              </w:rPr>
            </w:pPr>
          </w:p>
        </w:tc>
        <w:tc>
          <w:tcPr>
            <w:tcW w:w="1403" w:type="dxa"/>
            <w:tcBorders>
              <w:top w:val="nil"/>
              <w:left w:val="nil"/>
              <w:bottom w:val="single" w:color="auto" w:sz="4" w:space="0"/>
              <w:right w:val="single" w:color="auto" w:sz="4" w:space="0"/>
            </w:tcBorders>
            <w:noWrap w:val="0"/>
            <w:vAlign w:val="center"/>
          </w:tcPr>
          <w:p w14:paraId="393C183D">
            <w:pPr>
              <w:widowControl/>
              <w:spacing w:line="360" w:lineRule="auto"/>
              <w:jc w:val="center"/>
              <w:rPr>
                <w:rFonts w:hint="eastAsia" w:ascii="宋体" w:hAnsi="宋体" w:eastAsia="宋体" w:cs="宋体"/>
                <w:sz w:val="21"/>
                <w:szCs w:val="21"/>
                <w:highlight w:val="none"/>
              </w:rPr>
            </w:pPr>
          </w:p>
        </w:tc>
      </w:tr>
      <w:tr w14:paraId="0D81C585">
        <w:tblPrEx>
          <w:tblCellMar>
            <w:top w:w="0" w:type="dxa"/>
            <w:left w:w="108" w:type="dxa"/>
            <w:bottom w:w="0" w:type="dxa"/>
            <w:right w:w="108" w:type="dxa"/>
          </w:tblCellMar>
        </w:tblPrEx>
        <w:trPr>
          <w:trHeight w:val="983" w:hRule="atLeast"/>
          <w:jc w:val="center"/>
        </w:trPr>
        <w:tc>
          <w:tcPr>
            <w:tcW w:w="662" w:type="dxa"/>
            <w:vMerge w:val="restart"/>
            <w:tcBorders>
              <w:top w:val="single" w:color="auto" w:sz="4" w:space="0"/>
              <w:left w:val="single" w:color="auto" w:sz="4" w:space="0"/>
              <w:bottom w:val="single" w:color="auto" w:sz="4" w:space="0"/>
              <w:right w:val="single" w:color="auto" w:sz="4" w:space="0"/>
            </w:tcBorders>
            <w:noWrap w:val="0"/>
            <w:vAlign w:val="center"/>
          </w:tcPr>
          <w:p w14:paraId="0648BF7B">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1037" w:type="dxa"/>
            <w:vMerge w:val="restart"/>
            <w:tcBorders>
              <w:top w:val="single" w:color="auto" w:sz="4" w:space="0"/>
              <w:left w:val="nil"/>
              <w:bottom w:val="single" w:color="auto" w:sz="4" w:space="0"/>
              <w:right w:val="single" w:color="auto" w:sz="4" w:space="0"/>
            </w:tcBorders>
            <w:noWrap w:val="0"/>
            <w:vAlign w:val="center"/>
          </w:tcPr>
          <w:p w14:paraId="3189A14D">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安全</w:t>
            </w:r>
          </w:p>
          <w:p w14:paraId="7745A8EE">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生产</w:t>
            </w:r>
          </w:p>
          <w:p w14:paraId="3F686256">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管理  情况</w:t>
            </w:r>
          </w:p>
        </w:tc>
        <w:tc>
          <w:tcPr>
            <w:tcW w:w="730" w:type="dxa"/>
            <w:vMerge w:val="restart"/>
            <w:tcBorders>
              <w:top w:val="single" w:color="auto" w:sz="4" w:space="0"/>
              <w:left w:val="nil"/>
              <w:bottom w:val="single" w:color="auto" w:sz="4" w:space="0"/>
              <w:right w:val="single" w:color="auto" w:sz="4" w:space="0"/>
            </w:tcBorders>
            <w:noWrap w:val="0"/>
            <w:vAlign w:val="center"/>
          </w:tcPr>
          <w:p w14:paraId="1C2AE2A6">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35</w:t>
            </w:r>
          </w:p>
        </w:tc>
        <w:tc>
          <w:tcPr>
            <w:tcW w:w="4931" w:type="dxa"/>
            <w:tcBorders>
              <w:top w:val="single" w:color="auto" w:sz="4" w:space="0"/>
              <w:left w:val="single" w:color="auto" w:sz="4" w:space="0"/>
              <w:bottom w:val="single" w:color="auto" w:sz="4" w:space="0"/>
              <w:right w:val="single" w:color="auto" w:sz="4" w:space="0"/>
            </w:tcBorders>
            <w:noWrap w:val="0"/>
            <w:vAlign w:val="center"/>
          </w:tcPr>
          <w:p w14:paraId="2C847F91">
            <w:pPr>
              <w:widowControl/>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1.服务单位定期组织开展生产用电安全检查并能提供佐证材料，得10分，未开展生产用电安全检查或未能提供佐证材料得0分。</w:t>
            </w:r>
          </w:p>
        </w:tc>
        <w:tc>
          <w:tcPr>
            <w:tcW w:w="864" w:type="dxa"/>
            <w:tcBorders>
              <w:top w:val="single" w:color="auto" w:sz="4" w:space="0"/>
              <w:left w:val="single" w:color="auto" w:sz="4" w:space="0"/>
              <w:bottom w:val="single" w:color="auto" w:sz="4" w:space="0"/>
              <w:right w:val="single" w:color="auto" w:sz="4" w:space="0"/>
            </w:tcBorders>
            <w:noWrap w:val="0"/>
            <w:vAlign w:val="center"/>
          </w:tcPr>
          <w:p w14:paraId="2CE1304E">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893" w:type="dxa"/>
            <w:tcBorders>
              <w:top w:val="single" w:color="auto" w:sz="4" w:space="0"/>
              <w:left w:val="single" w:color="auto" w:sz="4" w:space="0"/>
              <w:bottom w:val="single" w:color="auto" w:sz="4" w:space="0"/>
              <w:right w:val="single" w:color="auto" w:sz="4" w:space="0"/>
            </w:tcBorders>
            <w:noWrap w:val="0"/>
            <w:vAlign w:val="center"/>
          </w:tcPr>
          <w:p w14:paraId="4E0826C3">
            <w:pPr>
              <w:widowControl/>
              <w:spacing w:line="360" w:lineRule="auto"/>
              <w:jc w:val="center"/>
              <w:rPr>
                <w:rFonts w:hint="eastAsia" w:ascii="宋体" w:hAnsi="宋体" w:eastAsia="宋体" w:cs="宋体"/>
                <w:sz w:val="21"/>
                <w:szCs w:val="21"/>
                <w:highlight w:val="none"/>
              </w:rPr>
            </w:pPr>
          </w:p>
        </w:tc>
        <w:tc>
          <w:tcPr>
            <w:tcW w:w="1403" w:type="dxa"/>
            <w:tcBorders>
              <w:top w:val="single" w:color="auto" w:sz="4" w:space="0"/>
              <w:left w:val="single" w:color="auto" w:sz="4" w:space="0"/>
              <w:bottom w:val="single" w:color="auto" w:sz="4" w:space="0"/>
              <w:right w:val="single" w:color="auto" w:sz="4" w:space="0"/>
            </w:tcBorders>
            <w:noWrap w:val="0"/>
            <w:vAlign w:val="center"/>
          </w:tcPr>
          <w:p w14:paraId="42CCF37D">
            <w:pPr>
              <w:widowControl/>
              <w:spacing w:line="360" w:lineRule="auto"/>
              <w:jc w:val="center"/>
              <w:rPr>
                <w:rFonts w:hint="eastAsia" w:ascii="宋体" w:hAnsi="宋体" w:eastAsia="宋体" w:cs="宋体"/>
                <w:sz w:val="21"/>
                <w:szCs w:val="21"/>
                <w:highlight w:val="none"/>
              </w:rPr>
            </w:pPr>
          </w:p>
        </w:tc>
      </w:tr>
      <w:tr w14:paraId="05524915">
        <w:tblPrEx>
          <w:tblCellMar>
            <w:top w:w="0" w:type="dxa"/>
            <w:left w:w="108" w:type="dxa"/>
            <w:bottom w:w="0" w:type="dxa"/>
            <w:right w:w="108" w:type="dxa"/>
          </w:tblCellMar>
        </w:tblPrEx>
        <w:trPr>
          <w:trHeight w:val="1308" w:hRule="atLeast"/>
          <w:jc w:val="center"/>
        </w:trPr>
        <w:tc>
          <w:tcPr>
            <w:tcW w:w="662" w:type="dxa"/>
            <w:vMerge w:val="continue"/>
            <w:tcBorders>
              <w:top w:val="single" w:color="auto" w:sz="4" w:space="0"/>
              <w:left w:val="single" w:color="auto" w:sz="4" w:space="0"/>
              <w:bottom w:val="single" w:color="auto" w:sz="4" w:space="0"/>
              <w:right w:val="single" w:color="auto" w:sz="4" w:space="0"/>
            </w:tcBorders>
            <w:noWrap w:val="0"/>
            <w:vAlign w:val="center"/>
          </w:tcPr>
          <w:p w14:paraId="56A9C982">
            <w:pPr>
              <w:widowControl/>
              <w:spacing w:line="360" w:lineRule="auto"/>
              <w:jc w:val="center"/>
              <w:rPr>
                <w:rFonts w:hint="eastAsia" w:ascii="宋体" w:hAnsi="宋体" w:eastAsia="宋体" w:cs="宋体"/>
                <w:sz w:val="21"/>
                <w:szCs w:val="21"/>
                <w:highlight w:val="none"/>
              </w:rPr>
            </w:pPr>
          </w:p>
        </w:tc>
        <w:tc>
          <w:tcPr>
            <w:tcW w:w="1037" w:type="dxa"/>
            <w:vMerge w:val="continue"/>
            <w:tcBorders>
              <w:top w:val="single" w:color="auto" w:sz="4" w:space="0"/>
              <w:left w:val="nil"/>
              <w:bottom w:val="single" w:color="auto" w:sz="4" w:space="0"/>
              <w:right w:val="single" w:color="auto" w:sz="4" w:space="0"/>
            </w:tcBorders>
            <w:noWrap w:val="0"/>
            <w:vAlign w:val="center"/>
          </w:tcPr>
          <w:p w14:paraId="193457CB">
            <w:pPr>
              <w:widowControl/>
              <w:spacing w:line="360" w:lineRule="auto"/>
              <w:jc w:val="center"/>
              <w:rPr>
                <w:rFonts w:hint="eastAsia" w:ascii="宋体" w:hAnsi="宋体" w:eastAsia="宋体" w:cs="宋体"/>
                <w:sz w:val="21"/>
                <w:szCs w:val="21"/>
                <w:highlight w:val="none"/>
              </w:rPr>
            </w:pPr>
          </w:p>
        </w:tc>
        <w:tc>
          <w:tcPr>
            <w:tcW w:w="730" w:type="dxa"/>
            <w:vMerge w:val="continue"/>
            <w:tcBorders>
              <w:top w:val="single" w:color="auto" w:sz="4" w:space="0"/>
              <w:left w:val="nil"/>
              <w:bottom w:val="single" w:color="auto" w:sz="4" w:space="0"/>
              <w:right w:val="single" w:color="auto" w:sz="4" w:space="0"/>
            </w:tcBorders>
            <w:noWrap w:val="0"/>
            <w:vAlign w:val="center"/>
          </w:tcPr>
          <w:p w14:paraId="32CAE37D">
            <w:pPr>
              <w:widowControl/>
              <w:spacing w:line="360" w:lineRule="auto"/>
              <w:jc w:val="center"/>
              <w:rPr>
                <w:rFonts w:hint="eastAsia" w:ascii="宋体" w:hAnsi="宋体" w:eastAsia="宋体" w:cs="宋体"/>
                <w:sz w:val="21"/>
                <w:szCs w:val="21"/>
                <w:highlight w:val="none"/>
              </w:rPr>
            </w:pPr>
          </w:p>
        </w:tc>
        <w:tc>
          <w:tcPr>
            <w:tcW w:w="4931" w:type="dxa"/>
            <w:tcBorders>
              <w:top w:val="single" w:color="auto" w:sz="4" w:space="0"/>
              <w:left w:val="nil"/>
              <w:bottom w:val="single" w:color="auto" w:sz="4" w:space="0"/>
              <w:right w:val="single" w:color="auto" w:sz="4" w:space="0"/>
            </w:tcBorders>
            <w:noWrap w:val="0"/>
            <w:vAlign w:val="center"/>
          </w:tcPr>
          <w:p w14:paraId="00FA3E98">
            <w:pPr>
              <w:widowControl/>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2.服务单位定期组织安全生产管理培训，有建立安全生产制度和污泥处置制度，得15分，未定期组织安全生产管理培训或未能提供安全生产制度、污泥处置制度得0分。</w:t>
            </w:r>
          </w:p>
        </w:tc>
        <w:tc>
          <w:tcPr>
            <w:tcW w:w="864" w:type="dxa"/>
            <w:tcBorders>
              <w:top w:val="single" w:color="auto" w:sz="4" w:space="0"/>
              <w:left w:val="nil"/>
              <w:bottom w:val="single" w:color="auto" w:sz="4" w:space="0"/>
              <w:right w:val="single" w:color="auto" w:sz="4" w:space="0"/>
            </w:tcBorders>
            <w:noWrap w:val="0"/>
            <w:vAlign w:val="center"/>
          </w:tcPr>
          <w:p w14:paraId="4F29DC4B">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15</w:t>
            </w:r>
          </w:p>
        </w:tc>
        <w:tc>
          <w:tcPr>
            <w:tcW w:w="893" w:type="dxa"/>
            <w:tcBorders>
              <w:top w:val="single" w:color="auto" w:sz="4" w:space="0"/>
              <w:left w:val="nil"/>
              <w:bottom w:val="single" w:color="auto" w:sz="4" w:space="0"/>
              <w:right w:val="single" w:color="auto" w:sz="4" w:space="0"/>
            </w:tcBorders>
            <w:noWrap w:val="0"/>
            <w:vAlign w:val="center"/>
          </w:tcPr>
          <w:p w14:paraId="65AA4233">
            <w:pPr>
              <w:widowControl/>
              <w:spacing w:line="360" w:lineRule="auto"/>
              <w:jc w:val="center"/>
              <w:rPr>
                <w:rFonts w:hint="eastAsia" w:ascii="宋体" w:hAnsi="宋体" w:eastAsia="宋体" w:cs="宋体"/>
                <w:sz w:val="21"/>
                <w:szCs w:val="21"/>
                <w:highlight w:val="none"/>
              </w:rPr>
            </w:pPr>
          </w:p>
        </w:tc>
        <w:tc>
          <w:tcPr>
            <w:tcW w:w="1403" w:type="dxa"/>
            <w:tcBorders>
              <w:top w:val="single" w:color="auto" w:sz="4" w:space="0"/>
              <w:left w:val="nil"/>
              <w:bottom w:val="single" w:color="auto" w:sz="4" w:space="0"/>
              <w:right w:val="single" w:color="auto" w:sz="4" w:space="0"/>
            </w:tcBorders>
            <w:noWrap w:val="0"/>
            <w:vAlign w:val="center"/>
          </w:tcPr>
          <w:p w14:paraId="5531C885">
            <w:pPr>
              <w:widowControl/>
              <w:spacing w:line="360" w:lineRule="auto"/>
              <w:jc w:val="center"/>
              <w:rPr>
                <w:rFonts w:hint="eastAsia" w:ascii="宋体" w:hAnsi="宋体" w:eastAsia="宋体" w:cs="宋体"/>
                <w:sz w:val="21"/>
                <w:szCs w:val="21"/>
                <w:highlight w:val="none"/>
              </w:rPr>
            </w:pPr>
          </w:p>
        </w:tc>
      </w:tr>
      <w:tr w14:paraId="48FB24E4">
        <w:tblPrEx>
          <w:tblCellMar>
            <w:top w:w="0" w:type="dxa"/>
            <w:left w:w="108" w:type="dxa"/>
            <w:bottom w:w="0" w:type="dxa"/>
            <w:right w:w="108" w:type="dxa"/>
          </w:tblCellMar>
        </w:tblPrEx>
        <w:trPr>
          <w:trHeight w:val="983" w:hRule="atLeast"/>
          <w:jc w:val="center"/>
        </w:trPr>
        <w:tc>
          <w:tcPr>
            <w:tcW w:w="662" w:type="dxa"/>
            <w:vMerge w:val="continue"/>
            <w:tcBorders>
              <w:top w:val="single" w:color="auto" w:sz="4" w:space="0"/>
              <w:left w:val="single" w:color="auto" w:sz="4" w:space="0"/>
              <w:bottom w:val="single" w:color="auto" w:sz="4" w:space="0"/>
              <w:right w:val="single" w:color="auto" w:sz="4" w:space="0"/>
            </w:tcBorders>
            <w:noWrap w:val="0"/>
            <w:vAlign w:val="center"/>
          </w:tcPr>
          <w:p w14:paraId="3532C68F">
            <w:pPr>
              <w:widowControl/>
              <w:spacing w:line="360" w:lineRule="auto"/>
              <w:jc w:val="center"/>
              <w:rPr>
                <w:rFonts w:hint="eastAsia" w:ascii="宋体" w:hAnsi="宋体" w:eastAsia="宋体" w:cs="宋体"/>
                <w:sz w:val="21"/>
                <w:szCs w:val="21"/>
                <w:highlight w:val="none"/>
              </w:rPr>
            </w:pPr>
          </w:p>
        </w:tc>
        <w:tc>
          <w:tcPr>
            <w:tcW w:w="1037" w:type="dxa"/>
            <w:vMerge w:val="continue"/>
            <w:tcBorders>
              <w:top w:val="single" w:color="auto" w:sz="4" w:space="0"/>
              <w:left w:val="nil"/>
              <w:bottom w:val="single" w:color="auto" w:sz="4" w:space="0"/>
              <w:right w:val="single" w:color="auto" w:sz="4" w:space="0"/>
            </w:tcBorders>
            <w:noWrap w:val="0"/>
            <w:vAlign w:val="center"/>
          </w:tcPr>
          <w:p w14:paraId="51634C37">
            <w:pPr>
              <w:widowControl/>
              <w:spacing w:line="360" w:lineRule="auto"/>
              <w:jc w:val="center"/>
              <w:rPr>
                <w:rFonts w:hint="eastAsia" w:ascii="宋体" w:hAnsi="宋体" w:eastAsia="宋体" w:cs="宋体"/>
                <w:sz w:val="21"/>
                <w:szCs w:val="21"/>
                <w:highlight w:val="none"/>
              </w:rPr>
            </w:pPr>
          </w:p>
        </w:tc>
        <w:tc>
          <w:tcPr>
            <w:tcW w:w="730" w:type="dxa"/>
            <w:vMerge w:val="continue"/>
            <w:tcBorders>
              <w:top w:val="single" w:color="auto" w:sz="4" w:space="0"/>
              <w:left w:val="nil"/>
              <w:bottom w:val="single" w:color="auto" w:sz="4" w:space="0"/>
              <w:right w:val="single" w:color="auto" w:sz="4" w:space="0"/>
            </w:tcBorders>
            <w:noWrap w:val="0"/>
            <w:vAlign w:val="center"/>
          </w:tcPr>
          <w:p w14:paraId="0B964021">
            <w:pPr>
              <w:widowControl/>
              <w:spacing w:line="360" w:lineRule="auto"/>
              <w:jc w:val="center"/>
              <w:rPr>
                <w:rFonts w:hint="eastAsia" w:ascii="宋体" w:hAnsi="宋体" w:eastAsia="宋体" w:cs="宋体"/>
                <w:sz w:val="21"/>
                <w:szCs w:val="21"/>
                <w:highlight w:val="none"/>
              </w:rPr>
            </w:pPr>
          </w:p>
        </w:tc>
        <w:tc>
          <w:tcPr>
            <w:tcW w:w="4931" w:type="dxa"/>
            <w:tcBorders>
              <w:top w:val="nil"/>
              <w:left w:val="nil"/>
              <w:bottom w:val="single" w:color="auto" w:sz="4" w:space="0"/>
              <w:right w:val="single" w:color="auto" w:sz="4" w:space="0"/>
            </w:tcBorders>
            <w:noWrap w:val="0"/>
            <w:vAlign w:val="center"/>
          </w:tcPr>
          <w:p w14:paraId="66F58F39">
            <w:pPr>
              <w:widowControl/>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3.通过查询服务单位所在地，地市一级应急管理局官方网址公开信息显示，未发现服务单位在考核评价期内发生生产安全事故得10分，否则得0分。</w:t>
            </w:r>
          </w:p>
        </w:tc>
        <w:tc>
          <w:tcPr>
            <w:tcW w:w="864" w:type="dxa"/>
            <w:tcBorders>
              <w:top w:val="nil"/>
              <w:left w:val="nil"/>
              <w:bottom w:val="single" w:color="auto" w:sz="4" w:space="0"/>
              <w:right w:val="single" w:color="auto" w:sz="4" w:space="0"/>
            </w:tcBorders>
            <w:noWrap w:val="0"/>
            <w:vAlign w:val="center"/>
          </w:tcPr>
          <w:p w14:paraId="24148195">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893" w:type="dxa"/>
            <w:tcBorders>
              <w:top w:val="nil"/>
              <w:left w:val="nil"/>
              <w:bottom w:val="single" w:color="auto" w:sz="4" w:space="0"/>
              <w:right w:val="single" w:color="auto" w:sz="4" w:space="0"/>
            </w:tcBorders>
            <w:noWrap w:val="0"/>
            <w:vAlign w:val="center"/>
          </w:tcPr>
          <w:p w14:paraId="2A69D5F5">
            <w:pPr>
              <w:widowControl/>
              <w:spacing w:line="360" w:lineRule="auto"/>
              <w:jc w:val="center"/>
              <w:rPr>
                <w:rFonts w:hint="eastAsia" w:ascii="宋体" w:hAnsi="宋体" w:eastAsia="宋体" w:cs="宋体"/>
                <w:sz w:val="21"/>
                <w:szCs w:val="21"/>
                <w:highlight w:val="none"/>
              </w:rPr>
            </w:pPr>
          </w:p>
        </w:tc>
        <w:tc>
          <w:tcPr>
            <w:tcW w:w="1403" w:type="dxa"/>
            <w:tcBorders>
              <w:top w:val="nil"/>
              <w:left w:val="nil"/>
              <w:bottom w:val="single" w:color="auto" w:sz="4" w:space="0"/>
              <w:right w:val="single" w:color="auto" w:sz="4" w:space="0"/>
            </w:tcBorders>
            <w:noWrap w:val="0"/>
            <w:vAlign w:val="center"/>
          </w:tcPr>
          <w:p w14:paraId="5AF5A450">
            <w:pPr>
              <w:widowControl/>
              <w:spacing w:line="360" w:lineRule="auto"/>
              <w:jc w:val="center"/>
              <w:rPr>
                <w:rFonts w:hint="eastAsia" w:ascii="宋体" w:hAnsi="宋体" w:eastAsia="宋体" w:cs="宋体"/>
                <w:sz w:val="21"/>
                <w:szCs w:val="21"/>
                <w:highlight w:val="none"/>
              </w:rPr>
            </w:pPr>
          </w:p>
        </w:tc>
      </w:tr>
      <w:tr w14:paraId="5B2097E3">
        <w:tblPrEx>
          <w:tblCellMar>
            <w:top w:w="0" w:type="dxa"/>
            <w:left w:w="108" w:type="dxa"/>
            <w:bottom w:w="0" w:type="dxa"/>
            <w:right w:w="108" w:type="dxa"/>
          </w:tblCellMar>
        </w:tblPrEx>
        <w:trPr>
          <w:trHeight w:val="1308" w:hRule="atLeast"/>
          <w:jc w:val="center"/>
        </w:trPr>
        <w:tc>
          <w:tcPr>
            <w:tcW w:w="662" w:type="dxa"/>
            <w:vMerge w:val="restart"/>
            <w:tcBorders>
              <w:top w:val="single" w:color="auto" w:sz="4" w:space="0"/>
              <w:left w:val="single" w:color="auto" w:sz="4" w:space="0"/>
              <w:bottom w:val="single" w:color="auto" w:sz="4" w:space="0"/>
              <w:right w:val="single" w:color="auto" w:sz="4" w:space="0"/>
            </w:tcBorders>
            <w:noWrap w:val="0"/>
            <w:vAlign w:val="center"/>
          </w:tcPr>
          <w:p w14:paraId="1BD7CC0B">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1037" w:type="dxa"/>
            <w:vMerge w:val="restart"/>
            <w:tcBorders>
              <w:top w:val="single" w:color="auto" w:sz="4" w:space="0"/>
              <w:left w:val="nil"/>
              <w:bottom w:val="single" w:color="auto" w:sz="4" w:space="0"/>
              <w:right w:val="single" w:color="auto" w:sz="4" w:space="0"/>
            </w:tcBorders>
            <w:noWrap w:val="0"/>
            <w:vAlign w:val="center"/>
          </w:tcPr>
          <w:p w14:paraId="0B628156">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行政  处罚  情况</w:t>
            </w:r>
          </w:p>
        </w:tc>
        <w:tc>
          <w:tcPr>
            <w:tcW w:w="730" w:type="dxa"/>
            <w:vMerge w:val="restart"/>
            <w:tcBorders>
              <w:top w:val="single" w:color="auto" w:sz="4" w:space="0"/>
              <w:left w:val="nil"/>
              <w:bottom w:val="single" w:color="auto" w:sz="4" w:space="0"/>
              <w:right w:val="single" w:color="auto" w:sz="4" w:space="0"/>
            </w:tcBorders>
            <w:noWrap w:val="0"/>
            <w:vAlign w:val="center"/>
          </w:tcPr>
          <w:p w14:paraId="73FA2E9E">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25</w:t>
            </w:r>
          </w:p>
        </w:tc>
        <w:tc>
          <w:tcPr>
            <w:tcW w:w="4931" w:type="dxa"/>
            <w:tcBorders>
              <w:top w:val="nil"/>
              <w:left w:val="nil"/>
              <w:bottom w:val="single" w:color="auto" w:sz="4" w:space="0"/>
              <w:right w:val="single" w:color="auto" w:sz="4" w:space="0"/>
            </w:tcBorders>
            <w:noWrap w:val="0"/>
            <w:vAlign w:val="center"/>
          </w:tcPr>
          <w:p w14:paraId="66B56F92">
            <w:pPr>
              <w:widowControl/>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1.服务单位在考核评价期内未被列入“信用中国”网站失信被执行人、重大税收违法失信主体、政府采购严重违法失信行为记录名单（受处罚期限届满的除外）得10分，否则得0分</w:t>
            </w:r>
          </w:p>
        </w:tc>
        <w:tc>
          <w:tcPr>
            <w:tcW w:w="864" w:type="dxa"/>
            <w:tcBorders>
              <w:top w:val="nil"/>
              <w:left w:val="nil"/>
              <w:bottom w:val="single" w:color="auto" w:sz="4" w:space="0"/>
              <w:right w:val="single" w:color="auto" w:sz="4" w:space="0"/>
            </w:tcBorders>
            <w:noWrap w:val="0"/>
            <w:vAlign w:val="center"/>
          </w:tcPr>
          <w:p w14:paraId="48AA3C00">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893" w:type="dxa"/>
            <w:tcBorders>
              <w:top w:val="nil"/>
              <w:left w:val="nil"/>
              <w:bottom w:val="single" w:color="auto" w:sz="4" w:space="0"/>
              <w:right w:val="single" w:color="auto" w:sz="4" w:space="0"/>
            </w:tcBorders>
            <w:noWrap w:val="0"/>
            <w:vAlign w:val="center"/>
          </w:tcPr>
          <w:p w14:paraId="4C18D750">
            <w:pPr>
              <w:widowControl/>
              <w:spacing w:line="360" w:lineRule="auto"/>
              <w:jc w:val="center"/>
              <w:rPr>
                <w:rFonts w:hint="eastAsia" w:ascii="宋体" w:hAnsi="宋体" w:eastAsia="宋体" w:cs="宋体"/>
                <w:sz w:val="21"/>
                <w:szCs w:val="21"/>
                <w:highlight w:val="none"/>
              </w:rPr>
            </w:pPr>
          </w:p>
        </w:tc>
        <w:tc>
          <w:tcPr>
            <w:tcW w:w="1403" w:type="dxa"/>
            <w:tcBorders>
              <w:top w:val="nil"/>
              <w:left w:val="nil"/>
              <w:bottom w:val="single" w:color="auto" w:sz="4" w:space="0"/>
              <w:right w:val="single" w:color="auto" w:sz="4" w:space="0"/>
            </w:tcBorders>
            <w:noWrap w:val="0"/>
            <w:vAlign w:val="center"/>
          </w:tcPr>
          <w:p w14:paraId="05A70CAD">
            <w:pPr>
              <w:widowControl/>
              <w:spacing w:line="360" w:lineRule="auto"/>
              <w:jc w:val="center"/>
              <w:rPr>
                <w:rFonts w:hint="eastAsia" w:ascii="宋体" w:hAnsi="宋体" w:eastAsia="宋体" w:cs="宋体"/>
                <w:sz w:val="21"/>
                <w:szCs w:val="21"/>
                <w:highlight w:val="none"/>
              </w:rPr>
            </w:pPr>
          </w:p>
        </w:tc>
      </w:tr>
      <w:tr w14:paraId="27C3B51E">
        <w:tblPrEx>
          <w:tblCellMar>
            <w:top w:w="0" w:type="dxa"/>
            <w:left w:w="108" w:type="dxa"/>
            <w:bottom w:w="0" w:type="dxa"/>
            <w:right w:w="108" w:type="dxa"/>
          </w:tblCellMar>
        </w:tblPrEx>
        <w:trPr>
          <w:trHeight w:val="1632" w:hRule="atLeast"/>
          <w:jc w:val="center"/>
        </w:trPr>
        <w:tc>
          <w:tcPr>
            <w:tcW w:w="662" w:type="dxa"/>
            <w:vMerge w:val="continue"/>
            <w:tcBorders>
              <w:top w:val="single" w:color="auto" w:sz="4" w:space="0"/>
              <w:left w:val="single" w:color="auto" w:sz="4" w:space="0"/>
              <w:bottom w:val="single" w:color="auto" w:sz="4" w:space="0"/>
              <w:right w:val="single" w:color="auto" w:sz="4" w:space="0"/>
            </w:tcBorders>
            <w:noWrap w:val="0"/>
            <w:vAlign w:val="center"/>
          </w:tcPr>
          <w:p w14:paraId="08368EB6">
            <w:pPr>
              <w:widowControl/>
              <w:spacing w:line="360" w:lineRule="auto"/>
              <w:jc w:val="center"/>
              <w:rPr>
                <w:rFonts w:hint="eastAsia" w:ascii="宋体" w:hAnsi="宋体" w:eastAsia="宋体" w:cs="宋体"/>
                <w:sz w:val="21"/>
                <w:szCs w:val="21"/>
                <w:highlight w:val="none"/>
              </w:rPr>
            </w:pPr>
          </w:p>
        </w:tc>
        <w:tc>
          <w:tcPr>
            <w:tcW w:w="1037" w:type="dxa"/>
            <w:vMerge w:val="continue"/>
            <w:tcBorders>
              <w:top w:val="single" w:color="auto" w:sz="4" w:space="0"/>
              <w:left w:val="nil"/>
              <w:bottom w:val="single" w:color="auto" w:sz="4" w:space="0"/>
              <w:right w:val="single" w:color="auto" w:sz="4" w:space="0"/>
            </w:tcBorders>
            <w:noWrap w:val="0"/>
            <w:vAlign w:val="center"/>
          </w:tcPr>
          <w:p w14:paraId="279F6D6F">
            <w:pPr>
              <w:widowControl/>
              <w:spacing w:line="360" w:lineRule="auto"/>
              <w:jc w:val="center"/>
              <w:rPr>
                <w:rFonts w:hint="eastAsia" w:ascii="宋体" w:hAnsi="宋体" w:eastAsia="宋体" w:cs="宋体"/>
                <w:sz w:val="21"/>
                <w:szCs w:val="21"/>
                <w:highlight w:val="none"/>
              </w:rPr>
            </w:pPr>
          </w:p>
        </w:tc>
        <w:tc>
          <w:tcPr>
            <w:tcW w:w="730" w:type="dxa"/>
            <w:vMerge w:val="continue"/>
            <w:tcBorders>
              <w:top w:val="single" w:color="auto" w:sz="4" w:space="0"/>
              <w:left w:val="nil"/>
              <w:bottom w:val="single" w:color="auto" w:sz="4" w:space="0"/>
              <w:right w:val="single" w:color="auto" w:sz="4" w:space="0"/>
            </w:tcBorders>
            <w:noWrap w:val="0"/>
            <w:vAlign w:val="center"/>
          </w:tcPr>
          <w:p w14:paraId="22D8F7FF">
            <w:pPr>
              <w:widowControl/>
              <w:spacing w:line="360" w:lineRule="auto"/>
              <w:jc w:val="center"/>
              <w:rPr>
                <w:rFonts w:hint="eastAsia" w:ascii="宋体" w:hAnsi="宋体" w:eastAsia="宋体" w:cs="宋体"/>
                <w:sz w:val="21"/>
                <w:szCs w:val="21"/>
                <w:highlight w:val="none"/>
              </w:rPr>
            </w:pPr>
          </w:p>
        </w:tc>
        <w:tc>
          <w:tcPr>
            <w:tcW w:w="4931" w:type="dxa"/>
            <w:tcBorders>
              <w:top w:val="nil"/>
              <w:left w:val="nil"/>
              <w:bottom w:val="single" w:color="auto" w:sz="4" w:space="0"/>
              <w:right w:val="single" w:color="auto" w:sz="4" w:space="0"/>
            </w:tcBorders>
            <w:noWrap w:val="0"/>
            <w:vAlign w:val="center"/>
          </w:tcPr>
          <w:p w14:paraId="7407E526">
            <w:pPr>
              <w:widowControl/>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2.通过查询服务单位接收地市一级生态环境主管部门官方网站、接收地市一级污泥主管部门官方网站及“信用中国”公开信息，服务单位在考核评价期无行政处罚得15分，服务期限出现行政处罚情况得0分。</w:t>
            </w:r>
          </w:p>
        </w:tc>
        <w:tc>
          <w:tcPr>
            <w:tcW w:w="864" w:type="dxa"/>
            <w:tcBorders>
              <w:top w:val="nil"/>
              <w:left w:val="nil"/>
              <w:bottom w:val="single" w:color="auto" w:sz="4" w:space="0"/>
              <w:right w:val="single" w:color="auto" w:sz="4" w:space="0"/>
            </w:tcBorders>
            <w:noWrap w:val="0"/>
            <w:vAlign w:val="center"/>
          </w:tcPr>
          <w:p w14:paraId="770DB84A">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15</w:t>
            </w:r>
          </w:p>
        </w:tc>
        <w:tc>
          <w:tcPr>
            <w:tcW w:w="893" w:type="dxa"/>
            <w:tcBorders>
              <w:top w:val="nil"/>
              <w:left w:val="nil"/>
              <w:bottom w:val="single" w:color="auto" w:sz="4" w:space="0"/>
              <w:right w:val="single" w:color="auto" w:sz="4" w:space="0"/>
            </w:tcBorders>
            <w:noWrap w:val="0"/>
            <w:vAlign w:val="center"/>
          </w:tcPr>
          <w:p w14:paraId="5A984DA2">
            <w:pPr>
              <w:widowControl/>
              <w:spacing w:line="360" w:lineRule="auto"/>
              <w:jc w:val="center"/>
              <w:rPr>
                <w:rFonts w:hint="eastAsia" w:ascii="宋体" w:hAnsi="宋体" w:eastAsia="宋体" w:cs="宋体"/>
                <w:sz w:val="21"/>
                <w:szCs w:val="21"/>
                <w:highlight w:val="none"/>
              </w:rPr>
            </w:pPr>
          </w:p>
        </w:tc>
        <w:tc>
          <w:tcPr>
            <w:tcW w:w="1403" w:type="dxa"/>
            <w:tcBorders>
              <w:top w:val="nil"/>
              <w:left w:val="nil"/>
              <w:bottom w:val="single" w:color="auto" w:sz="4" w:space="0"/>
              <w:right w:val="single" w:color="auto" w:sz="4" w:space="0"/>
            </w:tcBorders>
            <w:noWrap w:val="0"/>
            <w:vAlign w:val="center"/>
          </w:tcPr>
          <w:p w14:paraId="6AC434C3">
            <w:pPr>
              <w:widowControl/>
              <w:spacing w:line="360" w:lineRule="auto"/>
              <w:jc w:val="center"/>
              <w:rPr>
                <w:rFonts w:hint="eastAsia" w:ascii="宋体" w:hAnsi="宋体" w:eastAsia="宋体" w:cs="宋体"/>
                <w:sz w:val="21"/>
                <w:szCs w:val="21"/>
                <w:highlight w:val="none"/>
              </w:rPr>
            </w:pPr>
          </w:p>
        </w:tc>
      </w:tr>
      <w:tr w14:paraId="690C9E04">
        <w:tblPrEx>
          <w:tblCellMar>
            <w:top w:w="0" w:type="dxa"/>
            <w:left w:w="108" w:type="dxa"/>
            <w:bottom w:w="0" w:type="dxa"/>
            <w:right w:w="108" w:type="dxa"/>
          </w:tblCellMar>
        </w:tblPrEx>
        <w:trPr>
          <w:trHeight w:val="702" w:hRule="atLeast"/>
          <w:jc w:val="center"/>
        </w:trPr>
        <w:tc>
          <w:tcPr>
            <w:tcW w:w="1699" w:type="dxa"/>
            <w:gridSpan w:val="2"/>
            <w:tcBorders>
              <w:top w:val="single" w:color="auto" w:sz="4" w:space="0"/>
              <w:left w:val="single" w:color="auto" w:sz="4" w:space="0"/>
              <w:bottom w:val="single" w:color="auto" w:sz="4" w:space="0"/>
              <w:right w:val="single" w:color="auto" w:sz="4" w:space="0"/>
            </w:tcBorders>
            <w:noWrap w:val="0"/>
            <w:vAlign w:val="center"/>
          </w:tcPr>
          <w:p w14:paraId="06F5C2FB">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合计</w:t>
            </w:r>
          </w:p>
        </w:tc>
        <w:tc>
          <w:tcPr>
            <w:tcW w:w="730" w:type="dxa"/>
            <w:tcBorders>
              <w:top w:val="single" w:color="auto" w:sz="4" w:space="0"/>
              <w:left w:val="nil"/>
              <w:bottom w:val="single" w:color="auto" w:sz="4" w:space="0"/>
              <w:right w:val="single" w:color="auto" w:sz="4" w:space="0"/>
            </w:tcBorders>
            <w:noWrap w:val="0"/>
            <w:vAlign w:val="center"/>
          </w:tcPr>
          <w:p w14:paraId="765A50DE">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　</w:t>
            </w:r>
          </w:p>
        </w:tc>
        <w:tc>
          <w:tcPr>
            <w:tcW w:w="4931" w:type="dxa"/>
            <w:tcBorders>
              <w:top w:val="single" w:color="auto" w:sz="4" w:space="0"/>
              <w:left w:val="nil"/>
              <w:bottom w:val="single" w:color="auto" w:sz="4" w:space="0"/>
              <w:right w:val="single" w:color="auto" w:sz="4" w:space="0"/>
            </w:tcBorders>
            <w:noWrap w:val="0"/>
            <w:vAlign w:val="center"/>
          </w:tcPr>
          <w:p w14:paraId="569C583B">
            <w:pPr>
              <w:widowControl/>
              <w:spacing w:line="360" w:lineRule="auto"/>
              <w:jc w:val="center"/>
              <w:rPr>
                <w:rFonts w:hint="eastAsia" w:ascii="宋体" w:hAnsi="宋体" w:eastAsia="宋体" w:cs="宋体"/>
                <w:sz w:val="21"/>
                <w:szCs w:val="21"/>
                <w:highlight w:val="none"/>
              </w:rPr>
            </w:pPr>
          </w:p>
        </w:tc>
        <w:tc>
          <w:tcPr>
            <w:tcW w:w="864" w:type="dxa"/>
            <w:tcBorders>
              <w:top w:val="single" w:color="auto" w:sz="4" w:space="0"/>
              <w:left w:val="nil"/>
              <w:bottom w:val="single" w:color="auto" w:sz="4" w:space="0"/>
              <w:right w:val="single" w:color="auto" w:sz="4" w:space="0"/>
            </w:tcBorders>
            <w:noWrap w:val="0"/>
            <w:vAlign w:val="center"/>
          </w:tcPr>
          <w:p w14:paraId="5E998ECD">
            <w:pPr>
              <w:widowControl/>
              <w:spacing w:line="360" w:lineRule="auto"/>
              <w:jc w:val="center"/>
              <w:rPr>
                <w:rFonts w:hint="eastAsia" w:ascii="宋体" w:hAnsi="宋体" w:eastAsia="宋体" w:cs="宋体"/>
                <w:sz w:val="21"/>
                <w:szCs w:val="21"/>
                <w:highlight w:val="none"/>
              </w:rPr>
            </w:pPr>
          </w:p>
        </w:tc>
        <w:tc>
          <w:tcPr>
            <w:tcW w:w="893" w:type="dxa"/>
            <w:tcBorders>
              <w:top w:val="single" w:color="auto" w:sz="4" w:space="0"/>
              <w:left w:val="nil"/>
              <w:bottom w:val="single" w:color="auto" w:sz="4" w:space="0"/>
              <w:right w:val="single" w:color="auto" w:sz="4" w:space="0"/>
            </w:tcBorders>
            <w:noWrap w:val="0"/>
            <w:vAlign w:val="center"/>
          </w:tcPr>
          <w:p w14:paraId="2DF3900C">
            <w:pPr>
              <w:widowControl/>
              <w:spacing w:line="360" w:lineRule="auto"/>
              <w:jc w:val="center"/>
              <w:rPr>
                <w:rFonts w:hint="eastAsia" w:ascii="宋体" w:hAnsi="宋体" w:eastAsia="宋体" w:cs="宋体"/>
                <w:sz w:val="21"/>
                <w:szCs w:val="21"/>
                <w:highlight w:val="none"/>
              </w:rPr>
            </w:pPr>
          </w:p>
        </w:tc>
        <w:tc>
          <w:tcPr>
            <w:tcW w:w="1403" w:type="dxa"/>
            <w:tcBorders>
              <w:top w:val="single" w:color="auto" w:sz="4" w:space="0"/>
              <w:left w:val="nil"/>
              <w:bottom w:val="single" w:color="auto" w:sz="4" w:space="0"/>
              <w:right w:val="single" w:color="auto" w:sz="4" w:space="0"/>
            </w:tcBorders>
            <w:noWrap w:val="0"/>
            <w:vAlign w:val="center"/>
          </w:tcPr>
          <w:p w14:paraId="43F12B16">
            <w:pPr>
              <w:widowControl/>
              <w:spacing w:line="360" w:lineRule="auto"/>
              <w:jc w:val="center"/>
              <w:rPr>
                <w:rFonts w:hint="eastAsia" w:ascii="宋体" w:hAnsi="宋体" w:eastAsia="宋体" w:cs="宋体"/>
                <w:sz w:val="21"/>
                <w:szCs w:val="21"/>
                <w:highlight w:val="none"/>
              </w:rPr>
            </w:pPr>
          </w:p>
        </w:tc>
      </w:tr>
      <w:tr w14:paraId="4F53F4A1">
        <w:tblPrEx>
          <w:tblCellMar>
            <w:top w:w="0" w:type="dxa"/>
            <w:left w:w="108" w:type="dxa"/>
            <w:bottom w:w="0" w:type="dxa"/>
            <w:right w:w="108" w:type="dxa"/>
          </w:tblCellMar>
        </w:tblPrEx>
        <w:trPr>
          <w:trHeight w:val="1642" w:hRule="atLeast"/>
          <w:jc w:val="center"/>
        </w:trPr>
        <w:tc>
          <w:tcPr>
            <w:tcW w:w="2429" w:type="dxa"/>
            <w:gridSpan w:val="3"/>
            <w:tcBorders>
              <w:top w:val="single" w:color="auto" w:sz="4" w:space="0"/>
              <w:left w:val="single" w:color="auto" w:sz="4" w:space="0"/>
              <w:bottom w:val="single" w:color="auto" w:sz="4" w:space="0"/>
              <w:right w:val="single" w:color="auto" w:sz="4" w:space="0"/>
            </w:tcBorders>
            <w:noWrap w:val="0"/>
            <w:vAlign w:val="center"/>
          </w:tcPr>
          <w:p w14:paraId="364205F9">
            <w:pPr>
              <w:widowControl/>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直接认定为考核      不合格的情况</w:t>
            </w:r>
          </w:p>
        </w:tc>
        <w:tc>
          <w:tcPr>
            <w:tcW w:w="8091" w:type="dxa"/>
            <w:gridSpan w:val="4"/>
            <w:tcBorders>
              <w:top w:val="single" w:color="auto" w:sz="4" w:space="0"/>
              <w:left w:val="nil"/>
              <w:bottom w:val="single" w:color="auto" w:sz="4" w:space="0"/>
              <w:right w:val="single" w:color="auto" w:sz="4" w:space="0"/>
            </w:tcBorders>
            <w:noWrap w:val="0"/>
            <w:vAlign w:val="center"/>
          </w:tcPr>
          <w:p w14:paraId="3BE155A8">
            <w:pPr>
              <w:widowControl/>
              <w:numPr>
                <w:ilvl w:val="-1"/>
                <w:numId w:val="0"/>
              </w:numPr>
              <w:spacing w:line="3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 xml:space="preserve">供应商拒不配合众源公司工作人员开展考核的；                                </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考核评价中供应商提供的证明文件认定为虚假证明材料或被存在其他弄虚作假行为的，或考核评价中供应商泥粉/污泥</w:t>
            </w:r>
            <w:r>
              <w:rPr>
                <w:rFonts w:hint="eastAsia" w:ascii="宋体" w:hAnsi="宋体" w:eastAsia="宋体" w:cs="宋体"/>
                <w:sz w:val="21"/>
                <w:szCs w:val="21"/>
                <w:highlight w:val="none"/>
                <w:lang w:eastAsia="zh-CN"/>
              </w:rPr>
              <w:t>处置场所</w:t>
            </w:r>
            <w:r>
              <w:rPr>
                <w:rFonts w:hint="eastAsia" w:ascii="宋体" w:hAnsi="宋体" w:eastAsia="宋体" w:cs="宋体"/>
                <w:sz w:val="21"/>
                <w:szCs w:val="21"/>
                <w:highlight w:val="none"/>
              </w:rPr>
              <w:t>与</w:t>
            </w:r>
            <w:r>
              <w:rPr>
                <w:rFonts w:hint="eastAsia" w:ascii="宋体" w:hAnsi="宋体" w:eastAsia="宋体" w:cs="宋体"/>
                <w:sz w:val="21"/>
                <w:szCs w:val="21"/>
                <w:highlight w:val="none"/>
                <w:lang w:val="en-US" w:eastAsia="zh-CN"/>
              </w:rPr>
              <w:t>投标</w:t>
            </w:r>
            <w:r>
              <w:rPr>
                <w:rFonts w:hint="eastAsia" w:ascii="宋体" w:hAnsi="宋体" w:eastAsia="宋体" w:cs="宋体"/>
                <w:sz w:val="21"/>
                <w:szCs w:val="21"/>
                <w:highlight w:val="none"/>
              </w:rPr>
              <w:t xml:space="preserve">（申请）文件不符的；                                    </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 xml:space="preserve">供应商在考核评价期发生重大生产安全事故的； </w:t>
            </w:r>
          </w:p>
          <w:p w14:paraId="460E6E3C">
            <w:pPr>
              <w:widowControl/>
              <w:numPr>
                <w:ilvl w:val="-1"/>
                <w:numId w:val="0"/>
              </w:numPr>
              <w:spacing w:line="3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供应商被行政主管部门禁止开展泥粉/污泥处置工作的；                             5.供应商破产、倒闭或被行政主管部门要求停业的。</w:t>
            </w:r>
          </w:p>
        </w:tc>
      </w:tr>
    </w:tbl>
    <w:p w14:paraId="2812E076">
      <w:pPr>
        <w:widowControl/>
        <w:spacing w:line="360" w:lineRule="auto"/>
        <w:rPr>
          <w:rFonts w:hint="eastAsia" w:ascii="宋体" w:hAnsi="宋体" w:eastAsia="宋体" w:cs="宋体"/>
          <w:highlight w:val="none"/>
        </w:rPr>
      </w:pPr>
    </w:p>
    <w:p w14:paraId="289C89D7">
      <w:pPr>
        <w:widowControl/>
        <w:spacing w:line="360" w:lineRule="auto"/>
        <w:rPr>
          <w:rFonts w:ascii="Times New Roman" w:hAnsi="Times New Roman" w:eastAsia="宋体" w:cs="宋体"/>
          <w:sz w:val="21"/>
          <w:szCs w:val="21"/>
          <w:highlight w:val="none"/>
        </w:rPr>
      </w:pPr>
      <w:r>
        <w:rPr>
          <w:rFonts w:hint="eastAsia" w:ascii="Times New Roman" w:hAnsi="Times New Roman" w:eastAsia="宋体" w:cs="宋体"/>
          <w:sz w:val="21"/>
          <w:szCs w:val="21"/>
          <w:highlight w:val="none"/>
        </w:rPr>
        <w:t>服务单位（盖章）：</w:t>
      </w:r>
    </w:p>
    <w:p w14:paraId="66A275F4">
      <w:pPr>
        <w:widowControl/>
        <w:spacing w:line="360" w:lineRule="auto"/>
        <w:rPr>
          <w:rFonts w:hint="eastAsia" w:ascii="Times New Roman" w:hAnsi="Times New Roman" w:eastAsia="宋体" w:cs="宋体"/>
          <w:sz w:val="21"/>
          <w:szCs w:val="21"/>
          <w:highlight w:val="none"/>
        </w:rPr>
      </w:pPr>
      <w:r>
        <w:rPr>
          <w:rFonts w:hint="eastAsia" w:ascii="宋体" w:hAnsi="宋体" w:eastAsia="宋体" w:cs="宋体"/>
          <w:sz w:val="21"/>
          <w:szCs w:val="21"/>
          <w:highlight w:val="none"/>
        </w:rPr>
        <w:t>考核人</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          考核人2：</w:t>
      </w:r>
      <w:r>
        <w:rPr>
          <w:rFonts w:hint="eastAsia" w:ascii="Times New Roman" w:hAnsi="Times New Roman" w:eastAsia="宋体" w:cs="宋体"/>
          <w:sz w:val="21"/>
          <w:szCs w:val="21"/>
          <w:highlight w:val="none"/>
        </w:rPr>
        <w:t xml:space="preserve">                考核结果（合格、限期整改、不合格）：                           </w:t>
      </w:r>
    </w:p>
    <w:p w14:paraId="039E2F8D">
      <w:pPr>
        <w:widowControl/>
        <w:spacing w:line="360" w:lineRule="auto"/>
        <w:rPr>
          <w:rFonts w:hint="eastAsia" w:ascii="Times New Roman" w:hAnsi="Times New Roman" w:eastAsia="宋体" w:cs="宋体"/>
          <w:sz w:val="21"/>
          <w:szCs w:val="21"/>
          <w:highlight w:val="none"/>
        </w:rPr>
      </w:pPr>
      <w:r>
        <w:rPr>
          <w:rFonts w:hint="eastAsia" w:ascii="Times New Roman" w:hAnsi="Times New Roman" w:eastAsia="宋体" w:cs="宋体"/>
          <w:sz w:val="21"/>
          <w:szCs w:val="21"/>
          <w:highlight w:val="none"/>
        </w:rPr>
        <w:t>考核时间：</w:t>
      </w:r>
    </w:p>
    <w:p w14:paraId="576DB9E4">
      <w:pPr>
        <w:pStyle w:val="17"/>
        <w:rPr>
          <w:rFonts w:hint="eastAsia" w:ascii="Times New Roman" w:hAnsi="Times New Roman" w:eastAsia="宋体" w:cs="宋体"/>
          <w:b/>
          <w:bCs/>
          <w:sz w:val="21"/>
          <w:szCs w:val="21"/>
          <w:highlight w:val="none"/>
        </w:rPr>
      </w:pPr>
    </w:p>
    <w:p w14:paraId="54628578">
      <w:pPr>
        <w:pStyle w:val="50"/>
        <w:ind w:firstLine="211"/>
        <w:rPr>
          <w:rFonts w:hint="eastAsia" w:ascii="Times New Roman" w:hAnsi="Times New Roman" w:eastAsia="宋体" w:cs="宋体"/>
          <w:b/>
          <w:bCs/>
          <w:sz w:val="21"/>
          <w:szCs w:val="21"/>
          <w:highlight w:val="none"/>
        </w:rPr>
      </w:pPr>
    </w:p>
    <w:p w14:paraId="37857CE5">
      <w:pPr>
        <w:pStyle w:val="50"/>
        <w:ind w:firstLine="211"/>
        <w:rPr>
          <w:rFonts w:hint="eastAsia" w:ascii="Times New Roman" w:hAnsi="Times New Roman" w:eastAsia="宋体" w:cs="宋体"/>
          <w:b/>
          <w:bCs/>
          <w:sz w:val="21"/>
          <w:szCs w:val="21"/>
          <w:highlight w:val="none"/>
        </w:rPr>
      </w:pPr>
    </w:p>
    <w:p w14:paraId="2EB30747">
      <w:pPr>
        <w:pStyle w:val="50"/>
        <w:ind w:firstLine="211"/>
        <w:rPr>
          <w:rFonts w:hint="eastAsia" w:ascii="Times New Roman" w:hAnsi="Times New Roman" w:eastAsia="宋体" w:cs="宋体"/>
          <w:b/>
          <w:bCs/>
          <w:sz w:val="21"/>
          <w:szCs w:val="21"/>
          <w:highlight w:val="none"/>
        </w:rPr>
      </w:pPr>
    </w:p>
    <w:p w14:paraId="324D91F4">
      <w:pPr>
        <w:pStyle w:val="50"/>
        <w:ind w:firstLine="211"/>
        <w:rPr>
          <w:rFonts w:hint="eastAsia" w:ascii="Times New Roman" w:hAnsi="Times New Roman" w:eastAsia="宋体" w:cs="宋体"/>
          <w:b/>
          <w:bCs/>
          <w:sz w:val="21"/>
          <w:szCs w:val="21"/>
          <w:highlight w:val="none"/>
        </w:rPr>
      </w:pPr>
    </w:p>
    <w:p w14:paraId="4079B89F">
      <w:pPr>
        <w:pStyle w:val="50"/>
        <w:ind w:firstLine="211"/>
        <w:rPr>
          <w:rFonts w:hint="eastAsia" w:ascii="Times New Roman" w:hAnsi="Times New Roman" w:eastAsia="宋体" w:cs="宋体"/>
          <w:b/>
          <w:bCs/>
          <w:sz w:val="21"/>
          <w:szCs w:val="21"/>
          <w:highlight w:val="none"/>
        </w:rPr>
      </w:pPr>
    </w:p>
    <w:p w14:paraId="773B9F47">
      <w:pPr>
        <w:pStyle w:val="50"/>
        <w:ind w:firstLine="211"/>
        <w:rPr>
          <w:rFonts w:hint="eastAsia" w:ascii="Times New Roman" w:hAnsi="Times New Roman" w:eastAsia="宋体" w:cs="宋体"/>
          <w:b/>
          <w:bCs/>
          <w:sz w:val="21"/>
          <w:szCs w:val="21"/>
          <w:highlight w:val="none"/>
        </w:rPr>
      </w:pPr>
    </w:p>
    <w:p w14:paraId="5281480A">
      <w:pPr>
        <w:pStyle w:val="50"/>
        <w:ind w:firstLine="211"/>
        <w:rPr>
          <w:rFonts w:hint="eastAsia" w:ascii="Times New Roman" w:hAnsi="Times New Roman" w:eastAsia="宋体" w:cs="宋体"/>
          <w:b/>
          <w:bCs/>
          <w:sz w:val="21"/>
          <w:szCs w:val="21"/>
          <w:highlight w:val="none"/>
        </w:rPr>
      </w:pPr>
    </w:p>
    <w:p w14:paraId="64624E46">
      <w:pPr>
        <w:pStyle w:val="50"/>
        <w:ind w:firstLine="211"/>
        <w:rPr>
          <w:rFonts w:hint="eastAsia" w:ascii="Times New Roman" w:hAnsi="Times New Roman" w:eastAsia="宋体" w:cs="宋体"/>
          <w:b/>
          <w:bCs/>
          <w:sz w:val="21"/>
          <w:szCs w:val="21"/>
          <w:highlight w:val="none"/>
        </w:rPr>
      </w:pPr>
    </w:p>
    <w:p w14:paraId="52C78A42">
      <w:pPr>
        <w:rPr>
          <w:rFonts w:hint="eastAsia" w:ascii="Times New Roman" w:hAnsi="Times New Roman" w:eastAsia="宋体" w:cs="宋体"/>
          <w:b/>
          <w:bCs/>
          <w:sz w:val="21"/>
          <w:szCs w:val="21"/>
          <w:highlight w:val="none"/>
        </w:rPr>
      </w:pPr>
      <w:r>
        <w:rPr>
          <w:rFonts w:hint="eastAsia" w:ascii="Times New Roman" w:hAnsi="Times New Roman" w:eastAsia="宋体" w:cs="宋体"/>
          <w:b/>
          <w:bCs/>
          <w:sz w:val="21"/>
          <w:szCs w:val="21"/>
          <w:highlight w:val="none"/>
        </w:rPr>
        <w:br w:type="page"/>
      </w:r>
    </w:p>
    <w:p w14:paraId="6F5F2615">
      <w:pPr>
        <w:pStyle w:val="50"/>
        <w:ind w:firstLine="211"/>
        <w:rPr>
          <w:rFonts w:hint="eastAsia" w:ascii="Times New Roman" w:hAnsi="Times New Roman" w:eastAsia="宋体" w:cs="宋体"/>
          <w:b/>
          <w:bCs/>
          <w:sz w:val="21"/>
          <w:szCs w:val="21"/>
          <w:highlight w:val="none"/>
        </w:rPr>
      </w:pPr>
    </w:p>
    <w:p w14:paraId="3267A246">
      <w:pPr>
        <w:pStyle w:val="17"/>
        <w:rPr>
          <w:rFonts w:hint="eastAsia" w:hAnsi="Times New Roman" w:eastAsia="宋体" w:cs="Times New Roman"/>
          <w:b/>
          <w:bCs/>
          <w:sz w:val="21"/>
          <w:szCs w:val="21"/>
          <w:highlight w:val="none"/>
        </w:rPr>
      </w:pPr>
    </w:p>
    <w:tbl>
      <w:tblPr>
        <w:tblStyle w:val="52"/>
        <w:tblW w:w="10338" w:type="dxa"/>
        <w:jc w:val="center"/>
        <w:tblLayout w:type="fixed"/>
        <w:tblCellMar>
          <w:top w:w="0" w:type="dxa"/>
          <w:left w:w="108" w:type="dxa"/>
          <w:bottom w:w="0" w:type="dxa"/>
          <w:right w:w="108" w:type="dxa"/>
        </w:tblCellMar>
      </w:tblPr>
      <w:tblGrid>
        <w:gridCol w:w="651"/>
        <w:gridCol w:w="1020"/>
        <w:gridCol w:w="718"/>
        <w:gridCol w:w="4847"/>
        <w:gridCol w:w="850"/>
        <w:gridCol w:w="878"/>
        <w:gridCol w:w="1374"/>
      </w:tblGrid>
      <w:tr w14:paraId="32F6FA96">
        <w:tblPrEx>
          <w:tblCellMar>
            <w:top w:w="0" w:type="dxa"/>
            <w:left w:w="108" w:type="dxa"/>
            <w:bottom w:w="0" w:type="dxa"/>
            <w:right w:w="108" w:type="dxa"/>
          </w:tblCellMar>
        </w:tblPrEx>
        <w:trPr>
          <w:trHeight w:val="640" w:hRule="atLeast"/>
          <w:jc w:val="center"/>
        </w:trPr>
        <w:tc>
          <w:tcPr>
            <w:tcW w:w="10338" w:type="dxa"/>
            <w:gridSpan w:val="7"/>
            <w:tcBorders>
              <w:top w:val="nil"/>
              <w:left w:val="nil"/>
              <w:bottom w:val="nil"/>
              <w:right w:val="nil"/>
            </w:tcBorders>
            <w:noWrap w:val="0"/>
            <w:vAlign w:val="center"/>
          </w:tcPr>
          <w:p w14:paraId="607BA58A">
            <w:pPr>
              <w:pageBreakBefore w:val="0"/>
              <w:widowControl/>
              <w:jc w:val="center"/>
              <w:rPr>
                <w:rFonts w:hint="eastAsia" w:ascii="宋体" w:hAnsi="宋体" w:eastAsia="宋体" w:cs="宋体"/>
                <w:b/>
                <w:sz w:val="36"/>
                <w:szCs w:val="36"/>
                <w:highlight w:val="none"/>
                <w:lang w:eastAsia="zh-CN"/>
              </w:rPr>
            </w:pPr>
            <w:r>
              <w:rPr>
                <w:rFonts w:hint="eastAsia" w:ascii="宋体" w:hAnsi="宋体" w:eastAsia="宋体" w:cs="宋体"/>
                <w:b/>
                <w:sz w:val="21"/>
                <w:szCs w:val="21"/>
                <w:highlight w:val="none"/>
              </w:rPr>
              <w:t>供应商综合评价考核表</w:t>
            </w:r>
            <w:r>
              <w:rPr>
                <w:rFonts w:hint="eastAsia" w:ascii="宋体" w:hAnsi="宋体" w:eastAsia="宋体" w:cs="宋体"/>
                <w:b/>
                <w:sz w:val="21"/>
                <w:szCs w:val="21"/>
                <w:highlight w:val="none"/>
                <w:lang w:eastAsia="zh-CN"/>
              </w:rPr>
              <w:t>（</w:t>
            </w:r>
            <w:r>
              <w:rPr>
                <w:rFonts w:hint="eastAsia" w:ascii="宋体" w:hAnsi="宋体" w:eastAsia="宋体" w:cs="宋体"/>
                <w:b/>
                <w:sz w:val="21"/>
                <w:szCs w:val="21"/>
                <w:highlight w:val="none"/>
              </w:rPr>
              <w:t>已承接处置服务的供应商</w:t>
            </w:r>
            <w:r>
              <w:rPr>
                <w:rFonts w:hint="eastAsia" w:ascii="宋体" w:hAnsi="宋体" w:eastAsia="宋体" w:cs="宋体"/>
                <w:b/>
                <w:sz w:val="21"/>
                <w:szCs w:val="21"/>
                <w:highlight w:val="none"/>
                <w:lang w:eastAsia="zh-CN"/>
              </w:rPr>
              <w:t>）</w:t>
            </w:r>
          </w:p>
        </w:tc>
      </w:tr>
      <w:tr w14:paraId="49E15756">
        <w:tblPrEx>
          <w:tblCellMar>
            <w:top w:w="0" w:type="dxa"/>
            <w:left w:w="108" w:type="dxa"/>
            <w:bottom w:w="0" w:type="dxa"/>
            <w:right w:w="108" w:type="dxa"/>
          </w:tblCellMar>
        </w:tblPrEx>
        <w:trPr>
          <w:trHeight w:val="684" w:hRule="atLeast"/>
          <w:jc w:val="center"/>
        </w:trPr>
        <w:tc>
          <w:tcPr>
            <w:tcW w:w="10338" w:type="dxa"/>
            <w:gridSpan w:val="7"/>
            <w:tcBorders>
              <w:top w:val="nil"/>
              <w:left w:val="nil"/>
              <w:bottom w:val="nil"/>
              <w:right w:val="nil"/>
            </w:tcBorders>
            <w:noWrap w:val="0"/>
            <w:vAlign w:val="center"/>
          </w:tcPr>
          <w:p w14:paraId="54339945">
            <w:pPr>
              <w:widowControl/>
              <w:spacing w:line="276"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供应商名称：</w:t>
            </w:r>
            <w:r>
              <w:rPr>
                <w:rFonts w:hint="eastAsia" w:ascii="宋体" w:hAnsi="宋体" w:eastAsia="宋体" w:cs="宋体"/>
                <w:sz w:val="21"/>
                <w:szCs w:val="21"/>
                <w:highlight w:val="none"/>
              </w:rPr>
              <w:tab/>
            </w:r>
            <w:r>
              <w:rPr>
                <w:rFonts w:hint="eastAsia" w:ascii="宋体" w:hAnsi="宋体" w:eastAsia="宋体" w:cs="宋体"/>
                <w:sz w:val="21"/>
                <w:szCs w:val="21"/>
                <w:highlight w:val="none"/>
              </w:rPr>
              <w:tab/>
            </w:r>
            <w:r>
              <w:rPr>
                <w:rFonts w:hint="eastAsia" w:ascii="宋体" w:hAnsi="宋体" w:eastAsia="宋体" w:cs="宋体"/>
                <w:sz w:val="21"/>
                <w:szCs w:val="21"/>
                <w:highlight w:val="none"/>
              </w:rPr>
              <w:t xml:space="preserve">              </w:t>
            </w:r>
          </w:p>
          <w:p w14:paraId="4A28E066">
            <w:pPr>
              <w:widowControl/>
              <w:spacing w:line="276"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项目名称： </w:t>
            </w:r>
            <w:r>
              <w:rPr>
                <w:rFonts w:hint="eastAsia" w:ascii="宋体" w:hAnsi="宋体" w:eastAsia="宋体" w:cs="宋体"/>
                <w:sz w:val="21"/>
                <w:szCs w:val="21"/>
                <w:highlight w:val="none"/>
              </w:rPr>
              <w:tab/>
            </w:r>
            <w:r>
              <w:rPr>
                <w:rFonts w:hint="eastAsia" w:ascii="宋体" w:hAnsi="宋体" w:eastAsia="宋体" w:cs="宋体"/>
                <w:sz w:val="21"/>
                <w:szCs w:val="21"/>
                <w:highlight w:val="none"/>
              </w:rPr>
              <w:t xml:space="preserve">                                                      </w:t>
            </w:r>
          </w:p>
        </w:tc>
      </w:tr>
      <w:tr w14:paraId="0F0CBD57">
        <w:tblPrEx>
          <w:tblCellMar>
            <w:top w:w="0" w:type="dxa"/>
            <w:left w:w="108" w:type="dxa"/>
            <w:bottom w:w="0" w:type="dxa"/>
            <w:right w:w="108" w:type="dxa"/>
          </w:tblCellMar>
        </w:tblPrEx>
        <w:trPr>
          <w:trHeight w:val="650" w:hRule="atLeast"/>
          <w:jc w:val="center"/>
        </w:trPr>
        <w:tc>
          <w:tcPr>
            <w:tcW w:w="651" w:type="dxa"/>
            <w:tcBorders>
              <w:top w:val="single" w:color="auto" w:sz="4" w:space="0"/>
              <w:left w:val="single" w:color="auto" w:sz="4" w:space="0"/>
              <w:bottom w:val="single" w:color="auto" w:sz="4" w:space="0"/>
              <w:right w:val="single" w:color="auto" w:sz="4" w:space="0"/>
            </w:tcBorders>
            <w:noWrap w:val="0"/>
            <w:vAlign w:val="center"/>
          </w:tcPr>
          <w:p w14:paraId="5956D94E">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序号</w:t>
            </w:r>
          </w:p>
        </w:tc>
        <w:tc>
          <w:tcPr>
            <w:tcW w:w="1020" w:type="dxa"/>
            <w:tcBorders>
              <w:top w:val="single" w:color="auto" w:sz="4" w:space="0"/>
              <w:left w:val="nil"/>
              <w:bottom w:val="single" w:color="auto" w:sz="4" w:space="0"/>
              <w:right w:val="single" w:color="auto" w:sz="4" w:space="0"/>
            </w:tcBorders>
            <w:noWrap w:val="0"/>
            <w:vAlign w:val="center"/>
          </w:tcPr>
          <w:p w14:paraId="136E7E1B">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考核</w:t>
            </w:r>
          </w:p>
          <w:p w14:paraId="29D81AD3">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内容</w:t>
            </w:r>
          </w:p>
        </w:tc>
        <w:tc>
          <w:tcPr>
            <w:tcW w:w="718" w:type="dxa"/>
            <w:tcBorders>
              <w:top w:val="single" w:color="auto" w:sz="4" w:space="0"/>
              <w:left w:val="nil"/>
              <w:bottom w:val="single" w:color="auto" w:sz="4" w:space="0"/>
              <w:right w:val="single" w:color="auto" w:sz="4" w:space="0"/>
            </w:tcBorders>
            <w:noWrap w:val="0"/>
            <w:vAlign w:val="center"/>
          </w:tcPr>
          <w:p w14:paraId="7917053A">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分值</w:t>
            </w:r>
          </w:p>
        </w:tc>
        <w:tc>
          <w:tcPr>
            <w:tcW w:w="4847" w:type="dxa"/>
            <w:tcBorders>
              <w:top w:val="single" w:color="auto" w:sz="4" w:space="0"/>
              <w:left w:val="nil"/>
              <w:bottom w:val="single" w:color="auto" w:sz="4" w:space="0"/>
              <w:right w:val="single" w:color="auto" w:sz="4" w:space="0"/>
            </w:tcBorders>
            <w:noWrap w:val="0"/>
            <w:vAlign w:val="center"/>
          </w:tcPr>
          <w:p w14:paraId="2AC261BC">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考核具体说明</w:t>
            </w:r>
          </w:p>
        </w:tc>
        <w:tc>
          <w:tcPr>
            <w:tcW w:w="850" w:type="dxa"/>
            <w:tcBorders>
              <w:top w:val="single" w:color="auto" w:sz="4" w:space="0"/>
              <w:left w:val="nil"/>
              <w:bottom w:val="single" w:color="auto" w:sz="4" w:space="0"/>
              <w:right w:val="single" w:color="auto" w:sz="4" w:space="0"/>
            </w:tcBorders>
            <w:noWrap w:val="0"/>
            <w:vAlign w:val="center"/>
          </w:tcPr>
          <w:p w14:paraId="414519AE">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分值</w:t>
            </w:r>
          </w:p>
        </w:tc>
        <w:tc>
          <w:tcPr>
            <w:tcW w:w="878" w:type="dxa"/>
            <w:tcBorders>
              <w:top w:val="single" w:color="auto" w:sz="4" w:space="0"/>
              <w:left w:val="nil"/>
              <w:bottom w:val="single" w:color="auto" w:sz="4" w:space="0"/>
              <w:right w:val="single" w:color="auto" w:sz="4" w:space="0"/>
            </w:tcBorders>
            <w:noWrap w:val="0"/>
            <w:vAlign w:val="center"/>
          </w:tcPr>
          <w:p w14:paraId="344E5BDA">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考核</w:t>
            </w:r>
          </w:p>
          <w:p w14:paraId="23D06FB1">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得分</w:t>
            </w:r>
          </w:p>
        </w:tc>
        <w:tc>
          <w:tcPr>
            <w:tcW w:w="1374" w:type="dxa"/>
            <w:tcBorders>
              <w:top w:val="single" w:color="auto" w:sz="4" w:space="0"/>
              <w:left w:val="nil"/>
              <w:bottom w:val="single" w:color="auto" w:sz="4" w:space="0"/>
              <w:right w:val="single" w:color="auto" w:sz="4" w:space="0"/>
            </w:tcBorders>
            <w:noWrap w:val="0"/>
            <w:vAlign w:val="center"/>
          </w:tcPr>
          <w:p w14:paraId="4A4E1DA9">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评分人签字</w:t>
            </w:r>
          </w:p>
        </w:tc>
      </w:tr>
      <w:tr w14:paraId="1CC08472">
        <w:tblPrEx>
          <w:tblCellMar>
            <w:top w:w="0" w:type="dxa"/>
            <w:left w:w="108" w:type="dxa"/>
            <w:bottom w:w="0" w:type="dxa"/>
            <w:right w:w="108" w:type="dxa"/>
          </w:tblCellMar>
        </w:tblPrEx>
        <w:trPr>
          <w:trHeight w:val="1084" w:hRule="atLeast"/>
          <w:jc w:val="center"/>
        </w:trPr>
        <w:tc>
          <w:tcPr>
            <w:tcW w:w="651" w:type="dxa"/>
            <w:vMerge w:val="restart"/>
            <w:tcBorders>
              <w:top w:val="nil"/>
              <w:left w:val="single" w:color="auto" w:sz="4" w:space="0"/>
              <w:bottom w:val="single" w:color="auto" w:sz="4" w:space="0"/>
              <w:right w:val="single" w:color="auto" w:sz="4" w:space="0"/>
            </w:tcBorders>
            <w:noWrap w:val="0"/>
            <w:vAlign w:val="center"/>
          </w:tcPr>
          <w:p w14:paraId="74DF2FE0">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1020" w:type="dxa"/>
            <w:vMerge w:val="restart"/>
            <w:tcBorders>
              <w:top w:val="nil"/>
              <w:left w:val="nil"/>
              <w:bottom w:val="single" w:color="auto" w:sz="4" w:space="0"/>
              <w:right w:val="single" w:color="auto" w:sz="4" w:space="0"/>
            </w:tcBorders>
            <w:noWrap w:val="0"/>
            <w:vAlign w:val="center"/>
          </w:tcPr>
          <w:p w14:paraId="574FAA20">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工作</w:t>
            </w:r>
          </w:p>
          <w:p w14:paraId="6F8307E6">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响应</w:t>
            </w:r>
          </w:p>
          <w:p w14:paraId="0CAB4EEF">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情况</w:t>
            </w:r>
          </w:p>
        </w:tc>
        <w:tc>
          <w:tcPr>
            <w:tcW w:w="718" w:type="dxa"/>
            <w:vMerge w:val="restart"/>
            <w:tcBorders>
              <w:top w:val="nil"/>
              <w:left w:val="nil"/>
              <w:bottom w:val="single" w:color="auto" w:sz="4" w:space="0"/>
              <w:right w:val="single" w:color="auto" w:sz="4" w:space="0"/>
            </w:tcBorders>
            <w:noWrap w:val="0"/>
            <w:vAlign w:val="center"/>
          </w:tcPr>
          <w:p w14:paraId="71F99833">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30</w:t>
            </w:r>
          </w:p>
        </w:tc>
        <w:tc>
          <w:tcPr>
            <w:tcW w:w="4847" w:type="dxa"/>
            <w:tcBorders>
              <w:top w:val="nil"/>
              <w:left w:val="nil"/>
              <w:bottom w:val="single" w:color="auto" w:sz="4" w:space="0"/>
              <w:right w:val="single" w:color="auto" w:sz="4" w:space="0"/>
            </w:tcBorders>
            <w:noWrap w:val="0"/>
            <w:vAlign w:val="center"/>
          </w:tcPr>
          <w:p w14:paraId="796C7C21">
            <w:pPr>
              <w:widowControl/>
              <w:rPr>
                <w:rFonts w:hint="eastAsia" w:ascii="宋体" w:hAnsi="宋体" w:eastAsia="宋体" w:cs="宋体"/>
                <w:sz w:val="21"/>
                <w:szCs w:val="21"/>
                <w:highlight w:val="none"/>
              </w:rPr>
            </w:pPr>
            <w:r>
              <w:rPr>
                <w:rFonts w:hint="eastAsia" w:ascii="宋体" w:hAnsi="宋体" w:eastAsia="宋体" w:cs="宋体"/>
                <w:sz w:val="21"/>
                <w:szCs w:val="21"/>
                <w:highlight w:val="none"/>
              </w:rPr>
              <w:t>1.服务单位积极响应外运服务工作，严格按照污泥接收计划开展外运服务工作，未出现因服务单位原因影响污泥减量单位生产，污泥减量单位评定污泥外运服务非常及时得15分，污泥外运服务相对及时得10分，污泥外运服务不及时得0分。</w:t>
            </w:r>
          </w:p>
        </w:tc>
        <w:tc>
          <w:tcPr>
            <w:tcW w:w="850" w:type="dxa"/>
            <w:tcBorders>
              <w:top w:val="nil"/>
              <w:left w:val="nil"/>
              <w:bottom w:val="single" w:color="auto" w:sz="4" w:space="0"/>
              <w:right w:val="single" w:color="auto" w:sz="4" w:space="0"/>
            </w:tcBorders>
            <w:noWrap w:val="0"/>
            <w:vAlign w:val="center"/>
          </w:tcPr>
          <w:p w14:paraId="7054EB12">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15</w:t>
            </w:r>
          </w:p>
        </w:tc>
        <w:tc>
          <w:tcPr>
            <w:tcW w:w="878" w:type="dxa"/>
            <w:tcBorders>
              <w:top w:val="nil"/>
              <w:left w:val="nil"/>
              <w:bottom w:val="single" w:color="auto" w:sz="4" w:space="0"/>
              <w:right w:val="single" w:color="auto" w:sz="4" w:space="0"/>
            </w:tcBorders>
            <w:noWrap w:val="0"/>
            <w:vAlign w:val="center"/>
          </w:tcPr>
          <w:p w14:paraId="124012A4">
            <w:pPr>
              <w:widowControl/>
              <w:jc w:val="center"/>
              <w:rPr>
                <w:rFonts w:hint="eastAsia" w:ascii="宋体" w:hAnsi="宋体" w:eastAsia="宋体" w:cs="宋体"/>
                <w:sz w:val="21"/>
                <w:szCs w:val="21"/>
                <w:highlight w:val="none"/>
              </w:rPr>
            </w:pPr>
          </w:p>
        </w:tc>
        <w:tc>
          <w:tcPr>
            <w:tcW w:w="1374" w:type="dxa"/>
            <w:tcBorders>
              <w:top w:val="nil"/>
              <w:left w:val="nil"/>
              <w:bottom w:val="single" w:color="auto" w:sz="4" w:space="0"/>
              <w:right w:val="single" w:color="auto" w:sz="4" w:space="0"/>
            </w:tcBorders>
            <w:noWrap w:val="0"/>
            <w:vAlign w:val="center"/>
          </w:tcPr>
          <w:p w14:paraId="15303B40">
            <w:pPr>
              <w:widowControl/>
              <w:jc w:val="center"/>
              <w:rPr>
                <w:rFonts w:hint="eastAsia" w:ascii="宋体" w:hAnsi="宋体" w:eastAsia="宋体" w:cs="宋体"/>
                <w:sz w:val="21"/>
                <w:szCs w:val="21"/>
                <w:highlight w:val="none"/>
              </w:rPr>
            </w:pPr>
          </w:p>
        </w:tc>
      </w:tr>
      <w:tr w14:paraId="675F8A41">
        <w:tblPrEx>
          <w:tblCellMar>
            <w:top w:w="0" w:type="dxa"/>
            <w:left w:w="108" w:type="dxa"/>
            <w:bottom w:w="0" w:type="dxa"/>
            <w:right w:w="108" w:type="dxa"/>
          </w:tblCellMar>
        </w:tblPrEx>
        <w:trPr>
          <w:trHeight w:val="1110" w:hRule="atLeast"/>
          <w:jc w:val="center"/>
        </w:trPr>
        <w:tc>
          <w:tcPr>
            <w:tcW w:w="651" w:type="dxa"/>
            <w:vMerge w:val="continue"/>
            <w:tcBorders>
              <w:left w:val="single" w:color="auto" w:sz="4" w:space="0"/>
              <w:bottom w:val="single" w:color="auto" w:sz="4" w:space="0"/>
              <w:right w:val="single" w:color="auto" w:sz="4" w:space="0"/>
            </w:tcBorders>
            <w:noWrap w:val="0"/>
            <w:vAlign w:val="center"/>
          </w:tcPr>
          <w:p w14:paraId="5CDF8B74">
            <w:pPr>
              <w:widowControl/>
              <w:jc w:val="center"/>
              <w:rPr>
                <w:rFonts w:hint="eastAsia" w:ascii="宋体" w:hAnsi="宋体" w:eastAsia="宋体" w:cs="宋体"/>
                <w:sz w:val="21"/>
                <w:szCs w:val="21"/>
                <w:highlight w:val="none"/>
              </w:rPr>
            </w:pPr>
          </w:p>
        </w:tc>
        <w:tc>
          <w:tcPr>
            <w:tcW w:w="1020" w:type="dxa"/>
            <w:vMerge w:val="continue"/>
            <w:tcBorders>
              <w:left w:val="nil"/>
              <w:bottom w:val="single" w:color="auto" w:sz="4" w:space="0"/>
              <w:right w:val="single" w:color="auto" w:sz="4" w:space="0"/>
            </w:tcBorders>
            <w:noWrap w:val="0"/>
            <w:vAlign w:val="center"/>
          </w:tcPr>
          <w:p w14:paraId="07F4FD8E">
            <w:pPr>
              <w:widowControl/>
              <w:jc w:val="center"/>
              <w:rPr>
                <w:rFonts w:hint="eastAsia" w:ascii="宋体" w:hAnsi="宋体" w:eastAsia="宋体" w:cs="宋体"/>
                <w:sz w:val="21"/>
                <w:szCs w:val="21"/>
                <w:highlight w:val="none"/>
              </w:rPr>
            </w:pPr>
          </w:p>
        </w:tc>
        <w:tc>
          <w:tcPr>
            <w:tcW w:w="718" w:type="dxa"/>
            <w:vMerge w:val="continue"/>
            <w:tcBorders>
              <w:left w:val="nil"/>
              <w:bottom w:val="single" w:color="auto" w:sz="4" w:space="0"/>
              <w:right w:val="single" w:color="auto" w:sz="4" w:space="0"/>
            </w:tcBorders>
            <w:noWrap w:val="0"/>
            <w:vAlign w:val="center"/>
          </w:tcPr>
          <w:p w14:paraId="6DEA73F6">
            <w:pPr>
              <w:widowControl/>
              <w:jc w:val="center"/>
              <w:rPr>
                <w:rFonts w:hint="eastAsia" w:ascii="宋体" w:hAnsi="宋体" w:eastAsia="宋体" w:cs="宋体"/>
                <w:sz w:val="21"/>
                <w:szCs w:val="21"/>
                <w:highlight w:val="none"/>
              </w:rPr>
            </w:pPr>
          </w:p>
        </w:tc>
        <w:tc>
          <w:tcPr>
            <w:tcW w:w="4847" w:type="dxa"/>
            <w:tcBorders>
              <w:top w:val="nil"/>
              <w:left w:val="nil"/>
              <w:bottom w:val="single" w:color="auto" w:sz="4" w:space="0"/>
              <w:right w:val="single" w:color="auto" w:sz="4" w:space="0"/>
            </w:tcBorders>
            <w:noWrap w:val="0"/>
            <w:vAlign w:val="center"/>
          </w:tcPr>
          <w:p w14:paraId="44661A5D">
            <w:pPr>
              <w:widowControl/>
              <w:rPr>
                <w:rFonts w:hint="eastAsia" w:ascii="宋体" w:hAnsi="宋体" w:eastAsia="宋体" w:cs="宋体"/>
                <w:sz w:val="21"/>
                <w:szCs w:val="21"/>
                <w:highlight w:val="none"/>
              </w:rPr>
            </w:pPr>
            <w:r>
              <w:rPr>
                <w:rFonts w:hint="eastAsia" w:ascii="宋体" w:hAnsi="宋体" w:eastAsia="宋体" w:cs="宋体"/>
                <w:sz w:val="21"/>
                <w:szCs w:val="21"/>
                <w:highlight w:val="none"/>
              </w:rPr>
              <w:t>2.服务单位接收众源公司分配的污泥能在两个月内完成处置工作得15分，在三个月内完成众源公司分配污泥处置工作得10分，超过三个月仍未完成众源公司分配的污泥处置工作得0分。</w:t>
            </w:r>
          </w:p>
        </w:tc>
        <w:tc>
          <w:tcPr>
            <w:tcW w:w="850" w:type="dxa"/>
            <w:tcBorders>
              <w:top w:val="nil"/>
              <w:left w:val="nil"/>
              <w:bottom w:val="single" w:color="auto" w:sz="4" w:space="0"/>
              <w:right w:val="single" w:color="auto" w:sz="4" w:space="0"/>
            </w:tcBorders>
            <w:noWrap w:val="0"/>
            <w:vAlign w:val="center"/>
          </w:tcPr>
          <w:p w14:paraId="09D1198F">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15</w:t>
            </w:r>
          </w:p>
        </w:tc>
        <w:tc>
          <w:tcPr>
            <w:tcW w:w="878" w:type="dxa"/>
            <w:tcBorders>
              <w:top w:val="nil"/>
              <w:left w:val="nil"/>
              <w:bottom w:val="single" w:color="auto" w:sz="4" w:space="0"/>
              <w:right w:val="single" w:color="auto" w:sz="4" w:space="0"/>
            </w:tcBorders>
            <w:noWrap w:val="0"/>
            <w:vAlign w:val="center"/>
          </w:tcPr>
          <w:p w14:paraId="5B32DF6C">
            <w:pPr>
              <w:widowControl/>
              <w:jc w:val="center"/>
              <w:rPr>
                <w:rFonts w:hint="eastAsia" w:ascii="宋体" w:hAnsi="宋体" w:eastAsia="宋体" w:cs="宋体"/>
                <w:sz w:val="21"/>
                <w:szCs w:val="21"/>
                <w:highlight w:val="none"/>
              </w:rPr>
            </w:pPr>
          </w:p>
        </w:tc>
        <w:tc>
          <w:tcPr>
            <w:tcW w:w="1374" w:type="dxa"/>
            <w:tcBorders>
              <w:top w:val="nil"/>
              <w:left w:val="nil"/>
              <w:bottom w:val="single" w:color="auto" w:sz="4" w:space="0"/>
              <w:right w:val="single" w:color="auto" w:sz="4" w:space="0"/>
            </w:tcBorders>
            <w:noWrap w:val="0"/>
            <w:vAlign w:val="center"/>
          </w:tcPr>
          <w:p w14:paraId="2E81C0EB">
            <w:pPr>
              <w:widowControl/>
              <w:jc w:val="center"/>
              <w:rPr>
                <w:rFonts w:hint="eastAsia" w:ascii="宋体" w:hAnsi="宋体" w:eastAsia="宋体" w:cs="宋体"/>
                <w:sz w:val="21"/>
                <w:szCs w:val="21"/>
                <w:highlight w:val="none"/>
              </w:rPr>
            </w:pPr>
          </w:p>
        </w:tc>
      </w:tr>
      <w:tr w14:paraId="69620DB5">
        <w:tblPrEx>
          <w:tblCellMar>
            <w:top w:w="0" w:type="dxa"/>
            <w:left w:w="108" w:type="dxa"/>
            <w:bottom w:w="0" w:type="dxa"/>
            <w:right w:w="108" w:type="dxa"/>
          </w:tblCellMar>
        </w:tblPrEx>
        <w:trPr>
          <w:trHeight w:val="1059" w:hRule="atLeast"/>
          <w:jc w:val="center"/>
        </w:trPr>
        <w:tc>
          <w:tcPr>
            <w:tcW w:w="651" w:type="dxa"/>
            <w:vMerge w:val="restart"/>
            <w:tcBorders>
              <w:top w:val="single" w:color="auto" w:sz="4" w:space="0"/>
              <w:left w:val="single" w:color="auto" w:sz="4" w:space="0"/>
              <w:bottom w:val="single" w:color="auto" w:sz="4" w:space="0"/>
              <w:right w:val="single" w:color="auto" w:sz="4" w:space="0"/>
            </w:tcBorders>
            <w:noWrap w:val="0"/>
            <w:vAlign w:val="center"/>
          </w:tcPr>
          <w:p w14:paraId="6AB0BE6C">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1020" w:type="dxa"/>
            <w:vMerge w:val="restart"/>
            <w:tcBorders>
              <w:top w:val="single" w:color="auto" w:sz="4" w:space="0"/>
              <w:left w:val="single" w:color="auto" w:sz="4" w:space="0"/>
              <w:bottom w:val="single" w:color="auto" w:sz="4" w:space="0"/>
              <w:right w:val="single" w:color="auto" w:sz="4" w:space="0"/>
            </w:tcBorders>
            <w:noWrap w:val="0"/>
            <w:vAlign w:val="center"/>
          </w:tcPr>
          <w:p w14:paraId="7B1007CD">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污泥</w:t>
            </w:r>
          </w:p>
          <w:p w14:paraId="6289DD1B">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储存</w:t>
            </w:r>
          </w:p>
          <w:p w14:paraId="01538F68">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与处</w:t>
            </w:r>
          </w:p>
          <w:p w14:paraId="1F60CD6B">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置情</w:t>
            </w:r>
          </w:p>
          <w:p w14:paraId="67875010">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况</w:t>
            </w:r>
          </w:p>
        </w:tc>
        <w:tc>
          <w:tcPr>
            <w:tcW w:w="718" w:type="dxa"/>
            <w:vMerge w:val="restart"/>
            <w:tcBorders>
              <w:top w:val="single" w:color="auto" w:sz="4" w:space="0"/>
              <w:left w:val="single" w:color="auto" w:sz="4" w:space="0"/>
              <w:bottom w:val="single" w:color="auto" w:sz="4" w:space="0"/>
              <w:right w:val="single" w:color="auto" w:sz="4" w:space="0"/>
            </w:tcBorders>
            <w:noWrap w:val="0"/>
            <w:vAlign w:val="center"/>
          </w:tcPr>
          <w:p w14:paraId="67E567D5">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15</w:t>
            </w:r>
          </w:p>
        </w:tc>
        <w:tc>
          <w:tcPr>
            <w:tcW w:w="4847" w:type="dxa"/>
            <w:tcBorders>
              <w:top w:val="nil"/>
              <w:left w:val="nil"/>
              <w:bottom w:val="single" w:color="auto" w:sz="4" w:space="0"/>
              <w:right w:val="single" w:color="auto" w:sz="4" w:space="0"/>
            </w:tcBorders>
            <w:noWrap w:val="0"/>
            <w:vAlign w:val="center"/>
          </w:tcPr>
          <w:p w14:paraId="2ECE3E5D">
            <w:pPr>
              <w:widowControl/>
              <w:rPr>
                <w:rFonts w:hint="eastAsia" w:ascii="宋体" w:hAnsi="宋体" w:eastAsia="宋体" w:cs="宋体"/>
                <w:sz w:val="21"/>
                <w:szCs w:val="21"/>
                <w:highlight w:val="none"/>
              </w:rPr>
            </w:pPr>
            <w:r>
              <w:rPr>
                <w:rFonts w:hint="eastAsia" w:ascii="宋体" w:hAnsi="宋体" w:eastAsia="宋体" w:cs="宋体"/>
                <w:sz w:val="21"/>
                <w:szCs w:val="21"/>
                <w:highlight w:val="none"/>
              </w:rPr>
              <w:t>1.服务单位污泥储存仓独立存放东莞市污泥，能清晰辨认东莞市污泥得5分，污泥储存仓未独立存放或未能清晰辨认东莞市污泥得0分。</w:t>
            </w:r>
          </w:p>
        </w:tc>
        <w:tc>
          <w:tcPr>
            <w:tcW w:w="850" w:type="dxa"/>
            <w:tcBorders>
              <w:top w:val="nil"/>
              <w:left w:val="nil"/>
              <w:bottom w:val="single" w:color="auto" w:sz="4" w:space="0"/>
              <w:right w:val="single" w:color="auto" w:sz="4" w:space="0"/>
            </w:tcBorders>
            <w:noWrap w:val="0"/>
            <w:vAlign w:val="center"/>
          </w:tcPr>
          <w:p w14:paraId="4212157E">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878" w:type="dxa"/>
            <w:tcBorders>
              <w:top w:val="nil"/>
              <w:left w:val="nil"/>
              <w:bottom w:val="single" w:color="auto" w:sz="4" w:space="0"/>
              <w:right w:val="single" w:color="auto" w:sz="4" w:space="0"/>
            </w:tcBorders>
            <w:noWrap w:val="0"/>
            <w:vAlign w:val="center"/>
          </w:tcPr>
          <w:p w14:paraId="71037B69">
            <w:pPr>
              <w:widowControl/>
              <w:jc w:val="center"/>
              <w:rPr>
                <w:rFonts w:hint="eastAsia" w:ascii="宋体" w:hAnsi="宋体" w:eastAsia="宋体" w:cs="宋体"/>
                <w:sz w:val="21"/>
                <w:szCs w:val="21"/>
                <w:highlight w:val="none"/>
              </w:rPr>
            </w:pPr>
          </w:p>
        </w:tc>
        <w:tc>
          <w:tcPr>
            <w:tcW w:w="1374" w:type="dxa"/>
            <w:tcBorders>
              <w:top w:val="nil"/>
              <w:left w:val="nil"/>
              <w:bottom w:val="single" w:color="auto" w:sz="4" w:space="0"/>
              <w:right w:val="single" w:color="auto" w:sz="4" w:space="0"/>
            </w:tcBorders>
            <w:noWrap w:val="0"/>
            <w:vAlign w:val="center"/>
          </w:tcPr>
          <w:p w14:paraId="59FBFC9A">
            <w:pPr>
              <w:widowControl/>
              <w:jc w:val="center"/>
              <w:rPr>
                <w:rFonts w:hint="eastAsia" w:ascii="宋体" w:hAnsi="宋体" w:eastAsia="宋体" w:cs="宋体"/>
                <w:sz w:val="21"/>
                <w:szCs w:val="21"/>
                <w:highlight w:val="none"/>
              </w:rPr>
            </w:pPr>
          </w:p>
        </w:tc>
      </w:tr>
      <w:tr w14:paraId="1832B0DD">
        <w:tblPrEx>
          <w:tblCellMar>
            <w:top w:w="0" w:type="dxa"/>
            <w:left w:w="108" w:type="dxa"/>
            <w:bottom w:w="0" w:type="dxa"/>
            <w:right w:w="108" w:type="dxa"/>
          </w:tblCellMar>
        </w:tblPrEx>
        <w:trPr>
          <w:trHeight w:val="923" w:hRule="atLeast"/>
          <w:jc w:val="center"/>
        </w:trPr>
        <w:tc>
          <w:tcPr>
            <w:tcW w:w="651" w:type="dxa"/>
            <w:vMerge w:val="continue"/>
            <w:tcBorders>
              <w:top w:val="single" w:color="auto" w:sz="4" w:space="0"/>
              <w:left w:val="single" w:color="auto" w:sz="4" w:space="0"/>
              <w:bottom w:val="single" w:color="auto" w:sz="4" w:space="0"/>
              <w:right w:val="single" w:color="auto" w:sz="4" w:space="0"/>
            </w:tcBorders>
            <w:noWrap w:val="0"/>
            <w:vAlign w:val="center"/>
          </w:tcPr>
          <w:p w14:paraId="61CDF99A">
            <w:pPr>
              <w:widowControl/>
              <w:jc w:val="center"/>
              <w:rPr>
                <w:rFonts w:hint="eastAsia" w:ascii="宋体" w:hAnsi="宋体" w:eastAsia="宋体" w:cs="宋体"/>
                <w:sz w:val="21"/>
                <w:szCs w:val="21"/>
                <w:highlight w:val="none"/>
              </w:rPr>
            </w:pPr>
          </w:p>
        </w:tc>
        <w:tc>
          <w:tcPr>
            <w:tcW w:w="1020" w:type="dxa"/>
            <w:vMerge w:val="continue"/>
            <w:tcBorders>
              <w:top w:val="single" w:color="auto" w:sz="4" w:space="0"/>
              <w:left w:val="nil"/>
              <w:bottom w:val="single" w:color="auto" w:sz="4" w:space="0"/>
              <w:right w:val="single" w:color="auto" w:sz="4" w:space="0"/>
            </w:tcBorders>
            <w:noWrap w:val="0"/>
            <w:vAlign w:val="center"/>
          </w:tcPr>
          <w:p w14:paraId="1875CC1E">
            <w:pPr>
              <w:widowControl/>
              <w:jc w:val="center"/>
              <w:rPr>
                <w:rFonts w:hint="eastAsia" w:ascii="宋体" w:hAnsi="宋体" w:eastAsia="宋体" w:cs="宋体"/>
                <w:sz w:val="21"/>
                <w:szCs w:val="21"/>
                <w:highlight w:val="none"/>
              </w:rPr>
            </w:pPr>
          </w:p>
        </w:tc>
        <w:tc>
          <w:tcPr>
            <w:tcW w:w="718" w:type="dxa"/>
            <w:vMerge w:val="continue"/>
            <w:tcBorders>
              <w:top w:val="single" w:color="auto" w:sz="4" w:space="0"/>
              <w:left w:val="nil"/>
              <w:bottom w:val="single" w:color="auto" w:sz="4" w:space="0"/>
              <w:right w:val="single" w:color="auto" w:sz="4" w:space="0"/>
            </w:tcBorders>
            <w:noWrap w:val="0"/>
            <w:vAlign w:val="center"/>
          </w:tcPr>
          <w:p w14:paraId="40F105F7">
            <w:pPr>
              <w:widowControl/>
              <w:jc w:val="center"/>
              <w:rPr>
                <w:rFonts w:hint="eastAsia" w:ascii="宋体" w:hAnsi="宋体" w:eastAsia="宋体" w:cs="宋体"/>
                <w:sz w:val="21"/>
                <w:szCs w:val="21"/>
                <w:highlight w:val="none"/>
              </w:rPr>
            </w:pPr>
          </w:p>
        </w:tc>
        <w:tc>
          <w:tcPr>
            <w:tcW w:w="4847" w:type="dxa"/>
            <w:tcBorders>
              <w:top w:val="nil"/>
              <w:left w:val="nil"/>
              <w:bottom w:val="single" w:color="auto" w:sz="4" w:space="0"/>
              <w:right w:val="single" w:color="auto" w:sz="4" w:space="0"/>
            </w:tcBorders>
            <w:noWrap w:val="0"/>
            <w:vAlign w:val="center"/>
          </w:tcPr>
          <w:p w14:paraId="4DD9FEDE">
            <w:pPr>
              <w:widowControl/>
              <w:rPr>
                <w:rFonts w:hint="eastAsia" w:ascii="宋体" w:hAnsi="宋体" w:eastAsia="宋体" w:cs="宋体"/>
                <w:sz w:val="21"/>
                <w:szCs w:val="21"/>
                <w:highlight w:val="none"/>
              </w:rPr>
            </w:pPr>
            <w:r>
              <w:rPr>
                <w:rFonts w:hint="eastAsia" w:ascii="宋体" w:hAnsi="宋体" w:eastAsia="宋体" w:cs="宋体"/>
                <w:sz w:val="21"/>
                <w:szCs w:val="21"/>
                <w:highlight w:val="none"/>
              </w:rPr>
              <w:t>2.服务单位污泥储存仓完成全部密闭和硬底化得5分，污泥储存仓完成未全部密闭和硬底化得0分。</w:t>
            </w:r>
          </w:p>
        </w:tc>
        <w:tc>
          <w:tcPr>
            <w:tcW w:w="850" w:type="dxa"/>
            <w:tcBorders>
              <w:top w:val="nil"/>
              <w:left w:val="nil"/>
              <w:bottom w:val="single" w:color="auto" w:sz="4" w:space="0"/>
              <w:right w:val="single" w:color="auto" w:sz="4" w:space="0"/>
            </w:tcBorders>
            <w:noWrap w:val="0"/>
            <w:vAlign w:val="center"/>
          </w:tcPr>
          <w:p w14:paraId="51CA531A">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878" w:type="dxa"/>
            <w:tcBorders>
              <w:top w:val="nil"/>
              <w:left w:val="nil"/>
              <w:bottom w:val="single" w:color="auto" w:sz="4" w:space="0"/>
              <w:right w:val="single" w:color="auto" w:sz="4" w:space="0"/>
            </w:tcBorders>
            <w:noWrap w:val="0"/>
            <w:vAlign w:val="center"/>
          </w:tcPr>
          <w:p w14:paraId="3A528D33">
            <w:pPr>
              <w:widowControl/>
              <w:jc w:val="center"/>
              <w:rPr>
                <w:rFonts w:hint="eastAsia" w:ascii="宋体" w:hAnsi="宋体" w:eastAsia="宋体" w:cs="宋体"/>
                <w:sz w:val="21"/>
                <w:szCs w:val="21"/>
                <w:highlight w:val="none"/>
              </w:rPr>
            </w:pPr>
          </w:p>
        </w:tc>
        <w:tc>
          <w:tcPr>
            <w:tcW w:w="1374" w:type="dxa"/>
            <w:tcBorders>
              <w:top w:val="nil"/>
              <w:left w:val="nil"/>
              <w:bottom w:val="single" w:color="auto" w:sz="4" w:space="0"/>
              <w:right w:val="single" w:color="auto" w:sz="4" w:space="0"/>
            </w:tcBorders>
            <w:noWrap w:val="0"/>
            <w:vAlign w:val="center"/>
          </w:tcPr>
          <w:p w14:paraId="19AA2C1B">
            <w:pPr>
              <w:widowControl/>
              <w:jc w:val="center"/>
              <w:rPr>
                <w:rFonts w:hint="eastAsia" w:ascii="宋体" w:hAnsi="宋体" w:eastAsia="宋体" w:cs="宋体"/>
                <w:sz w:val="21"/>
                <w:szCs w:val="21"/>
                <w:highlight w:val="none"/>
              </w:rPr>
            </w:pPr>
          </w:p>
        </w:tc>
      </w:tr>
      <w:tr w14:paraId="095EF0D8">
        <w:tblPrEx>
          <w:tblCellMar>
            <w:top w:w="0" w:type="dxa"/>
            <w:left w:w="108" w:type="dxa"/>
            <w:bottom w:w="0" w:type="dxa"/>
            <w:right w:w="108" w:type="dxa"/>
          </w:tblCellMar>
        </w:tblPrEx>
        <w:trPr>
          <w:trHeight w:val="966" w:hRule="atLeast"/>
          <w:jc w:val="center"/>
        </w:trPr>
        <w:tc>
          <w:tcPr>
            <w:tcW w:w="651" w:type="dxa"/>
            <w:vMerge w:val="continue"/>
            <w:tcBorders>
              <w:top w:val="single" w:color="auto" w:sz="4" w:space="0"/>
              <w:left w:val="single" w:color="auto" w:sz="4" w:space="0"/>
              <w:bottom w:val="single" w:color="auto" w:sz="4" w:space="0"/>
              <w:right w:val="single" w:color="auto" w:sz="4" w:space="0"/>
            </w:tcBorders>
            <w:noWrap w:val="0"/>
            <w:vAlign w:val="center"/>
          </w:tcPr>
          <w:p w14:paraId="77DF1BDF">
            <w:pPr>
              <w:widowControl/>
              <w:jc w:val="center"/>
              <w:rPr>
                <w:rFonts w:hint="eastAsia" w:ascii="宋体" w:hAnsi="宋体" w:eastAsia="宋体" w:cs="宋体"/>
                <w:sz w:val="21"/>
                <w:szCs w:val="21"/>
                <w:highlight w:val="none"/>
              </w:rPr>
            </w:pPr>
          </w:p>
        </w:tc>
        <w:tc>
          <w:tcPr>
            <w:tcW w:w="1020" w:type="dxa"/>
            <w:vMerge w:val="continue"/>
            <w:tcBorders>
              <w:top w:val="single" w:color="auto" w:sz="4" w:space="0"/>
              <w:left w:val="nil"/>
              <w:bottom w:val="single" w:color="auto" w:sz="4" w:space="0"/>
              <w:right w:val="single" w:color="auto" w:sz="4" w:space="0"/>
            </w:tcBorders>
            <w:noWrap w:val="0"/>
            <w:vAlign w:val="center"/>
          </w:tcPr>
          <w:p w14:paraId="26376519">
            <w:pPr>
              <w:widowControl/>
              <w:jc w:val="center"/>
              <w:rPr>
                <w:rFonts w:hint="eastAsia" w:ascii="宋体" w:hAnsi="宋体" w:eastAsia="宋体" w:cs="宋体"/>
                <w:sz w:val="21"/>
                <w:szCs w:val="21"/>
                <w:highlight w:val="none"/>
              </w:rPr>
            </w:pPr>
          </w:p>
        </w:tc>
        <w:tc>
          <w:tcPr>
            <w:tcW w:w="718" w:type="dxa"/>
            <w:vMerge w:val="continue"/>
            <w:tcBorders>
              <w:top w:val="single" w:color="auto" w:sz="4" w:space="0"/>
              <w:left w:val="nil"/>
              <w:bottom w:val="single" w:color="auto" w:sz="4" w:space="0"/>
              <w:right w:val="single" w:color="auto" w:sz="4" w:space="0"/>
            </w:tcBorders>
            <w:noWrap w:val="0"/>
            <w:vAlign w:val="center"/>
          </w:tcPr>
          <w:p w14:paraId="3F8B502C">
            <w:pPr>
              <w:widowControl/>
              <w:jc w:val="center"/>
              <w:rPr>
                <w:rFonts w:hint="eastAsia" w:ascii="宋体" w:hAnsi="宋体" w:eastAsia="宋体" w:cs="宋体"/>
                <w:sz w:val="21"/>
                <w:szCs w:val="21"/>
                <w:highlight w:val="none"/>
              </w:rPr>
            </w:pPr>
          </w:p>
        </w:tc>
        <w:tc>
          <w:tcPr>
            <w:tcW w:w="4847" w:type="dxa"/>
            <w:tcBorders>
              <w:top w:val="nil"/>
              <w:left w:val="nil"/>
              <w:bottom w:val="single" w:color="auto" w:sz="4" w:space="0"/>
              <w:right w:val="single" w:color="auto" w:sz="4" w:space="0"/>
            </w:tcBorders>
            <w:noWrap w:val="0"/>
            <w:vAlign w:val="center"/>
          </w:tcPr>
          <w:p w14:paraId="6A5CB5E2">
            <w:pPr>
              <w:widowControl/>
              <w:rPr>
                <w:rFonts w:hint="eastAsia" w:ascii="宋体" w:hAnsi="宋体" w:eastAsia="宋体" w:cs="宋体"/>
                <w:sz w:val="21"/>
                <w:szCs w:val="21"/>
                <w:highlight w:val="none"/>
              </w:rPr>
            </w:pPr>
            <w:r>
              <w:rPr>
                <w:rFonts w:hint="eastAsia" w:ascii="宋体" w:hAnsi="宋体" w:eastAsia="宋体" w:cs="宋体"/>
                <w:sz w:val="21"/>
                <w:szCs w:val="21"/>
                <w:highlight w:val="none"/>
              </w:rPr>
              <w:t>3.服务单位污泥处置及生产设备定期进行维护保养并能提供相关佐证材料得5分，未进行定期维护保养或未能提供佐证材料得0分。</w:t>
            </w:r>
          </w:p>
        </w:tc>
        <w:tc>
          <w:tcPr>
            <w:tcW w:w="850" w:type="dxa"/>
            <w:tcBorders>
              <w:top w:val="nil"/>
              <w:left w:val="nil"/>
              <w:bottom w:val="single" w:color="auto" w:sz="4" w:space="0"/>
              <w:right w:val="single" w:color="auto" w:sz="4" w:space="0"/>
            </w:tcBorders>
            <w:noWrap w:val="0"/>
            <w:vAlign w:val="center"/>
          </w:tcPr>
          <w:p w14:paraId="535D64B8">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878" w:type="dxa"/>
            <w:tcBorders>
              <w:top w:val="nil"/>
              <w:left w:val="nil"/>
              <w:bottom w:val="single" w:color="auto" w:sz="4" w:space="0"/>
              <w:right w:val="single" w:color="auto" w:sz="4" w:space="0"/>
            </w:tcBorders>
            <w:noWrap w:val="0"/>
            <w:vAlign w:val="center"/>
          </w:tcPr>
          <w:p w14:paraId="48570986">
            <w:pPr>
              <w:widowControl/>
              <w:jc w:val="center"/>
              <w:rPr>
                <w:rFonts w:hint="eastAsia" w:ascii="宋体" w:hAnsi="宋体" w:eastAsia="宋体" w:cs="宋体"/>
                <w:sz w:val="21"/>
                <w:szCs w:val="21"/>
                <w:highlight w:val="none"/>
              </w:rPr>
            </w:pPr>
          </w:p>
        </w:tc>
        <w:tc>
          <w:tcPr>
            <w:tcW w:w="1374" w:type="dxa"/>
            <w:tcBorders>
              <w:top w:val="nil"/>
              <w:left w:val="nil"/>
              <w:bottom w:val="single" w:color="auto" w:sz="4" w:space="0"/>
              <w:right w:val="single" w:color="auto" w:sz="4" w:space="0"/>
            </w:tcBorders>
            <w:noWrap w:val="0"/>
            <w:vAlign w:val="center"/>
          </w:tcPr>
          <w:p w14:paraId="0E925A7E">
            <w:pPr>
              <w:widowControl/>
              <w:jc w:val="center"/>
              <w:rPr>
                <w:rFonts w:hint="eastAsia" w:ascii="宋体" w:hAnsi="宋体" w:eastAsia="宋体" w:cs="宋体"/>
                <w:sz w:val="21"/>
                <w:szCs w:val="21"/>
                <w:highlight w:val="none"/>
              </w:rPr>
            </w:pPr>
          </w:p>
        </w:tc>
      </w:tr>
      <w:tr w14:paraId="6619705B">
        <w:tblPrEx>
          <w:tblCellMar>
            <w:top w:w="0" w:type="dxa"/>
            <w:left w:w="108" w:type="dxa"/>
            <w:bottom w:w="0" w:type="dxa"/>
            <w:right w:w="108" w:type="dxa"/>
          </w:tblCellMar>
        </w:tblPrEx>
        <w:trPr>
          <w:trHeight w:val="1385" w:hRule="atLeast"/>
          <w:jc w:val="center"/>
        </w:trPr>
        <w:tc>
          <w:tcPr>
            <w:tcW w:w="651" w:type="dxa"/>
            <w:vMerge w:val="restart"/>
            <w:tcBorders>
              <w:top w:val="single" w:color="auto" w:sz="4" w:space="0"/>
              <w:left w:val="single" w:color="auto" w:sz="4" w:space="0"/>
              <w:bottom w:val="single" w:color="auto" w:sz="4" w:space="0"/>
              <w:right w:val="single" w:color="auto" w:sz="4" w:space="0"/>
            </w:tcBorders>
            <w:noWrap w:val="0"/>
            <w:vAlign w:val="center"/>
          </w:tcPr>
          <w:p w14:paraId="741BE6CA">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1020" w:type="dxa"/>
            <w:vMerge w:val="restart"/>
            <w:tcBorders>
              <w:top w:val="single" w:color="auto" w:sz="4" w:space="0"/>
              <w:left w:val="nil"/>
              <w:bottom w:val="single" w:color="auto" w:sz="4" w:space="0"/>
              <w:right w:val="single" w:color="auto" w:sz="4" w:space="0"/>
            </w:tcBorders>
            <w:noWrap w:val="0"/>
            <w:vAlign w:val="center"/>
          </w:tcPr>
          <w:p w14:paraId="64B748FE">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台账</w:t>
            </w:r>
          </w:p>
          <w:p w14:paraId="1801DE94">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资料</w:t>
            </w:r>
          </w:p>
          <w:p w14:paraId="38611017">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质量  情况</w:t>
            </w:r>
          </w:p>
        </w:tc>
        <w:tc>
          <w:tcPr>
            <w:tcW w:w="718" w:type="dxa"/>
            <w:vMerge w:val="restart"/>
            <w:tcBorders>
              <w:top w:val="single" w:color="auto" w:sz="4" w:space="0"/>
              <w:left w:val="nil"/>
              <w:bottom w:val="single" w:color="auto" w:sz="4" w:space="0"/>
              <w:right w:val="single" w:color="auto" w:sz="4" w:space="0"/>
            </w:tcBorders>
            <w:noWrap w:val="0"/>
            <w:vAlign w:val="center"/>
          </w:tcPr>
          <w:p w14:paraId="0F98AADE">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20</w:t>
            </w:r>
          </w:p>
        </w:tc>
        <w:tc>
          <w:tcPr>
            <w:tcW w:w="4847" w:type="dxa"/>
            <w:tcBorders>
              <w:top w:val="nil"/>
              <w:left w:val="nil"/>
              <w:bottom w:val="single" w:color="auto" w:sz="4" w:space="0"/>
              <w:right w:val="single" w:color="auto" w:sz="4" w:space="0"/>
            </w:tcBorders>
            <w:noWrap w:val="0"/>
            <w:vAlign w:val="center"/>
          </w:tcPr>
          <w:p w14:paraId="6A310981">
            <w:pPr>
              <w:widowControl/>
              <w:rPr>
                <w:rFonts w:hint="eastAsia" w:ascii="宋体" w:hAnsi="宋体" w:eastAsia="宋体" w:cs="宋体"/>
                <w:sz w:val="21"/>
                <w:szCs w:val="21"/>
                <w:highlight w:val="none"/>
              </w:rPr>
            </w:pPr>
            <w:r>
              <w:rPr>
                <w:rFonts w:hint="eastAsia" w:ascii="宋体" w:hAnsi="宋体" w:eastAsia="宋体" w:cs="宋体"/>
                <w:sz w:val="21"/>
                <w:szCs w:val="21"/>
                <w:highlight w:val="none"/>
              </w:rPr>
              <w:t>1.服务单位工作能按照合同及工作要求按时提交外运处置过程资料，具体包括运输车辆GPS轨迹等，外运处置过程资料未缺失得5分，资料缺失小于或等于5次得3分，大于5次得0分。</w:t>
            </w:r>
          </w:p>
        </w:tc>
        <w:tc>
          <w:tcPr>
            <w:tcW w:w="850" w:type="dxa"/>
            <w:tcBorders>
              <w:top w:val="nil"/>
              <w:left w:val="nil"/>
              <w:bottom w:val="single" w:color="auto" w:sz="4" w:space="0"/>
              <w:right w:val="single" w:color="auto" w:sz="4" w:space="0"/>
            </w:tcBorders>
            <w:noWrap w:val="0"/>
            <w:vAlign w:val="center"/>
          </w:tcPr>
          <w:p w14:paraId="44C344CC">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878" w:type="dxa"/>
            <w:tcBorders>
              <w:top w:val="nil"/>
              <w:left w:val="nil"/>
              <w:bottom w:val="single" w:color="auto" w:sz="4" w:space="0"/>
              <w:right w:val="single" w:color="auto" w:sz="4" w:space="0"/>
            </w:tcBorders>
            <w:noWrap w:val="0"/>
            <w:vAlign w:val="center"/>
          </w:tcPr>
          <w:p w14:paraId="5FBBEF3E">
            <w:pPr>
              <w:widowControl/>
              <w:jc w:val="center"/>
              <w:rPr>
                <w:rFonts w:hint="eastAsia" w:ascii="宋体" w:hAnsi="宋体" w:eastAsia="宋体" w:cs="宋体"/>
                <w:sz w:val="21"/>
                <w:szCs w:val="21"/>
                <w:highlight w:val="none"/>
              </w:rPr>
            </w:pPr>
          </w:p>
        </w:tc>
        <w:tc>
          <w:tcPr>
            <w:tcW w:w="1374" w:type="dxa"/>
            <w:tcBorders>
              <w:top w:val="nil"/>
              <w:left w:val="nil"/>
              <w:bottom w:val="single" w:color="auto" w:sz="4" w:space="0"/>
              <w:right w:val="single" w:color="auto" w:sz="4" w:space="0"/>
            </w:tcBorders>
            <w:noWrap w:val="0"/>
            <w:vAlign w:val="center"/>
          </w:tcPr>
          <w:p w14:paraId="03DC5895">
            <w:pPr>
              <w:widowControl/>
              <w:jc w:val="center"/>
              <w:rPr>
                <w:rFonts w:hint="eastAsia" w:ascii="宋体" w:hAnsi="宋体" w:eastAsia="宋体" w:cs="宋体"/>
                <w:sz w:val="21"/>
                <w:szCs w:val="21"/>
                <w:highlight w:val="none"/>
              </w:rPr>
            </w:pPr>
          </w:p>
        </w:tc>
      </w:tr>
      <w:tr w14:paraId="26E6181E">
        <w:tblPrEx>
          <w:tblCellMar>
            <w:top w:w="0" w:type="dxa"/>
            <w:left w:w="108" w:type="dxa"/>
            <w:bottom w:w="0" w:type="dxa"/>
            <w:right w:w="108" w:type="dxa"/>
          </w:tblCellMar>
        </w:tblPrEx>
        <w:trPr>
          <w:trHeight w:val="1072" w:hRule="atLeast"/>
          <w:jc w:val="center"/>
        </w:trPr>
        <w:tc>
          <w:tcPr>
            <w:tcW w:w="651" w:type="dxa"/>
            <w:vMerge w:val="continue"/>
            <w:tcBorders>
              <w:top w:val="single" w:color="auto" w:sz="4" w:space="0"/>
              <w:left w:val="single" w:color="auto" w:sz="4" w:space="0"/>
              <w:bottom w:val="single" w:color="auto" w:sz="4" w:space="0"/>
              <w:right w:val="single" w:color="auto" w:sz="4" w:space="0"/>
            </w:tcBorders>
            <w:noWrap w:val="0"/>
            <w:vAlign w:val="center"/>
          </w:tcPr>
          <w:p w14:paraId="4010629D">
            <w:pPr>
              <w:widowControl/>
              <w:jc w:val="center"/>
              <w:rPr>
                <w:rFonts w:hint="eastAsia" w:ascii="宋体" w:hAnsi="宋体" w:eastAsia="宋体" w:cs="宋体"/>
                <w:sz w:val="21"/>
                <w:szCs w:val="21"/>
                <w:highlight w:val="none"/>
              </w:rPr>
            </w:pPr>
          </w:p>
        </w:tc>
        <w:tc>
          <w:tcPr>
            <w:tcW w:w="1020" w:type="dxa"/>
            <w:vMerge w:val="continue"/>
            <w:tcBorders>
              <w:top w:val="single" w:color="auto" w:sz="4" w:space="0"/>
              <w:left w:val="nil"/>
              <w:bottom w:val="single" w:color="auto" w:sz="4" w:space="0"/>
              <w:right w:val="single" w:color="auto" w:sz="4" w:space="0"/>
            </w:tcBorders>
            <w:noWrap w:val="0"/>
            <w:vAlign w:val="center"/>
          </w:tcPr>
          <w:p w14:paraId="54ABB462">
            <w:pPr>
              <w:widowControl/>
              <w:jc w:val="center"/>
              <w:rPr>
                <w:rFonts w:hint="eastAsia" w:ascii="宋体" w:hAnsi="宋体" w:eastAsia="宋体" w:cs="宋体"/>
                <w:sz w:val="21"/>
                <w:szCs w:val="21"/>
                <w:highlight w:val="none"/>
              </w:rPr>
            </w:pPr>
          </w:p>
        </w:tc>
        <w:tc>
          <w:tcPr>
            <w:tcW w:w="718" w:type="dxa"/>
            <w:vMerge w:val="continue"/>
            <w:tcBorders>
              <w:top w:val="single" w:color="auto" w:sz="4" w:space="0"/>
              <w:left w:val="nil"/>
              <w:bottom w:val="single" w:color="auto" w:sz="4" w:space="0"/>
              <w:right w:val="single" w:color="auto" w:sz="4" w:space="0"/>
            </w:tcBorders>
            <w:noWrap w:val="0"/>
            <w:vAlign w:val="center"/>
          </w:tcPr>
          <w:p w14:paraId="3C77E919">
            <w:pPr>
              <w:widowControl/>
              <w:jc w:val="center"/>
              <w:rPr>
                <w:rFonts w:hint="eastAsia" w:ascii="宋体" w:hAnsi="宋体" w:eastAsia="宋体" w:cs="宋体"/>
                <w:sz w:val="21"/>
                <w:szCs w:val="21"/>
                <w:highlight w:val="none"/>
              </w:rPr>
            </w:pPr>
          </w:p>
        </w:tc>
        <w:tc>
          <w:tcPr>
            <w:tcW w:w="4847" w:type="dxa"/>
            <w:tcBorders>
              <w:top w:val="nil"/>
              <w:left w:val="nil"/>
              <w:bottom w:val="single" w:color="auto" w:sz="4" w:space="0"/>
              <w:right w:val="single" w:color="auto" w:sz="4" w:space="0"/>
            </w:tcBorders>
            <w:noWrap w:val="0"/>
            <w:vAlign w:val="center"/>
          </w:tcPr>
          <w:p w14:paraId="38F010C7">
            <w:pPr>
              <w:widowControl/>
              <w:rPr>
                <w:rFonts w:hint="eastAsia" w:ascii="宋体" w:hAnsi="宋体" w:eastAsia="宋体" w:cs="宋体"/>
                <w:sz w:val="21"/>
                <w:szCs w:val="21"/>
                <w:highlight w:val="none"/>
              </w:rPr>
            </w:pPr>
            <w:r>
              <w:rPr>
                <w:rFonts w:hint="eastAsia" w:ascii="宋体" w:hAnsi="宋体" w:eastAsia="宋体" w:cs="宋体"/>
                <w:sz w:val="21"/>
                <w:szCs w:val="21"/>
                <w:highlight w:val="none"/>
              </w:rPr>
              <w:t>2.服务单位提交的服务款项请款资料完整规范，未因服务单位原因导致请款资料被回退得5分，回退1次得2分，回退2次或以上得0分。</w:t>
            </w:r>
          </w:p>
        </w:tc>
        <w:tc>
          <w:tcPr>
            <w:tcW w:w="850" w:type="dxa"/>
            <w:tcBorders>
              <w:top w:val="nil"/>
              <w:left w:val="nil"/>
              <w:bottom w:val="single" w:color="auto" w:sz="4" w:space="0"/>
              <w:right w:val="single" w:color="auto" w:sz="4" w:space="0"/>
            </w:tcBorders>
            <w:noWrap w:val="0"/>
            <w:vAlign w:val="center"/>
          </w:tcPr>
          <w:p w14:paraId="072E7F4B">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878" w:type="dxa"/>
            <w:tcBorders>
              <w:top w:val="nil"/>
              <w:left w:val="nil"/>
              <w:bottom w:val="single" w:color="auto" w:sz="4" w:space="0"/>
              <w:right w:val="single" w:color="auto" w:sz="4" w:space="0"/>
            </w:tcBorders>
            <w:noWrap w:val="0"/>
            <w:vAlign w:val="center"/>
          </w:tcPr>
          <w:p w14:paraId="71A55F8B">
            <w:pPr>
              <w:widowControl/>
              <w:jc w:val="center"/>
              <w:rPr>
                <w:rFonts w:hint="eastAsia" w:ascii="宋体" w:hAnsi="宋体" w:eastAsia="宋体" w:cs="宋体"/>
                <w:sz w:val="21"/>
                <w:szCs w:val="21"/>
                <w:highlight w:val="none"/>
              </w:rPr>
            </w:pPr>
          </w:p>
        </w:tc>
        <w:tc>
          <w:tcPr>
            <w:tcW w:w="1374" w:type="dxa"/>
            <w:tcBorders>
              <w:top w:val="nil"/>
              <w:left w:val="nil"/>
              <w:bottom w:val="single" w:color="auto" w:sz="4" w:space="0"/>
              <w:right w:val="single" w:color="auto" w:sz="4" w:space="0"/>
            </w:tcBorders>
            <w:noWrap w:val="0"/>
            <w:vAlign w:val="center"/>
          </w:tcPr>
          <w:p w14:paraId="165D3E17">
            <w:pPr>
              <w:widowControl/>
              <w:jc w:val="center"/>
              <w:rPr>
                <w:rFonts w:hint="eastAsia" w:ascii="宋体" w:hAnsi="宋体" w:eastAsia="宋体" w:cs="宋体"/>
                <w:sz w:val="21"/>
                <w:szCs w:val="21"/>
                <w:highlight w:val="none"/>
              </w:rPr>
            </w:pPr>
          </w:p>
        </w:tc>
      </w:tr>
      <w:tr w14:paraId="18C536DE">
        <w:tblPrEx>
          <w:tblCellMar>
            <w:top w:w="0" w:type="dxa"/>
            <w:left w:w="108" w:type="dxa"/>
            <w:bottom w:w="0" w:type="dxa"/>
            <w:right w:w="108" w:type="dxa"/>
          </w:tblCellMar>
        </w:tblPrEx>
        <w:trPr>
          <w:trHeight w:val="1072" w:hRule="atLeast"/>
          <w:jc w:val="center"/>
        </w:trPr>
        <w:tc>
          <w:tcPr>
            <w:tcW w:w="651" w:type="dxa"/>
            <w:vMerge w:val="continue"/>
            <w:tcBorders>
              <w:top w:val="single" w:color="auto" w:sz="4" w:space="0"/>
              <w:left w:val="single" w:color="auto" w:sz="4" w:space="0"/>
              <w:bottom w:val="single" w:color="auto" w:sz="4" w:space="0"/>
              <w:right w:val="single" w:color="auto" w:sz="4" w:space="0"/>
            </w:tcBorders>
            <w:noWrap w:val="0"/>
            <w:vAlign w:val="center"/>
          </w:tcPr>
          <w:p w14:paraId="390F1BD0">
            <w:pPr>
              <w:widowControl/>
              <w:jc w:val="center"/>
              <w:rPr>
                <w:rFonts w:hint="eastAsia" w:ascii="宋体" w:hAnsi="宋体" w:eastAsia="宋体" w:cs="宋体"/>
                <w:sz w:val="21"/>
                <w:szCs w:val="21"/>
                <w:highlight w:val="none"/>
              </w:rPr>
            </w:pPr>
          </w:p>
        </w:tc>
        <w:tc>
          <w:tcPr>
            <w:tcW w:w="1020" w:type="dxa"/>
            <w:vMerge w:val="continue"/>
            <w:tcBorders>
              <w:top w:val="single" w:color="auto" w:sz="4" w:space="0"/>
              <w:left w:val="nil"/>
              <w:bottom w:val="single" w:color="auto" w:sz="4" w:space="0"/>
              <w:right w:val="single" w:color="auto" w:sz="4" w:space="0"/>
            </w:tcBorders>
            <w:noWrap w:val="0"/>
            <w:vAlign w:val="center"/>
          </w:tcPr>
          <w:p w14:paraId="32E77B6B">
            <w:pPr>
              <w:widowControl/>
              <w:jc w:val="center"/>
              <w:rPr>
                <w:rFonts w:hint="eastAsia" w:ascii="宋体" w:hAnsi="宋体" w:eastAsia="宋体" w:cs="宋体"/>
                <w:sz w:val="21"/>
                <w:szCs w:val="21"/>
                <w:highlight w:val="none"/>
              </w:rPr>
            </w:pPr>
          </w:p>
        </w:tc>
        <w:tc>
          <w:tcPr>
            <w:tcW w:w="718" w:type="dxa"/>
            <w:vMerge w:val="continue"/>
            <w:tcBorders>
              <w:top w:val="single" w:color="auto" w:sz="4" w:space="0"/>
              <w:left w:val="nil"/>
              <w:bottom w:val="single" w:color="auto" w:sz="4" w:space="0"/>
              <w:right w:val="single" w:color="auto" w:sz="4" w:space="0"/>
            </w:tcBorders>
            <w:noWrap w:val="0"/>
            <w:vAlign w:val="center"/>
          </w:tcPr>
          <w:p w14:paraId="2DBEB9D7">
            <w:pPr>
              <w:widowControl/>
              <w:jc w:val="center"/>
              <w:rPr>
                <w:rFonts w:hint="eastAsia" w:ascii="宋体" w:hAnsi="宋体" w:eastAsia="宋体" w:cs="宋体"/>
                <w:sz w:val="21"/>
                <w:szCs w:val="21"/>
                <w:highlight w:val="none"/>
              </w:rPr>
            </w:pPr>
          </w:p>
        </w:tc>
        <w:tc>
          <w:tcPr>
            <w:tcW w:w="4847" w:type="dxa"/>
            <w:tcBorders>
              <w:top w:val="nil"/>
              <w:left w:val="nil"/>
              <w:bottom w:val="single" w:color="auto" w:sz="4" w:space="0"/>
              <w:right w:val="single" w:color="auto" w:sz="4" w:space="0"/>
            </w:tcBorders>
            <w:noWrap w:val="0"/>
            <w:vAlign w:val="center"/>
          </w:tcPr>
          <w:p w14:paraId="5973C0A9">
            <w:pPr>
              <w:widowControl/>
              <w:rPr>
                <w:rFonts w:hint="eastAsia" w:ascii="宋体" w:hAnsi="宋体" w:eastAsia="宋体" w:cs="宋体"/>
                <w:sz w:val="21"/>
                <w:szCs w:val="21"/>
                <w:highlight w:val="none"/>
              </w:rPr>
            </w:pPr>
            <w:r>
              <w:rPr>
                <w:rFonts w:hint="eastAsia" w:ascii="宋体" w:hAnsi="宋体" w:eastAsia="宋体" w:cs="宋体"/>
                <w:sz w:val="21"/>
                <w:szCs w:val="21"/>
                <w:highlight w:val="none"/>
              </w:rPr>
              <w:t>3.服务单位按照每季度开展不少于一次污泥衍生产品质量检测，检测结果符合国家或行业要求，能够提供具有CMA章的质量合格的检测报告得5分，否则得0分。</w:t>
            </w:r>
          </w:p>
        </w:tc>
        <w:tc>
          <w:tcPr>
            <w:tcW w:w="850" w:type="dxa"/>
            <w:tcBorders>
              <w:top w:val="nil"/>
              <w:left w:val="nil"/>
              <w:bottom w:val="single" w:color="auto" w:sz="4" w:space="0"/>
              <w:right w:val="single" w:color="auto" w:sz="4" w:space="0"/>
            </w:tcBorders>
            <w:noWrap w:val="0"/>
            <w:vAlign w:val="center"/>
          </w:tcPr>
          <w:p w14:paraId="5624CD66">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878" w:type="dxa"/>
            <w:tcBorders>
              <w:top w:val="nil"/>
              <w:left w:val="nil"/>
              <w:bottom w:val="single" w:color="auto" w:sz="4" w:space="0"/>
              <w:right w:val="single" w:color="auto" w:sz="4" w:space="0"/>
            </w:tcBorders>
            <w:noWrap w:val="0"/>
            <w:vAlign w:val="center"/>
          </w:tcPr>
          <w:p w14:paraId="1E5916BB">
            <w:pPr>
              <w:widowControl/>
              <w:jc w:val="center"/>
              <w:rPr>
                <w:rFonts w:hint="eastAsia" w:ascii="宋体" w:hAnsi="宋体" w:eastAsia="宋体" w:cs="宋体"/>
                <w:sz w:val="21"/>
                <w:szCs w:val="21"/>
                <w:highlight w:val="none"/>
              </w:rPr>
            </w:pPr>
          </w:p>
        </w:tc>
        <w:tc>
          <w:tcPr>
            <w:tcW w:w="1374" w:type="dxa"/>
            <w:tcBorders>
              <w:top w:val="nil"/>
              <w:left w:val="nil"/>
              <w:bottom w:val="single" w:color="auto" w:sz="4" w:space="0"/>
              <w:right w:val="single" w:color="auto" w:sz="4" w:space="0"/>
            </w:tcBorders>
            <w:noWrap w:val="0"/>
            <w:vAlign w:val="center"/>
          </w:tcPr>
          <w:p w14:paraId="2642F3C0">
            <w:pPr>
              <w:widowControl/>
              <w:jc w:val="center"/>
              <w:rPr>
                <w:rFonts w:hint="eastAsia" w:ascii="宋体" w:hAnsi="宋体" w:eastAsia="宋体" w:cs="宋体"/>
                <w:sz w:val="21"/>
                <w:szCs w:val="21"/>
                <w:highlight w:val="none"/>
              </w:rPr>
            </w:pPr>
          </w:p>
        </w:tc>
      </w:tr>
      <w:tr w14:paraId="12CA02A2">
        <w:tblPrEx>
          <w:tblCellMar>
            <w:top w:w="0" w:type="dxa"/>
            <w:left w:w="108" w:type="dxa"/>
            <w:bottom w:w="0" w:type="dxa"/>
            <w:right w:w="108" w:type="dxa"/>
          </w:tblCellMar>
        </w:tblPrEx>
        <w:trPr>
          <w:trHeight w:val="1072" w:hRule="atLeast"/>
          <w:jc w:val="center"/>
        </w:trPr>
        <w:tc>
          <w:tcPr>
            <w:tcW w:w="651" w:type="dxa"/>
            <w:vMerge w:val="continue"/>
            <w:tcBorders>
              <w:top w:val="single" w:color="auto" w:sz="4" w:space="0"/>
              <w:left w:val="single" w:color="auto" w:sz="4" w:space="0"/>
              <w:bottom w:val="single" w:color="auto" w:sz="4" w:space="0"/>
              <w:right w:val="single" w:color="auto" w:sz="4" w:space="0"/>
            </w:tcBorders>
            <w:noWrap w:val="0"/>
            <w:vAlign w:val="center"/>
          </w:tcPr>
          <w:p w14:paraId="5D98BB69">
            <w:pPr>
              <w:widowControl/>
              <w:jc w:val="center"/>
              <w:rPr>
                <w:rFonts w:hint="eastAsia" w:ascii="宋体" w:hAnsi="宋体" w:eastAsia="宋体" w:cs="宋体"/>
                <w:sz w:val="21"/>
                <w:szCs w:val="21"/>
                <w:highlight w:val="none"/>
              </w:rPr>
            </w:pPr>
          </w:p>
        </w:tc>
        <w:tc>
          <w:tcPr>
            <w:tcW w:w="1020" w:type="dxa"/>
            <w:vMerge w:val="continue"/>
            <w:tcBorders>
              <w:top w:val="single" w:color="auto" w:sz="4" w:space="0"/>
              <w:left w:val="nil"/>
              <w:bottom w:val="single" w:color="auto" w:sz="4" w:space="0"/>
              <w:right w:val="single" w:color="auto" w:sz="4" w:space="0"/>
            </w:tcBorders>
            <w:noWrap w:val="0"/>
            <w:vAlign w:val="center"/>
          </w:tcPr>
          <w:p w14:paraId="0B031DCE">
            <w:pPr>
              <w:widowControl/>
              <w:jc w:val="center"/>
              <w:rPr>
                <w:rFonts w:hint="eastAsia" w:ascii="宋体" w:hAnsi="宋体" w:eastAsia="宋体" w:cs="宋体"/>
                <w:sz w:val="21"/>
                <w:szCs w:val="21"/>
                <w:highlight w:val="none"/>
              </w:rPr>
            </w:pPr>
          </w:p>
        </w:tc>
        <w:tc>
          <w:tcPr>
            <w:tcW w:w="718" w:type="dxa"/>
            <w:vMerge w:val="continue"/>
            <w:tcBorders>
              <w:top w:val="single" w:color="auto" w:sz="4" w:space="0"/>
              <w:left w:val="nil"/>
              <w:bottom w:val="single" w:color="auto" w:sz="4" w:space="0"/>
              <w:right w:val="single" w:color="auto" w:sz="4" w:space="0"/>
            </w:tcBorders>
            <w:noWrap w:val="0"/>
            <w:vAlign w:val="center"/>
          </w:tcPr>
          <w:p w14:paraId="135E66E5">
            <w:pPr>
              <w:widowControl/>
              <w:jc w:val="center"/>
              <w:rPr>
                <w:rFonts w:hint="eastAsia" w:ascii="宋体" w:hAnsi="宋体" w:eastAsia="宋体" w:cs="宋体"/>
                <w:sz w:val="21"/>
                <w:szCs w:val="21"/>
                <w:highlight w:val="none"/>
              </w:rPr>
            </w:pPr>
          </w:p>
        </w:tc>
        <w:tc>
          <w:tcPr>
            <w:tcW w:w="4847" w:type="dxa"/>
            <w:tcBorders>
              <w:top w:val="nil"/>
              <w:left w:val="nil"/>
              <w:bottom w:val="single" w:color="auto" w:sz="4" w:space="0"/>
              <w:right w:val="single" w:color="auto" w:sz="4" w:space="0"/>
            </w:tcBorders>
            <w:noWrap w:val="0"/>
            <w:vAlign w:val="center"/>
          </w:tcPr>
          <w:p w14:paraId="444D7FCE">
            <w:pPr>
              <w:widowControl/>
              <w:rPr>
                <w:rFonts w:hint="eastAsia" w:ascii="宋体" w:hAnsi="宋体" w:eastAsia="宋体" w:cs="宋体"/>
                <w:sz w:val="21"/>
                <w:szCs w:val="21"/>
                <w:highlight w:val="none"/>
              </w:rPr>
            </w:pPr>
            <w:r>
              <w:rPr>
                <w:rFonts w:hint="eastAsia" w:ascii="宋体" w:hAnsi="宋体" w:eastAsia="宋体" w:cs="宋体"/>
                <w:sz w:val="21"/>
                <w:szCs w:val="21"/>
                <w:highlight w:val="none"/>
              </w:rPr>
              <w:t>4.服务单位污泥衍生产品流向清晰，能完整提供污泥衍生产品销售台账和销售单据得5分（无污泥衍生产品得5分），未能完整提供产品销售台账和销售单据得0分。</w:t>
            </w:r>
          </w:p>
        </w:tc>
        <w:tc>
          <w:tcPr>
            <w:tcW w:w="850" w:type="dxa"/>
            <w:tcBorders>
              <w:top w:val="nil"/>
              <w:left w:val="nil"/>
              <w:bottom w:val="single" w:color="auto" w:sz="4" w:space="0"/>
              <w:right w:val="single" w:color="auto" w:sz="4" w:space="0"/>
            </w:tcBorders>
            <w:noWrap w:val="0"/>
            <w:vAlign w:val="center"/>
          </w:tcPr>
          <w:p w14:paraId="42750631">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878" w:type="dxa"/>
            <w:tcBorders>
              <w:top w:val="nil"/>
              <w:left w:val="nil"/>
              <w:bottom w:val="single" w:color="auto" w:sz="4" w:space="0"/>
              <w:right w:val="single" w:color="auto" w:sz="4" w:space="0"/>
            </w:tcBorders>
            <w:noWrap w:val="0"/>
            <w:vAlign w:val="center"/>
          </w:tcPr>
          <w:p w14:paraId="4881A1C4">
            <w:pPr>
              <w:widowControl/>
              <w:jc w:val="center"/>
              <w:rPr>
                <w:rFonts w:hint="eastAsia" w:ascii="宋体" w:hAnsi="宋体" w:eastAsia="宋体" w:cs="宋体"/>
                <w:sz w:val="21"/>
                <w:szCs w:val="21"/>
                <w:highlight w:val="none"/>
              </w:rPr>
            </w:pPr>
          </w:p>
        </w:tc>
        <w:tc>
          <w:tcPr>
            <w:tcW w:w="1374" w:type="dxa"/>
            <w:tcBorders>
              <w:top w:val="nil"/>
              <w:left w:val="nil"/>
              <w:bottom w:val="single" w:color="auto" w:sz="4" w:space="0"/>
              <w:right w:val="single" w:color="auto" w:sz="4" w:space="0"/>
            </w:tcBorders>
            <w:noWrap w:val="0"/>
            <w:vAlign w:val="center"/>
          </w:tcPr>
          <w:p w14:paraId="3709473B">
            <w:pPr>
              <w:widowControl/>
              <w:jc w:val="center"/>
              <w:rPr>
                <w:rFonts w:hint="eastAsia" w:ascii="宋体" w:hAnsi="宋体" w:eastAsia="宋体" w:cs="宋体"/>
                <w:sz w:val="21"/>
                <w:szCs w:val="21"/>
                <w:highlight w:val="none"/>
              </w:rPr>
            </w:pPr>
          </w:p>
        </w:tc>
      </w:tr>
      <w:tr w14:paraId="06AE1B44">
        <w:tblPrEx>
          <w:tblCellMar>
            <w:top w:w="0" w:type="dxa"/>
            <w:left w:w="108" w:type="dxa"/>
            <w:bottom w:w="0" w:type="dxa"/>
            <w:right w:w="108" w:type="dxa"/>
          </w:tblCellMar>
        </w:tblPrEx>
        <w:trPr>
          <w:trHeight w:val="1055" w:hRule="atLeast"/>
          <w:jc w:val="center"/>
        </w:trPr>
        <w:tc>
          <w:tcPr>
            <w:tcW w:w="651" w:type="dxa"/>
            <w:vMerge w:val="restart"/>
            <w:tcBorders>
              <w:top w:val="single" w:color="auto" w:sz="4" w:space="0"/>
              <w:left w:val="single" w:color="auto" w:sz="4" w:space="0"/>
              <w:bottom w:val="single" w:color="auto" w:sz="4" w:space="0"/>
              <w:right w:val="single" w:color="auto" w:sz="4" w:space="0"/>
            </w:tcBorders>
            <w:noWrap w:val="0"/>
            <w:vAlign w:val="center"/>
          </w:tcPr>
          <w:p w14:paraId="49AAD8EE">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1020" w:type="dxa"/>
            <w:vMerge w:val="restart"/>
            <w:tcBorders>
              <w:top w:val="single" w:color="auto" w:sz="4" w:space="0"/>
              <w:left w:val="nil"/>
              <w:bottom w:val="single" w:color="auto" w:sz="4" w:space="0"/>
              <w:right w:val="single" w:color="auto" w:sz="4" w:space="0"/>
            </w:tcBorders>
            <w:noWrap w:val="0"/>
            <w:vAlign w:val="center"/>
          </w:tcPr>
          <w:p w14:paraId="6B47518C">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安全</w:t>
            </w:r>
          </w:p>
          <w:p w14:paraId="16444312">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生产</w:t>
            </w:r>
          </w:p>
          <w:p w14:paraId="29AFBC5F">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管理  情况</w:t>
            </w:r>
          </w:p>
        </w:tc>
        <w:tc>
          <w:tcPr>
            <w:tcW w:w="718" w:type="dxa"/>
            <w:vMerge w:val="restart"/>
            <w:tcBorders>
              <w:top w:val="single" w:color="auto" w:sz="4" w:space="0"/>
              <w:left w:val="nil"/>
              <w:bottom w:val="single" w:color="auto" w:sz="4" w:space="0"/>
              <w:right w:val="single" w:color="auto" w:sz="4" w:space="0"/>
            </w:tcBorders>
            <w:noWrap w:val="0"/>
            <w:vAlign w:val="center"/>
          </w:tcPr>
          <w:p w14:paraId="36BA4783">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15</w:t>
            </w:r>
          </w:p>
        </w:tc>
        <w:tc>
          <w:tcPr>
            <w:tcW w:w="4847" w:type="dxa"/>
            <w:tcBorders>
              <w:top w:val="single" w:color="auto" w:sz="4" w:space="0"/>
              <w:left w:val="single" w:color="auto" w:sz="4" w:space="0"/>
              <w:bottom w:val="single" w:color="auto" w:sz="4" w:space="0"/>
              <w:right w:val="single" w:color="auto" w:sz="4" w:space="0"/>
            </w:tcBorders>
            <w:noWrap w:val="0"/>
            <w:vAlign w:val="center"/>
          </w:tcPr>
          <w:p w14:paraId="6F61AB8F">
            <w:pPr>
              <w:widowControl/>
              <w:rPr>
                <w:rFonts w:hint="eastAsia" w:ascii="宋体" w:hAnsi="宋体" w:eastAsia="宋体" w:cs="宋体"/>
                <w:sz w:val="21"/>
                <w:szCs w:val="21"/>
                <w:highlight w:val="none"/>
              </w:rPr>
            </w:pPr>
            <w:r>
              <w:rPr>
                <w:rFonts w:hint="eastAsia" w:ascii="宋体" w:hAnsi="宋体" w:eastAsia="宋体" w:cs="宋体"/>
                <w:sz w:val="21"/>
                <w:szCs w:val="21"/>
                <w:highlight w:val="none"/>
              </w:rPr>
              <w:t>1.服务单位定期组织开展生产用电安全检查并能提供佐证材料，得5分，未开展生产用电安全检查或未能提供佐证材料得0分。</w:t>
            </w:r>
          </w:p>
        </w:tc>
        <w:tc>
          <w:tcPr>
            <w:tcW w:w="850" w:type="dxa"/>
            <w:tcBorders>
              <w:top w:val="single" w:color="auto" w:sz="4" w:space="0"/>
              <w:left w:val="single" w:color="auto" w:sz="4" w:space="0"/>
              <w:bottom w:val="single" w:color="auto" w:sz="4" w:space="0"/>
              <w:right w:val="single" w:color="auto" w:sz="4" w:space="0"/>
            </w:tcBorders>
            <w:noWrap w:val="0"/>
            <w:vAlign w:val="center"/>
          </w:tcPr>
          <w:p w14:paraId="52ED055E">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581CA6E4">
            <w:pPr>
              <w:widowControl/>
              <w:jc w:val="center"/>
              <w:rPr>
                <w:rFonts w:hint="eastAsia" w:ascii="宋体" w:hAnsi="宋体" w:eastAsia="宋体" w:cs="宋体"/>
                <w:sz w:val="21"/>
                <w:szCs w:val="21"/>
                <w:highlight w:val="none"/>
              </w:rPr>
            </w:pPr>
          </w:p>
        </w:tc>
        <w:tc>
          <w:tcPr>
            <w:tcW w:w="1374" w:type="dxa"/>
            <w:tcBorders>
              <w:top w:val="single" w:color="auto" w:sz="4" w:space="0"/>
              <w:left w:val="single" w:color="auto" w:sz="4" w:space="0"/>
              <w:bottom w:val="single" w:color="auto" w:sz="4" w:space="0"/>
              <w:right w:val="single" w:color="auto" w:sz="4" w:space="0"/>
            </w:tcBorders>
            <w:noWrap w:val="0"/>
            <w:vAlign w:val="center"/>
          </w:tcPr>
          <w:p w14:paraId="79B69955">
            <w:pPr>
              <w:widowControl/>
              <w:jc w:val="center"/>
              <w:rPr>
                <w:rFonts w:hint="eastAsia" w:ascii="宋体" w:hAnsi="宋体" w:eastAsia="宋体" w:cs="宋体"/>
                <w:sz w:val="21"/>
                <w:szCs w:val="21"/>
                <w:highlight w:val="none"/>
              </w:rPr>
            </w:pPr>
          </w:p>
        </w:tc>
      </w:tr>
      <w:tr w14:paraId="5D30E193">
        <w:tblPrEx>
          <w:tblCellMar>
            <w:top w:w="0" w:type="dxa"/>
            <w:left w:w="108" w:type="dxa"/>
            <w:bottom w:w="0" w:type="dxa"/>
            <w:right w:w="108" w:type="dxa"/>
          </w:tblCellMar>
        </w:tblPrEx>
        <w:trPr>
          <w:trHeight w:val="1088" w:hRule="atLeast"/>
          <w:jc w:val="center"/>
        </w:trPr>
        <w:tc>
          <w:tcPr>
            <w:tcW w:w="651" w:type="dxa"/>
            <w:vMerge w:val="continue"/>
            <w:tcBorders>
              <w:top w:val="single" w:color="auto" w:sz="4" w:space="0"/>
              <w:left w:val="single" w:color="auto" w:sz="4" w:space="0"/>
              <w:bottom w:val="single" w:color="auto" w:sz="4" w:space="0"/>
              <w:right w:val="single" w:color="auto" w:sz="4" w:space="0"/>
            </w:tcBorders>
            <w:noWrap w:val="0"/>
            <w:vAlign w:val="center"/>
          </w:tcPr>
          <w:p w14:paraId="4534A0EE">
            <w:pPr>
              <w:widowControl/>
              <w:jc w:val="center"/>
              <w:rPr>
                <w:rFonts w:hint="eastAsia" w:ascii="宋体" w:hAnsi="宋体" w:eastAsia="宋体" w:cs="宋体"/>
                <w:sz w:val="21"/>
                <w:szCs w:val="21"/>
                <w:highlight w:val="none"/>
              </w:rPr>
            </w:pPr>
          </w:p>
        </w:tc>
        <w:tc>
          <w:tcPr>
            <w:tcW w:w="1020" w:type="dxa"/>
            <w:vMerge w:val="continue"/>
            <w:tcBorders>
              <w:top w:val="single" w:color="auto" w:sz="4" w:space="0"/>
              <w:left w:val="nil"/>
              <w:bottom w:val="single" w:color="auto" w:sz="4" w:space="0"/>
              <w:right w:val="single" w:color="auto" w:sz="4" w:space="0"/>
            </w:tcBorders>
            <w:noWrap w:val="0"/>
            <w:vAlign w:val="center"/>
          </w:tcPr>
          <w:p w14:paraId="7E3C76A0">
            <w:pPr>
              <w:widowControl/>
              <w:jc w:val="center"/>
              <w:rPr>
                <w:rFonts w:hint="eastAsia" w:ascii="宋体" w:hAnsi="宋体" w:eastAsia="宋体" w:cs="宋体"/>
                <w:sz w:val="21"/>
                <w:szCs w:val="21"/>
                <w:highlight w:val="none"/>
              </w:rPr>
            </w:pPr>
          </w:p>
        </w:tc>
        <w:tc>
          <w:tcPr>
            <w:tcW w:w="718" w:type="dxa"/>
            <w:vMerge w:val="continue"/>
            <w:tcBorders>
              <w:top w:val="single" w:color="auto" w:sz="4" w:space="0"/>
              <w:left w:val="nil"/>
              <w:bottom w:val="single" w:color="auto" w:sz="4" w:space="0"/>
              <w:right w:val="single" w:color="auto" w:sz="4" w:space="0"/>
            </w:tcBorders>
            <w:noWrap w:val="0"/>
            <w:vAlign w:val="center"/>
          </w:tcPr>
          <w:p w14:paraId="64AE8E52">
            <w:pPr>
              <w:widowControl/>
              <w:jc w:val="center"/>
              <w:rPr>
                <w:rFonts w:hint="eastAsia" w:ascii="宋体" w:hAnsi="宋体" w:eastAsia="宋体" w:cs="宋体"/>
                <w:sz w:val="21"/>
                <w:szCs w:val="21"/>
                <w:highlight w:val="none"/>
              </w:rPr>
            </w:pPr>
          </w:p>
        </w:tc>
        <w:tc>
          <w:tcPr>
            <w:tcW w:w="4847" w:type="dxa"/>
            <w:tcBorders>
              <w:top w:val="single" w:color="auto" w:sz="4" w:space="0"/>
              <w:left w:val="nil"/>
              <w:bottom w:val="single" w:color="auto" w:sz="4" w:space="0"/>
              <w:right w:val="single" w:color="auto" w:sz="4" w:space="0"/>
            </w:tcBorders>
            <w:noWrap w:val="0"/>
            <w:vAlign w:val="center"/>
          </w:tcPr>
          <w:p w14:paraId="2117D84B">
            <w:pPr>
              <w:widowControl/>
              <w:rPr>
                <w:rFonts w:hint="eastAsia" w:ascii="宋体" w:hAnsi="宋体" w:eastAsia="宋体" w:cs="宋体"/>
                <w:sz w:val="21"/>
                <w:szCs w:val="21"/>
                <w:highlight w:val="none"/>
              </w:rPr>
            </w:pPr>
            <w:r>
              <w:rPr>
                <w:rFonts w:hint="eastAsia" w:ascii="宋体" w:hAnsi="宋体" w:eastAsia="宋体" w:cs="宋体"/>
                <w:sz w:val="21"/>
                <w:szCs w:val="21"/>
                <w:highlight w:val="none"/>
              </w:rPr>
              <w:t>2.服务单位定期组织安全生产管理培训，有建立安全生产制度和污泥处置制度，得5分，未定期组织安全生产管理培训或未能提供安全生产制度、污泥处置制度得0分。</w:t>
            </w:r>
          </w:p>
        </w:tc>
        <w:tc>
          <w:tcPr>
            <w:tcW w:w="850" w:type="dxa"/>
            <w:tcBorders>
              <w:top w:val="single" w:color="auto" w:sz="4" w:space="0"/>
              <w:left w:val="nil"/>
              <w:bottom w:val="single" w:color="auto" w:sz="4" w:space="0"/>
              <w:right w:val="single" w:color="auto" w:sz="4" w:space="0"/>
            </w:tcBorders>
            <w:noWrap w:val="0"/>
            <w:vAlign w:val="center"/>
          </w:tcPr>
          <w:p w14:paraId="5C4AB955">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878" w:type="dxa"/>
            <w:tcBorders>
              <w:top w:val="single" w:color="auto" w:sz="4" w:space="0"/>
              <w:left w:val="nil"/>
              <w:bottom w:val="single" w:color="auto" w:sz="4" w:space="0"/>
              <w:right w:val="single" w:color="auto" w:sz="4" w:space="0"/>
            </w:tcBorders>
            <w:noWrap w:val="0"/>
            <w:vAlign w:val="center"/>
          </w:tcPr>
          <w:p w14:paraId="47A57F7B">
            <w:pPr>
              <w:widowControl/>
              <w:jc w:val="center"/>
              <w:rPr>
                <w:rFonts w:hint="eastAsia" w:ascii="宋体" w:hAnsi="宋体" w:eastAsia="宋体" w:cs="宋体"/>
                <w:sz w:val="21"/>
                <w:szCs w:val="21"/>
                <w:highlight w:val="none"/>
              </w:rPr>
            </w:pPr>
          </w:p>
        </w:tc>
        <w:tc>
          <w:tcPr>
            <w:tcW w:w="1374" w:type="dxa"/>
            <w:tcBorders>
              <w:top w:val="single" w:color="auto" w:sz="4" w:space="0"/>
              <w:left w:val="nil"/>
              <w:bottom w:val="single" w:color="auto" w:sz="4" w:space="0"/>
              <w:right w:val="single" w:color="auto" w:sz="4" w:space="0"/>
            </w:tcBorders>
            <w:noWrap w:val="0"/>
            <w:vAlign w:val="center"/>
          </w:tcPr>
          <w:p w14:paraId="68F0CB2C">
            <w:pPr>
              <w:widowControl/>
              <w:jc w:val="center"/>
              <w:rPr>
                <w:rFonts w:hint="eastAsia" w:ascii="宋体" w:hAnsi="宋体" w:eastAsia="宋体" w:cs="宋体"/>
                <w:sz w:val="21"/>
                <w:szCs w:val="21"/>
                <w:highlight w:val="none"/>
              </w:rPr>
            </w:pPr>
          </w:p>
        </w:tc>
      </w:tr>
      <w:tr w14:paraId="414F1DEE">
        <w:tblPrEx>
          <w:tblCellMar>
            <w:top w:w="0" w:type="dxa"/>
            <w:left w:w="108" w:type="dxa"/>
            <w:bottom w:w="0" w:type="dxa"/>
            <w:right w:w="108" w:type="dxa"/>
          </w:tblCellMar>
        </w:tblPrEx>
        <w:trPr>
          <w:trHeight w:val="1105" w:hRule="atLeast"/>
          <w:jc w:val="center"/>
        </w:trPr>
        <w:tc>
          <w:tcPr>
            <w:tcW w:w="651" w:type="dxa"/>
            <w:vMerge w:val="continue"/>
            <w:tcBorders>
              <w:top w:val="single" w:color="auto" w:sz="4" w:space="0"/>
              <w:left w:val="single" w:color="auto" w:sz="4" w:space="0"/>
              <w:bottom w:val="single" w:color="auto" w:sz="4" w:space="0"/>
              <w:right w:val="single" w:color="auto" w:sz="4" w:space="0"/>
            </w:tcBorders>
            <w:noWrap w:val="0"/>
            <w:vAlign w:val="center"/>
          </w:tcPr>
          <w:p w14:paraId="08843DFF">
            <w:pPr>
              <w:widowControl/>
              <w:jc w:val="center"/>
              <w:rPr>
                <w:rFonts w:hint="eastAsia" w:ascii="宋体" w:hAnsi="宋体" w:eastAsia="宋体" w:cs="宋体"/>
                <w:sz w:val="21"/>
                <w:szCs w:val="21"/>
                <w:highlight w:val="none"/>
              </w:rPr>
            </w:pPr>
          </w:p>
        </w:tc>
        <w:tc>
          <w:tcPr>
            <w:tcW w:w="1020" w:type="dxa"/>
            <w:vMerge w:val="continue"/>
            <w:tcBorders>
              <w:top w:val="single" w:color="auto" w:sz="4" w:space="0"/>
              <w:left w:val="nil"/>
              <w:bottom w:val="single" w:color="auto" w:sz="4" w:space="0"/>
              <w:right w:val="single" w:color="auto" w:sz="4" w:space="0"/>
            </w:tcBorders>
            <w:noWrap w:val="0"/>
            <w:vAlign w:val="center"/>
          </w:tcPr>
          <w:p w14:paraId="2D44F688">
            <w:pPr>
              <w:widowControl/>
              <w:jc w:val="center"/>
              <w:rPr>
                <w:rFonts w:hint="eastAsia" w:ascii="宋体" w:hAnsi="宋体" w:eastAsia="宋体" w:cs="宋体"/>
                <w:sz w:val="21"/>
                <w:szCs w:val="21"/>
                <w:highlight w:val="none"/>
              </w:rPr>
            </w:pPr>
          </w:p>
        </w:tc>
        <w:tc>
          <w:tcPr>
            <w:tcW w:w="718" w:type="dxa"/>
            <w:vMerge w:val="continue"/>
            <w:tcBorders>
              <w:top w:val="single" w:color="auto" w:sz="4" w:space="0"/>
              <w:left w:val="nil"/>
              <w:bottom w:val="single" w:color="auto" w:sz="4" w:space="0"/>
              <w:right w:val="single" w:color="auto" w:sz="4" w:space="0"/>
            </w:tcBorders>
            <w:noWrap w:val="0"/>
            <w:vAlign w:val="center"/>
          </w:tcPr>
          <w:p w14:paraId="23A61FDF">
            <w:pPr>
              <w:widowControl/>
              <w:jc w:val="center"/>
              <w:rPr>
                <w:rFonts w:hint="eastAsia" w:ascii="宋体" w:hAnsi="宋体" w:eastAsia="宋体" w:cs="宋体"/>
                <w:sz w:val="21"/>
                <w:szCs w:val="21"/>
                <w:highlight w:val="none"/>
              </w:rPr>
            </w:pPr>
          </w:p>
        </w:tc>
        <w:tc>
          <w:tcPr>
            <w:tcW w:w="4847" w:type="dxa"/>
            <w:tcBorders>
              <w:top w:val="nil"/>
              <w:left w:val="nil"/>
              <w:bottom w:val="single" w:color="auto" w:sz="4" w:space="0"/>
              <w:right w:val="single" w:color="auto" w:sz="4" w:space="0"/>
            </w:tcBorders>
            <w:noWrap w:val="0"/>
            <w:vAlign w:val="center"/>
          </w:tcPr>
          <w:p w14:paraId="2E9288C0">
            <w:pPr>
              <w:widowControl/>
              <w:rPr>
                <w:rFonts w:hint="eastAsia" w:ascii="宋体" w:hAnsi="宋体" w:eastAsia="宋体" w:cs="宋体"/>
                <w:sz w:val="21"/>
                <w:szCs w:val="21"/>
                <w:highlight w:val="none"/>
              </w:rPr>
            </w:pPr>
            <w:r>
              <w:rPr>
                <w:rFonts w:hint="eastAsia" w:ascii="宋体" w:hAnsi="宋体" w:eastAsia="宋体" w:cs="宋体"/>
                <w:sz w:val="21"/>
                <w:szCs w:val="21"/>
                <w:highlight w:val="none"/>
              </w:rPr>
              <w:t>3.通过查询服务单位所在地，地市一级应急管理局官方网址公开信息显示，未发现服务单位在服务期限内发生生产安全事故得5分，否则得0分。</w:t>
            </w:r>
          </w:p>
        </w:tc>
        <w:tc>
          <w:tcPr>
            <w:tcW w:w="850" w:type="dxa"/>
            <w:tcBorders>
              <w:top w:val="nil"/>
              <w:left w:val="nil"/>
              <w:bottom w:val="single" w:color="auto" w:sz="4" w:space="0"/>
              <w:right w:val="single" w:color="auto" w:sz="4" w:space="0"/>
            </w:tcBorders>
            <w:noWrap w:val="0"/>
            <w:vAlign w:val="center"/>
          </w:tcPr>
          <w:p w14:paraId="0D4138E5">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878" w:type="dxa"/>
            <w:tcBorders>
              <w:top w:val="nil"/>
              <w:left w:val="nil"/>
              <w:bottom w:val="single" w:color="auto" w:sz="4" w:space="0"/>
              <w:right w:val="single" w:color="auto" w:sz="4" w:space="0"/>
            </w:tcBorders>
            <w:noWrap w:val="0"/>
            <w:vAlign w:val="center"/>
          </w:tcPr>
          <w:p w14:paraId="7DD61528">
            <w:pPr>
              <w:widowControl/>
              <w:jc w:val="center"/>
              <w:rPr>
                <w:rFonts w:hint="eastAsia" w:ascii="宋体" w:hAnsi="宋体" w:eastAsia="宋体" w:cs="宋体"/>
                <w:sz w:val="21"/>
                <w:szCs w:val="21"/>
                <w:highlight w:val="none"/>
              </w:rPr>
            </w:pPr>
          </w:p>
        </w:tc>
        <w:tc>
          <w:tcPr>
            <w:tcW w:w="1374" w:type="dxa"/>
            <w:tcBorders>
              <w:top w:val="nil"/>
              <w:left w:val="nil"/>
              <w:bottom w:val="single" w:color="auto" w:sz="4" w:space="0"/>
              <w:right w:val="single" w:color="auto" w:sz="4" w:space="0"/>
            </w:tcBorders>
            <w:noWrap w:val="0"/>
            <w:vAlign w:val="center"/>
          </w:tcPr>
          <w:p w14:paraId="067D816A">
            <w:pPr>
              <w:widowControl/>
              <w:jc w:val="center"/>
              <w:rPr>
                <w:rFonts w:hint="eastAsia" w:ascii="宋体" w:hAnsi="宋体" w:eastAsia="宋体" w:cs="宋体"/>
                <w:sz w:val="21"/>
                <w:szCs w:val="21"/>
                <w:highlight w:val="none"/>
              </w:rPr>
            </w:pPr>
          </w:p>
        </w:tc>
      </w:tr>
      <w:tr w14:paraId="488EA324">
        <w:tblPrEx>
          <w:tblCellMar>
            <w:top w:w="0" w:type="dxa"/>
            <w:left w:w="108" w:type="dxa"/>
            <w:bottom w:w="0" w:type="dxa"/>
            <w:right w:w="108" w:type="dxa"/>
          </w:tblCellMar>
        </w:tblPrEx>
        <w:trPr>
          <w:trHeight w:val="1219" w:hRule="atLeast"/>
          <w:jc w:val="center"/>
        </w:trPr>
        <w:tc>
          <w:tcPr>
            <w:tcW w:w="651" w:type="dxa"/>
            <w:vMerge w:val="restart"/>
            <w:tcBorders>
              <w:top w:val="single" w:color="auto" w:sz="4" w:space="0"/>
              <w:left w:val="single" w:color="auto" w:sz="4" w:space="0"/>
              <w:bottom w:val="single" w:color="auto" w:sz="4" w:space="0"/>
              <w:right w:val="single" w:color="auto" w:sz="4" w:space="0"/>
            </w:tcBorders>
            <w:noWrap w:val="0"/>
            <w:vAlign w:val="center"/>
          </w:tcPr>
          <w:p w14:paraId="01906003">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1020" w:type="dxa"/>
            <w:vMerge w:val="restart"/>
            <w:tcBorders>
              <w:top w:val="single" w:color="auto" w:sz="4" w:space="0"/>
              <w:left w:val="nil"/>
              <w:bottom w:val="single" w:color="auto" w:sz="4" w:space="0"/>
              <w:right w:val="single" w:color="auto" w:sz="4" w:space="0"/>
            </w:tcBorders>
            <w:noWrap w:val="0"/>
            <w:vAlign w:val="center"/>
          </w:tcPr>
          <w:p w14:paraId="0BB0345C">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行政  处罚  情况</w:t>
            </w:r>
          </w:p>
        </w:tc>
        <w:tc>
          <w:tcPr>
            <w:tcW w:w="718" w:type="dxa"/>
            <w:vMerge w:val="restart"/>
            <w:tcBorders>
              <w:top w:val="single" w:color="auto" w:sz="4" w:space="0"/>
              <w:left w:val="nil"/>
              <w:bottom w:val="single" w:color="auto" w:sz="4" w:space="0"/>
              <w:right w:val="single" w:color="auto" w:sz="4" w:space="0"/>
            </w:tcBorders>
            <w:noWrap w:val="0"/>
            <w:vAlign w:val="center"/>
          </w:tcPr>
          <w:p w14:paraId="74FD9884">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20</w:t>
            </w:r>
          </w:p>
        </w:tc>
        <w:tc>
          <w:tcPr>
            <w:tcW w:w="4847" w:type="dxa"/>
            <w:tcBorders>
              <w:top w:val="nil"/>
              <w:left w:val="nil"/>
              <w:bottom w:val="single" w:color="auto" w:sz="4" w:space="0"/>
              <w:right w:val="single" w:color="auto" w:sz="4" w:space="0"/>
            </w:tcBorders>
            <w:noWrap w:val="0"/>
            <w:vAlign w:val="center"/>
          </w:tcPr>
          <w:p w14:paraId="4CFF1DF5">
            <w:pPr>
              <w:widowControl/>
              <w:rPr>
                <w:rFonts w:hint="eastAsia" w:ascii="宋体" w:hAnsi="宋体" w:eastAsia="宋体" w:cs="宋体"/>
                <w:sz w:val="21"/>
                <w:szCs w:val="21"/>
                <w:highlight w:val="none"/>
              </w:rPr>
            </w:pPr>
            <w:r>
              <w:rPr>
                <w:rFonts w:hint="eastAsia" w:ascii="宋体" w:hAnsi="宋体" w:eastAsia="宋体" w:cs="宋体"/>
                <w:sz w:val="21"/>
                <w:szCs w:val="21"/>
                <w:highlight w:val="none"/>
              </w:rPr>
              <w:t>1.服务单位在服务期限未被列入“信用中国”网站失信被执行人、重大税收违法失信主体、政府采购严重违法失信行为记录名单（受处罚期限届满的除外）得10分，否则得0分</w:t>
            </w:r>
          </w:p>
        </w:tc>
        <w:tc>
          <w:tcPr>
            <w:tcW w:w="850" w:type="dxa"/>
            <w:tcBorders>
              <w:top w:val="nil"/>
              <w:left w:val="nil"/>
              <w:bottom w:val="single" w:color="auto" w:sz="4" w:space="0"/>
              <w:right w:val="single" w:color="auto" w:sz="4" w:space="0"/>
            </w:tcBorders>
            <w:noWrap w:val="0"/>
            <w:vAlign w:val="center"/>
          </w:tcPr>
          <w:p w14:paraId="432252DF">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878" w:type="dxa"/>
            <w:tcBorders>
              <w:top w:val="nil"/>
              <w:left w:val="nil"/>
              <w:bottom w:val="single" w:color="auto" w:sz="4" w:space="0"/>
              <w:right w:val="single" w:color="auto" w:sz="4" w:space="0"/>
            </w:tcBorders>
            <w:noWrap w:val="0"/>
            <w:vAlign w:val="center"/>
          </w:tcPr>
          <w:p w14:paraId="59E9FDF4">
            <w:pPr>
              <w:widowControl/>
              <w:jc w:val="center"/>
              <w:rPr>
                <w:rFonts w:hint="eastAsia" w:ascii="宋体" w:hAnsi="宋体" w:eastAsia="宋体" w:cs="宋体"/>
                <w:sz w:val="21"/>
                <w:szCs w:val="21"/>
                <w:highlight w:val="none"/>
              </w:rPr>
            </w:pPr>
          </w:p>
        </w:tc>
        <w:tc>
          <w:tcPr>
            <w:tcW w:w="1374" w:type="dxa"/>
            <w:tcBorders>
              <w:top w:val="nil"/>
              <w:left w:val="nil"/>
              <w:bottom w:val="single" w:color="auto" w:sz="4" w:space="0"/>
              <w:right w:val="single" w:color="auto" w:sz="4" w:space="0"/>
            </w:tcBorders>
            <w:noWrap w:val="0"/>
            <w:vAlign w:val="center"/>
          </w:tcPr>
          <w:p w14:paraId="57BFE2D1">
            <w:pPr>
              <w:widowControl/>
              <w:jc w:val="center"/>
              <w:rPr>
                <w:rFonts w:hint="eastAsia" w:ascii="宋体" w:hAnsi="宋体" w:eastAsia="宋体" w:cs="宋体"/>
                <w:sz w:val="21"/>
                <w:szCs w:val="21"/>
                <w:highlight w:val="none"/>
              </w:rPr>
            </w:pPr>
          </w:p>
        </w:tc>
      </w:tr>
      <w:tr w14:paraId="0E63947D">
        <w:tblPrEx>
          <w:tblCellMar>
            <w:top w:w="0" w:type="dxa"/>
            <w:left w:w="108" w:type="dxa"/>
            <w:bottom w:w="0" w:type="dxa"/>
            <w:right w:w="108" w:type="dxa"/>
          </w:tblCellMar>
        </w:tblPrEx>
        <w:trPr>
          <w:trHeight w:val="1609" w:hRule="atLeast"/>
          <w:jc w:val="center"/>
        </w:trPr>
        <w:tc>
          <w:tcPr>
            <w:tcW w:w="651" w:type="dxa"/>
            <w:vMerge w:val="continue"/>
            <w:tcBorders>
              <w:top w:val="single" w:color="auto" w:sz="4" w:space="0"/>
              <w:left w:val="single" w:color="auto" w:sz="4" w:space="0"/>
              <w:bottom w:val="single" w:color="auto" w:sz="4" w:space="0"/>
              <w:right w:val="single" w:color="auto" w:sz="4" w:space="0"/>
            </w:tcBorders>
            <w:noWrap w:val="0"/>
            <w:vAlign w:val="center"/>
          </w:tcPr>
          <w:p w14:paraId="57B89AFA">
            <w:pPr>
              <w:widowControl/>
              <w:jc w:val="center"/>
              <w:rPr>
                <w:rFonts w:hint="eastAsia" w:ascii="宋体" w:hAnsi="宋体" w:eastAsia="宋体" w:cs="宋体"/>
                <w:sz w:val="21"/>
                <w:szCs w:val="21"/>
                <w:highlight w:val="none"/>
              </w:rPr>
            </w:pPr>
          </w:p>
        </w:tc>
        <w:tc>
          <w:tcPr>
            <w:tcW w:w="1020" w:type="dxa"/>
            <w:vMerge w:val="continue"/>
            <w:tcBorders>
              <w:top w:val="single" w:color="auto" w:sz="4" w:space="0"/>
              <w:left w:val="nil"/>
              <w:bottom w:val="single" w:color="auto" w:sz="4" w:space="0"/>
              <w:right w:val="single" w:color="auto" w:sz="4" w:space="0"/>
            </w:tcBorders>
            <w:noWrap w:val="0"/>
            <w:vAlign w:val="center"/>
          </w:tcPr>
          <w:p w14:paraId="546174CC">
            <w:pPr>
              <w:widowControl/>
              <w:jc w:val="center"/>
              <w:rPr>
                <w:rFonts w:hint="eastAsia" w:ascii="宋体" w:hAnsi="宋体" w:eastAsia="宋体" w:cs="宋体"/>
                <w:sz w:val="21"/>
                <w:szCs w:val="21"/>
                <w:highlight w:val="none"/>
              </w:rPr>
            </w:pPr>
          </w:p>
        </w:tc>
        <w:tc>
          <w:tcPr>
            <w:tcW w:w="718" w:type="dxa"/>
            <w:vMerge w:val="continue"/>
            <w:tcBorders>
              <w:top w:val="single" w:color="auto" w:sz="4" w:space="0"/>
              <w:left w:val="nil"/>
              <w:bottom w:val="single" w:color="auto" w:sz="4" w:space="0"/>
              <w:right w:val="single" w:color="auto" w:sz="4" w:space="0"/>
            </w:tcBorders>
            <w:noWrap w:val="0"/>
            <w:vAlign w:val="center"/>
          </w:tcPr>
          <w:p w14:paraId="754F8A0D">
            <w:pPr>
              <w:widowControl/>
              <w:jc w:val="center"/>
              <w:rPr>
                <w:rFonts w:hint="eastAsia" w:ascii="宋体" w:hAnsi="宋体" w:eastAsia="宋体" w:cs="宋体"/>
                <w:sz w:val="21"/>
                <w:szCs w:val="21"/>
                <w:highlight w:val="none"/>
              </w:rPr>
            </w:pPr>
          </w:p>
        </w:tc>
        <w:tc>
          <w:tcPr>
            <w:tcW w:w="4847" w:type="dxa"/>
            <w:tcBorders>
              <w:top w:val="nil"/>
              <w:left w:val="nil"/>
              <w:bottom w:val="single" w:color="auto" w:sz="4" w:space="0"/>
              <w:right w:val="single" w:color="auto" w:sz="4" w:space="0"/>
            </w:tcBorders>
            <w:noWrap w:val="0"/>
            <w:vAlign w:val="center"/>
          </w:tcPr>
          <w:p w14:paraId="4C70FBFC">
            <w:pPr>
              <w:widowControl/>
              <w:rPr>
                <w:rFonts w:hint="eastAsia" w:ascii="宋体" w:hAnsi="宋体" w:eastAsia="宋体" w:cs="宋体"/>
                <w:sz w:val="21"/>
                <w:szCs w:val="21"/>
                <w:highlight w:val="none"/>
              </w:rPr>
            </w:pPr>
            <w:r>
              <w:rPr>
                <w:rFonts w:hint="eastAsia" w:ascii="宋体" w:hAnsi="宋体" w:eastAsia="宋体" w:cs="宋体"/>
                <w:sz w:val="21"/>
                <w:szCs w:val="21"/>
                <w:highlight w:val="none"/>
              </w:rPr>
              <w:t>2.通过查询服务单位接收地市一级生态环境主管部门官方网站、接收地市一级污泥主管部门官方网站及“信用中国”公开信息，服务单位在服务期限内无行政处罚得10分，服务期限出现行政处罚情况得0分。</w:t>
            </w:r>
          </w:p>
        </w:tc>
        <w:tc>
          <w:tcPr>
            <w:tcW w:w="850" w:type="dxa"/>
            <w:tcBorders>
              <w:top w:val="nil"/>
              <w:left w:val="nil"/>
              <w:bottom w:val="single" w:color="auto" w:sz="4" w:space="0"/>
              <w:right w:val="single" w:color="auto" w:sz="4" w:space="0"/>
            </w:tcBorders>
            <w:noWrap w:val="0"/>
            <w:vAlign w:val="center"/>
          </w:tcPr>
          <w:p w14:paraId="32F044B6">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878" w:type="dxa"/>
            <w:tcBorders>
              <w:top w:val="nil"/>
              <w:left w:val="nil"/>
              <w:bottom w:val="single" w:color="auto" w:sz="4" w:space="0"/>
              <w:right w:val="single" w:color="auto" w:sz="4" w:space="0"/>
            </w:tcBorders>
            <w:noWrap w:val="0"/>
            <w:vAlign w:val="center"/>
          </w:tcPr>
          <w:p w14:paraId="529CB5CC">
            <w:pPr>
              <w:widowControl/>
              <w:jc w:val="center"/>
              <w:rPr>
                <w:rFonts w:hint="eastAsia" w:ascii="宋体" w:hAnsi="宋体" w:eastAsia="宋体" w:cs="宋体"/>
                <w:sz w:val="21"/>
                <w:szCs w:val="21"/>
                <w:highlight w:val="none"/>
              </w:rPr>
            </w:pPr>
          </w:p>
        </w:tc>
        <w:tc>
          <w:tcPr>
            <w:tcW w:w="1374" w:type="dxa"/>
            <w:tcBorders>
              <w:top w:val="nil"/>
              <w:left w:val="nil"/>
              <w:bottom w:val="single" w:color="auto" w:sz="4" w:space="0"/>
              <w:right w:val="single" w:color="auto" w:sz="4" w:space="0"/>
            </w:tcBorders>
            <w:noWrap w:val="0"/>
            <w:vAlign w:val="center"/>
          </w:tcPr>
          <w:p w14:paraId="674FB6DA">
            <w:pPr>
              <w:widowControl/>
              <w:jc w:val="center"/>
              <w:rPr>
                <w:rFonts w:hint="eastAsia" w:ascii="宋体" w:hAnsi="宋体" w:eastAsia="宋体" w:cs="宋体"/>
                <w:sz w:val="21"/>
                <w:szCs w:val="21"/>
                <w:highlight w:val="none"/>
              </w:rPr>
            </w:pPr>
          </w:p>
        </w:tc>
      </w:tr>
      <w:tr w14:paraId="0D210108">
        <w:tblPrEx>
          <w:tblCellMar>
            <w:top w:w="0" w:type="dxa"/>
            <w:left w:w="108" w:type="dxa"/>
            <w:bottom w:w="0" w:type="dxa"/>
            <w:right w:w="108" w:type="dxa"/>
          </w:tblCellMar>
        </w:tblPrEx>
        <w:trPr>
          <w:trHeight w:val="1126" w:hRule="atLeast"/>
          <w:jc w:val="center"/>
        </w:trPr>
        <w:tc>
          <w:tcPr>
            <w:tcW w:w="1671" w:type="dxa"/>
            <w:gridSpan w:val="2"/>
            <w:tcBorders>
              <w:top w:val="single" w:color="auto" w:sz="4" w:space="0"/>
              <w:left w:val="single" w:color="auto" w:sz="4" w:space="0"/>
              <w:bottom w:val="single" w:color="auto" w:sz="4" w:space="0"/>
              <w:right w:val="single" w:color="auto" w:sz="4" w:space="0"/>
            </w:tcBorders>
            <w:noWrap w:val="0"/>
            <w:vAlign w:val="center"/>
          </w:tcPr>
          <w:p w14:paraId="3B5BB380">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合计</w:t>
            </w:r>
          </w:p>
        </w:tc>
        <w:tc>
          <w:tcPr>
            <w:tcW w:w="718" w:type="dxa"/>
            <w:tcBorders>
              <w:top w:val="single" w:color="auto" w:sz="4" w:space="0"/>
              <w:left w:val="nil"/>
              <w:bottom w:val="single" w:color="auto" w:sz="4" w:space="0"/>
              <w:right w:val="single" w:color="auto" w:sz="4" w:space="0"/>
            </w:tcBorders>
            <w:noWrap w:val="0"/>
            <w:vAlign w:val="center"/>
          </w:tcPr>
          <w:p w14:paraId="0646C68D">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　</w:t>
            </w:r>
          </w:p>
        </w:tc>
        <w:tc>
          <w:tcPr>
            <w:tcW w:w="4847" w:type="dxa"/>
            <w:tcBorders>
              <w:top w:val="single" w:color="auto" w:sz="4" w:space="0"/>
              <w:left w:val="single" w:color="auto" w:sz="4" w:space="0"/>
              <w:bottom w:val="single" w:color="auto" w:sz="4" w:space="0"/>
              <w:right w:val="single" w:color="auto" w:sz="4" w:space="0"/>
            </w:tcBorders>
            <w:noWrap w:val="0"/>
            <w:vAlign w:val="center"/>
          </w:tcPr>
          <w:p w14:paraId="2E7D233C">
            <w:pPr>
              <w:widowControl/>
              <w:jc w:val="center"/>
              <w:rPr>
                <w:rFonts w:hint="eastAsia" w:ascii="宋体" w:hAnsi="宋体" w:eastAsia="宋体" w:cs="宋体"/>
                <w:sz w:val="21"/>
                <w:szCs w:val="21"/>
                <w:highlight w:val="none"/>
              </w:rPr>
            </w:pPr>
          </w:p>
        </w:tc>
        <w:tc>
          <w:tcPr>
            <w:tcW w:w="850" w:type="dxa"/>
            <w:tcBorders>
              <w:top w:val="single" w:color="auto" w:sz="4" w:space="0"/>
              <w:left w:val="nil"/>
              <w:bottom w:val="single" w:color="auto" w:sz="4" w:space="0"/>
              <w:right w:val="single" w:color="auto" w:sz="4" w:space="0"/>
            </w:tcBorders>
            <w:noWrap w:val="0"/>
            <w:vAlign w:val="center"/>
          </w:tcPr>
          <w:p w14:paraId="3D94502E">
            <w:pPr>
              <w:widowControl/>
              <w:jc w:val="center"/>
              <w:rPr>
                <w:rFonts w:hint="eastAsia" w:ascii="宋体" w:hAnsi="宋体" w:eastAsia="宋体" w:cs="宋体"/>
                <w:sz w:val="21"/>
                <w:szCs w:val="21"/>
                <w:highlight w:val="none"/>
              </w:rPr>
            </w:pPr>
          </w:p>
        </w:tc>
        <w:tc>
          <w:tcPr>
            <w:tcW w:w="878" w:type="dxa"/>
            <w:tcBorders>
              <w:top w:val="single" w:color="auto" w:sz="4" w:space="0"/>
              <w:left w:val="nil"/>
              <w:bottom w:val="single" w:color="auto" w:sz="4" w:space="0"/>
              <w:right w:val="single" w:color="auto" w:sz="4" w:space="0"/>
            </w:tcBorders>
            <w:noWrap w:val="0"/>
            <w:vAlign w:val="center"/>
          </w:tcPr>
          <w:p w14:paraId="2B006345">
            <w:pPr>
              <w:widowControl/>
              <w:jc w:val="center"/>
              <w:rPr>
                <w:rFonts w:hint="eastAsia" w:ascii="宋体" w:hAnsi="宋体" w:eastAsia="宋体" w:cs="宋体"/>
                <w:sz w:val="21"/>
                <w:szCs w:val="21"/>
                <w:highlight w:val="none"/>
              </w:rPr>
            </w:pPr>
          </w:p>
        </w:tc>
        <w:tc>
          <w:tcPr>
            <w:tcW w:w="1374" w:type="dxa"/>
            <w:tcBorders>
              <w:top w:val="single" w:color="auto" w:sz="4" w:space="0"/>
              <w:left w:val="nil"/>
              <w:bottom w:val="single" w:color="auto" w:sz="4" w:space="0"/>
              <w:right w:val="single" w:color="auto" w:sz="4" w:space="0"/>
            </w:tcBorders>
            <w:noWrap w:val="0"/>
            <w:vAlign w:val="center"/>
          </w:tcPr>
          <w:p w14:paraId="73C310DD">
            <w:pPr>
              <w:widowControl/>
              <w:jc w:val="center"/>
              <w:rPr>
                <w:rFonts w:hint="eastAsia" w:ascii="宋体" w:hAnsi="宋体" w:eastAsia="宋体" w:cs="宋体"/>
                <w:sz w:val="21"/>
                <w:szCs w:val="21"/>
                <w:highlight w:val="none"/>
              </w:rPr>
            </w:pPr>
          </w:p>
        </w:tc>
      </w:tr>
      <w:tr w14:paraId="6EEF1C82">
        <w:tblPrEx>
          <w:tblCellMar>
            <w:top w:w="0" w:type="dxa"/>
            <w:left w:w="108" w:type="dxa"/>
            <w:bottom w:w="0" w:type="dxa"/>
            <w:right w:w="108" w:type="dxa"/>
          </w:tblCellMar>
        </w:tblPrEx>
        <w:trPr>
          <w:trHeight w:val="1126" w:hRule="atLeast"/>
          <w:jc w:val="center"/>
        </w:trPr>
        <w:tc>
          <w:tcPr>
            <w:tcW w:w="2389" w:type="dxa"/>
            <w:gridSpan w:val="3"/>
            <w:tcBorders>
              <w:top w:val="single" w:color="auto" w:sz="4" w:space="0"/>
              <w:left w:val="single" w:color="auto" w:sz="4" w:space="0"/>
              <w:bottom w:val="single" w:color="auto" w:sz="4" w:space="0"/>
              <w:right w:val="single" w:color="auto" w:sz="4" w:space="0"/>
            </w:tcBorders>
            <w:noWrap w:val="0"/>
            <w:vAlign w:val="center"/>
          </w:tcPr>
          <w:p w14:paraId="2A090D28">
            <w:pPr>
              <w:widowControl/>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直接认定为考核     不合格的情况</w:t>
            </w:r>
          </w:p>
        </w:tc>
        <w:tc>
          <w:tcPr>
            <w:tcW w:w="7949" w:type="dxa"/>
            <w:gridSpan w:val="4"/>
            <w:tcBorders>
              <w:top w:val="single" w:color="auto" w:sz="4" w:space="0"/>
              <w:left w:val="nil"/>
              <w:bottom w:val="single" w:color="auto" w:sz="4" w:space="0"/>
              <w:right w:val="single" w:color="auto" w:sz="4" w:space="0"/>
            </w:tcBorders>
            <w:noWrap w:val="0"/>
            <w:vAlign w:val="center"/>
          </w:tcPr>
          <w:p w14:paraId="76CC4EDB">
            <w:pPr>
              <w:widowControl/>
              <w:jc w:val="left"/>
              <w:rPr>
                <w:rFonts w:hint="eastAsia" w:ascii="宋体" w:hAnsi="宋体" w:eastAsia="宋体" w:cs="宋体"/>
                <w:sz w:val="21"/>
                <w:szCs w:val="21"/>
                <w:highlight w:val="none"/>
              </w:rPr>
            </w:pPr>
            <w:r>
              <w:rPr>
                <w:rFonts w:hint="eastAsia" w:ascii="宋体" w:hAnsi="宋体" w:eastAsia="宋体" w:cs="宋体"/>
                <w:sz w:val="21"/>
                <w:szCs w:val="22"/>
                <w:highlight w:val="none"/>
              </w:rPr>
              <w:t>1.供应商拒不配合众源公司工作人员开展考核的；                                2.考核评价中供应商提供的证明文件认定为虚假证明材料或被存在其他弄虚作假行为的，或考核评价中供应商泥粉/污泥</w:t>
            </w:r>
            <w:r>
              <w:rPr>
                <w:rFonts w:hint="eastAsia" w:ascii="宋体" w:hAnsi="宋体" w:eastAsia="宋体" w:cs="宋体"/>
                <w:sz w:val="21"/>
                <w:szCs w:val="22"/>
                <w:highlight w:val="none"/>
                <w:lang w:eastAsia="zh-CN"/>
              </w:rPr>
              <w:t>处置场所</w:t>
            </w:r>
            <w:r>
              <w:rPr>
                <w:rFonts w:hint="eastAsia" w:ascii="宋体" w:hAnsi="宋体" w:eastAsia="宋体" w:cs="宋体"/>
                <w:sz w:val="21"/>
                <w:szCs w:val="22"/>
                <w:highlight w:val="none"/>
              </w:rPr>
              <w:t>与</w:t>
            </w:r>
            <w:r>
              <w:rPr>
                <w:rFonts w:hint="eastAsia" w:ascii="宋体" w:hAnsi="宋体" w:eastAsia="宋体" w:cs="宋体"/>
                <w:sz w:val="21"/>
                <w:szCs w:val="22"/>
                <w:highlight w:val="none"/>
                <w:lang w:val="en-US" w:eastAsia="zh-CN"/>
              </w:rPr>
              <w:t>投标</w:t>
            </w:r>
            <w:r>
              <w:rPr>
                <w:rFonts w:hint="eastAsia" w:ascii="宋体" w:hAnsi="宋体" w:eastAsia="宋体" w:cs="宋体"/>
                <w:sz w:val="21"/>
                <w:szCs w:val="22"/>
                <w:highlight w:val="none"/>
              </w:rPr>
              <w:t xml:space="preserve">（申请）文件不符的；                                    </w:t>
            </w:r>
            <w:r>
              <w:rPr>
                <w:rFonts w:hint="eastAsia" w:ascii="宋体" w:hAnsi="宋体" w:eastAsia="宋体" w:cs="宋体"/>
                <w:sz w:val="21"/>
                <w:szCs w:val="22"/>
                <w:highlight w:val="none"/>
                <w:lang w:val="en-US" w:eastAsia="zh-CN"/>
              </w:rPr>
              <w:t>3.</w:t>
            </w:r>
            <w:r>
              <w:rPr>
                <w:rFonts w:hint="eastAsia" w:ascii="宋体" w:hAnsi="宋体" w:eastAsia="宋体" w:cs="宋体"/>
                <w:sz w:val="21"/>
                <w:szCs w:val="22"/>
                <w:highlight w:val="none"/>
              </w:rPr>
              <w:t>供应商在考核评价期发生重大生产安全事故的；                               4.供应商被行政主管部门禁止开展泥粉/污泥处置工作的；                             5.供应商破产、倒闭或被行政主管部门要求停业的。</w:t>
            </w:r>
          </w:p>
        </w:tc>
      </w:tr>
    </w:tbl>
    <w:p w14:paraId="3C9B5FD1">
      <w:pPr>
        <w:widowControl/>
        <w:spacing w:line="360" w:lineRule="auto"/>
        <w:rPr>
          <w:rFonts w:hint="eastAsia" w:ascii="Times New Roman" w:hAnsi="Times New Roman" w:eastAsia="宋体" w:cs="宋体"/>
          <w:sz w:val="21"/>
          <w:szCs w:val="21"/>
          <w:highlight w:val="none"/>
        </w:rPr>
      </w:pPr>
    </w:p>
    <w:p w14:paraId="5BA47A9E">
      <w:pPr>
        <w:widowControl/>
        <w:spacing w:line="360" w:lineRule="auto"/>
        <w:rPr>
          <w:rFonts w:hint="eastAsia" w:ascii="Times New Roman" w:hAnsi="Times New Roman" w:eastAsia="宋体" w:cs="宋体"/>
          <w:sz w:val="21"/>
          <w:szCs w:val="21"/>
          <w:highlight w:val="none"/>
        </w:rPr>
      </w:pPr>
      <w:r>
        <w:rPr>
          <w:rFonts w:hint="eastAsia" w:ascii="Times New Roman" w:hAnsi="Times New Roman" w:eastAsia="宋体" w:cs="宋体"/>
          <w:sz w:val="21"/>
          <w:szCs w:val="21"/>
          <w:highlight w:val="none"/>
        </w:rPr>
        <w:t>服务单位（盖章）：</w:t>
      </w:r>
    </w:p>
    <w:p w14:paraId="46B67666">
      <w:pPr>
        <w:widowControl/>
        <w:spacing w:line="360" w:lineRule="auto"/>
        <w:rPr>
          <w:rFonts w:hint="eastAsia" w:ascii="Times New Roman" w:hAnsi="Times New Roman" w:eastAsia="宋体" w:cs="宋体"/>
          <w:sz w:val="21"/>
          <w:szCs w:val="21"/>
          <w:highlight w:val="none"/>
        </w:rPr>
      </w:pPr>
      <w:r>
        <w:rPr>
          <w:rFonts w:hint="eastAsia" w:ascii="宋体" w:hAnsi="宋体" w:eastAsia="宋体" w:cs="宋体"/>
          <w:sz w:val="21"/>
          <w:szCs w:val="21"/>
          <w:highlight w:val="none"/>
        </w:rPr>
        <w:t>考核人</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            考核人2：</w:t>
      </w:r>
      <w:r>
        <w:rPr>
          <w:rFonts w:hint="eastAsia" w:ascii="Times New Roman" w:hAnsi="Times New Roman" w:eastAsia="宋体" w:cs="宋体"/>
          <w:sz w:val="21"/>
          <w:szCs w:val="21"/>
          <w:highlight w:val="none"/>
        </w:rPr>
        <w:t xml:space="preserve">                   考核结果（合格、限期整改、不合格）：                 </w:t>
      </w:r>
    </w:p>
    <w:p w14:paraId="3060A059">
      <w:pPr>
        <w:widowControl/>
        <w:spacing w:line="360" w:lineRule="auto"/>
        <w:ind w:firstLine="0" w:firstLineChars="0"/>
        <w:rPr>
          <w:rFonts w:hint="eastAsia" w:ascii="Times New Roman" w:hAnsi="Times New Roman" w:eastAsia="宋体" w:cs="宋体"/>
          <w:sz w:val="21"/>
          <w:szCs w:val="21"/>
          <w:highlight w:val="none"/>
        </w:rPr>
      </w:pPr>
      <w:r>
        <w:rPr>
          <w:rFonts w:hint="eastAsia" w:ascii="Times New Roman" w:hAnsi="Times New Roman" w:eastAsia="宋体" w:cs="宋体"/>
          <w:sz w:val="21"/>
          <w:szCs w:val="21"/>
          <w:highlight w:val="none"/>
        </w:rPr>
        <w:t>考核时间：</w:t>
      </w:r>
    </w:p>
    <w:p w14:paraId="0BD7F7E3">
      <w:pPr>
        <w:rPr>
          <w:highlight w:val="none"/>
        </w:rPr>
      </w:pPr>
    </w:p>
    <w:p w14:paraId="3D141B60">
      <w:pPr>
        <w:pStyle w:val="23"/>
        <w:rPr>
          <w:highlight w:val="none"/>
        </w:rPr>
      </w:pPr>
    </w:p>
    <w:p w14:paraId="0D515F6F">
      <w:pPr>
        <w:pStyle w:val="24"/>
        <w:rPr>
          <w:highlight w:val="none"/>
        </w:rPr>
      </w:pPr>
    </w:p>
    <w:p w14:paraId="5E3D7EB0">
      <w:pPr>
        <w:pStyle w:val="24"/>
        <w:rPr>
          <w:highlight w:val="none"/>
        </w:rPr>
      </w:pPr>
    </w:p>
    <w:p w14:paraId="4F2FBC6C">
      <w:pPr>
        <w:pStyle w:val="24"/>
        <w:rPr>
          <w:highlight w:val="none"/>
        </w:rPr>
      </w:pPr>
    </w:p>
    <w:p w14:paraId="4DE230BB">
      <w:pPr>
        <w:pStyle w:val="24"/>
        <w:rPr>
          <w:highlight w:val="none"/>
        </w:rPr>
      </w:pPr>
    </w:p>
    <w:p w14:paraId="65B618D5">
      <w:pPr>
        <w:pStyle w:val="24"/>
        <w:rPr>
          <w:highlight w:val="none"/>
        </w:rPr>
      </w:pPr>
    </w:p>
    <w:p w14:paraId="7A90818D">
      <w:pPr>
        <w:pStyle w:val="24"/>
        <w:rPr>
          <w:highlight w:val="none"/>
        </w:rPr>
      </w:pPr>
    </w:p>
    <w:p w14:paraId="4C5C2EF4">
      <w:pPr>
        <w:pStyle w:val="24"/>
        <w:rPr>
          <w:highlight w:val="none"/>
        </w:rPr>
      </w:pPr>
    </w:p>
    <w:p w14:paraId="387F5DC8">
      <w:pPr>
        <w:pageBreakBefore/>
        <w:spacing w:before="120" w:beforeLines="50" w:after="120" w:afterLines="50" w:line="360" w:lineRule="auto"/>
        <w:ind w:firstLine="640"/>
        <w:jc w:val="center"/>
        <w:outlineLvl w:val="0"/>
        <w:rPr>
          <w:rFonts w:ascii="宋体" w:hAnsi="宋体" w:eastAsia="宋体" w:cs="Times New Roman"/>
          <w:b/>
          <w:bCs/>
          <w:sz w:val="32"/>
          <w:szCs w:val="32"/>
          <w:highlight w:val="none"/>
          <w:lang w:val="zh-CN"/>
        </w:rPr>
      </w:pPr>
      <w:bookmarkStart w:id="593" w:name="_Toc4388"/>
      <w:bookmarkStart w:id="594" w:name="_Toc22246"/>
      <w:bookmarkStart w:id="595" w:name="_Toc16618"/>
      <w:r>
        <w:rPr>
          <w:rFonts w:hint="eastAsia" w:ascii="宋体" w:hAnsi="宋体" w:eastAsia="宋体" w:cs="Times New Roman"/>
          <w:b/>
          <w:bCs/>
          <w:sz w:val="32"/>
          <w:szCs w:val="32"/>
          <w:highlight w:val="none"/>
          <w:lang w:val="zh-CN"/>
        </w:rPr>
        <w:t>第五篇</w:t>
      </w:r>
      <w:r>
        <w:rPr>
          <w:rFonts w:ascii="宋体" w:hAnsi="宋体" w:eastAsia="宋体" w:cs="Times New Roman"/>
          <w:b/>
          <w:bCs/>
          <w:sz w:val="32"/>
          <w:szCs w:val="32"/>
          <w:highlight w:val="none"/>
          <w:lang w:val="zh-CN"/>
        </w:rPr>
        <w:t xml:space="preserve"> </w:t>
      </w:r>
      <w:r>
        <w:rPr>
          <w:rFonts w:hint="eastAsia" w:ascii="宋体" w:hAnsi="宋体" w:eastAsia="宋体" w:cs="Times New Roman"/>
          <w:b/>
          <w:bCs/>
          <w:sz w:val="32"/>
          <w:szCs w:val="32"/>
          <w:highlight w:val="none"/>
          <w:lang w:val="zh-CN"/>
        </w:rPr>
        <w:t>相关保函格式</w:t>
      </w:r>
      <w:bookmarkEnd w:id="593"/>
      <w:bookmarkEnd w:id="594"/>
      <w:bookmarkEnd w:id="595"/>
    </w:p>
    <w:p w14:paraId="085844FD">
      <w:pPr>
        <w:autoSpaceDE w:val="0"/>
        <w:autoSpaceDN w:val="0"/>
        <w:adjustRightInd w:val="0"/>
        <w:spacing w:after="120" w:afterLines="50" w:line="360" w:lineRule="auto"/>
        <w:jc w:val="left"/>
        <w:rPr>
          <w:rFonts w:ascii="宋体" w:hAnsi="宋体" w:eastAsia="宋体" w:cs="Times New Roman"/>
          <w:b/>
          <w:kern w:val="0"/>
          <w:sz w:val="28"/>
          <w:szCs w:val="28"/>
          <w:highlight w:val="none"/>
        </w:rPr>
      </w:pPr>
      <w:r>
        <w:rPr>
          <w:rFonts w:hint="eastAsia" w:ascii="宋体" w:hAnsi="宋体" w:eastAsia="宋体" w:cs="Times New Roman"/>
          <w:b/>
          <w:kern w:val="0"/>
          <w:sz w:val="28"/>
          <w:szCs w:val="28"/>
          <w:highlight w:val="none"/>
        </w:rPr>
        <w:t>一、不可撤销银行履约保函格式</w:t>
      </w:r>
    </w:p>
    <w:p w14:paraId="290EA21B">
      <w:pPr>
        <w:autoSpaceDE w:val="0"/>
        <w:autoSpaceDN w:val="0"/>
        <w:adjustRightInd w:val="0"/>
        <w:jc w:val="center"/>
        <w:outlineLvl w:val="2"/>
        <w:rPr>
          <w:rFonts w:ascii="宋体" w:hAnsi="宋体" w:eastAsia="宋体" w:cs="Times New Roman"/>
          <w:b/>
          <w:kern w:val="0"/>
          <w:sz w:val="30"/>
          <w:szCs w:val="30"/>
          <w:highlight w:val="none"/>
        </w:rPr>
      </w:pPr>
      <w:r>
        <w:rPr>
          <w:rFonts w:hint="eastAsia" w:ascii="宋体" w:hAnsi="宋体" w:eastAsia="宋体" w:cs="Times New Roman"/>
          <w:b/>
          <w:kern w:val="0"/>
          <w:sz w:val="30"/>
          <w:szCs w:val="30"/>
          <w:highlight w:val="none"/>
        </w:rPr>
        <w:t>不可撤销银行履约保函</w:t>
      </w:r>
    </w:p>
    <w:p w14:paraId="7CE00D02">
      <w:pPr>
        <w:widowControl/>
        <w:autoSpaceDE w:val="0"/>
        <w:autoSpaceDN w:val="0"/>
        <w:adjustRightInd w:val="0"/>
        <w:spacing w:line="360" w:lineRule="auto"/>
        <w:jc w:val="left"/>
        <w:rPr>
          <w:rFonts w:ascii="宋体" w:hAnsi="宋体" w:eastAsia="宋体" w:cs="宋体"/>
          <w:kern w:val="0"/>
          <w:szCs w:val="21"/>
          <w:highlight w:val="none"/>
        </w:rPr>
      </w:pPr>
    </w:p>
    <w:p w14:paraId="4A19F462">
      <w:pPr>
        <w:autoSpaceDE w:val="0"/>
        <w:autoSpaceDN w:val="0"/>
        <w:adjustRightInd w:val="0"/>
        <w:spacing w:line="360" w:lineRule="auto"/>
        <w:ind w:firstLine="6300"/>
        <w:jc w:val="left"/>
        <w:rPr>
          <w:rFonts w:ascii="宋体" w:hAnsi="宋体" w:eastAsia="宋体" w:cs="Times New Roman"/>
          <w:kern w:val="0"/>
          <w:szCs w:val="21"/>
          <w:highlight w:val="none"/>
          <w:u w:val="single"/>
        </w:rPr>
      </w:pPr>
      <w:r>
        <w:rPr>
          <w:rFonts w:ascii="宋体" w:hAnsi="宋体" w:eastAsia="宋体" w:cs="Times New Roman"/>
          <w:kern w:val="0"/>
          <w:szCs w:val="21"/>
          <w:highlight w:val="none"/>
        </w:rPr>
        <w:t>银行编号：</w:t>
      </w:r>
    </w:p>
    <w:p w14:paraId="00AB2748">
      <w:pPr>
        <w:widowControl/>
        <w:autoSpaceDE w:val="0"/>
        <w:autoSpaceDN w:val="0"/>
        <w:adjustRightInd w:val="0"/>
        <w:spacing w:line="360" w:lineRule="auto"/>
        <w:jc w:val="left"/>
        <w:rPr>
          <w:rFonts w:ascii="宋体" w:hAnsi="宋体" w:eastAsia="宋体" w:cs="宋体"/>
          <w:kern w:val="0"/>
          <w:szCs w:val="21"/>
          <w:highlight w:val="none"/>
        </w:rPr>
      </w:pPr>
      <w:r>
        <w:rPr>
          <w:rFonts w:hint="eastAsia" w:ascii="宋体" w:hAnsi="宋体" w:eastAsia="宋体" w:cs="宋体"/>
          <w:kern w:val="0"/>
          <w:szCs w:val="21"/>
          <w:highlight w:val="none"/>
        </w:rPr>
        <w:t>致：</w:t>
      </w:r>
      <w:r>
        <w:rPr>
          <w:rFonts w:ascii="宋体" w:hAnsi="宋体" w:eastAsia="宋体" w:cs="宋体"/>
          <w:b/>
          <w:kern w:val="0"/>
          <w:szCs w:val="21"/>
          <w:highlight w:val="none"/>
          <w:u w:val="single"/>
        </w:rPr>
        <w:t xml:space="preserve">                    </w:t>
      </w:r>
      <w:r>
        <w:rPr>
          <w:rFonts w:hint="eastAsia" w:ascii="宋体" w:hAnsi="宋体" w:eastAsia="宋体" w:cs="宋体"/>
          <w:kern w:val="0"/>
          <w:szCs w:val="21"/>
          <w:highlight w:val="none"/>
        </w:rPr>
        <w:t>（下称“受益人”）</w:t>
      </w:r>
    </w:p>
    <w:p w14:paraId="42783EDE">
      <w:pPr>
        <w:widowControl/>
        <w:autoSpaceDE w:val="0"/>
        <w:autoSpaceDN w:val="0"/>
        <w:adjustRightInd w:val="0"/>
        <w:spacing w:line="360" w:lineRule="auto"/>
        <w:ind w:firstLine="567" w:firstLineChars="270"/>
        <w:jc w:val="left"/>
        <w:rPr>
          <w:rFonts w:ascii="宋体" w:hAnsi="宋体" w:eastAsia="宋体" w:cs="宋体"/>
          <w:kern w:val="0"/>
          <w:szCs w:val="21"/>
          <w:highlight w:val="none"/>
        </w:rPr>
      </w:pPr>
      <w:r>
        <w:rPr>
          <w:rFonts w:hint="eastAsia" w:ascii="宋体" w:hAnsi="宋体" w:eastAsia="宋体" w:cs="宋体"/>
          <w:kern w:val="0"/>
          <w:szCs w:val="21"/>
          <w:highlight w:val="none"/>
        </w:rPr>
        <w:t>鉴于</w:t>
      </w:r>
      <w:r>
        <w:rPr>
          <w:rFonts w:ascii="宋体" w:hAnsi="宋体" w:eastAsia="宋体" w:cs="宋体"/>
          <w:kern w:val="0"/>
          <w:szCs w:val="21"/>
          <w:highlight w:val="none"/>
          <w:u w:val="single"/>
        </w:rPr>
        <w:t xml:space="preserve">  （</w:t>
      </w:r>
      <w:r>
        <w:rPr>
          <w:rFonts w:hint="eastAsia" w:ascii="宋体" w:hAnsi="宋体" w:eastAsia="宋体" w:cs="宋体"/>
          <w:kern w:val="0"/>
          <w:szCs w:val="21"/>
          <w:highlight w:val="none"/>
          <w:u w:val="single"/>
        </w:rPr>
        <w:t>申请人</w:t>
      </w:r>
      <w:r>
        <w:rPr>
          <w:rFonts w:ascii="宋体" w:hAnsi="宋体" w:eastAsia="宋体" w:cs="宋体"/>
          <w:kern w:val="0"/>
          <w:szCs w:val="21"/>
          <w:highlight w:val="none"/>
          <w:u w:val="single"/>
        </w:rPr>
        <w:t xml:space="preserve">的名称与地址）  </w:t>
      </w:r>
      <w:r>
        <w:rPr>
          <w:rFonts w:hint="eastAsia" w:ascii="宋体" w:hAnsi="宋体" w:eastAsia="宋体" w:cs="宋体"/>
          <w:kern w:val="0"/>
          <w:szCs w:val="21"/>
          <w:highlight w:val="none"/>
        </w:rPr>
        <w:t>（下称“申请人”），已保证按拟签订的</w:t>
      </w:r>
      <w:r>
        <w:rPr>
          <w:rFonts w:ascii="宋体" w:hAnsi="宋体" w:eastAsia="宋体" w:cs="宋体"/>
          <w:kern w:val="0"/>
          <w:szCs w:val="21"/>
          <w:highlight w:val="none"/>
          <w:u w:val="single"/>
        </w:rPr>
        <w:t xml:space="preserve"> 项目名称       （招标编号：         ）</w:t>
      </w:r>
      <w:r>
        <w:rPr>
          <w:rFonts w:hint="eastAsia" w:ascii="宋体" w:hAnsi="宋体" w:eastAsia="宋体" w:cs="宋体"/>
          <w:kern w:val="0"/>
          <w:szCs w:val="21"/>
          <w:highlight w:val="none"/>
        </w:rPr>
        <w:t>合同（招标文件）中规定的义务履行合同。</w:t>
      </w:r>
    </w:p>
    <w:p w14:paraId="7D2E4264">
      <w:pPr>
        <w:widowControl/>
        <w:autoSpaceDE w:val="0"/>
        <w:autoSpaceDN w:val="0"/>
        <w:adjustRightInd w:val="0"/>
        <w:spacing w:line="360" w:lineRule="auto"/>
        <w:ind w:firstLine="567" w:firstLineChars="270"/>
        <w:jc w:val="left"/>
        <w:rPr>
          <w:rFonts w:ascii="宋体" w:hAnsi="宋体" w:eastAsia="宋体" w:cs="宋体"/>
          <w:kern w:val="0"/>
          <w:szCs w:val="21"/>
          <w:highlight w:val="none"/>
        </w:rPr>
      </w:pPr>
      <w:r>
        <w:rPr>
          <w:rFonts w:hint="eastAsia" w:ascii="宋体" w:hAnsi="宋体" w:eastAsia="宋体" w:cs="宋体"/>
          <w:kern w:val="0"/>
          <w:szCs w:val="21"/>
          <w:highlight w:val="none"/>
        </w:rPr>
        <w:t>根据上述合同（招标文件）规定，申请人应向受益人提供一份金额为人民币（大写）</w:t>
      </w:r>
      <w:r>
        <w:rPr>
          <w:rFonts w:ascii="宋体" w:hAnsi="宋体" w:eastAsia="宋体" w:cs="宋体"/>
          <w:kern w:val="0"/>
          <w:szCs w:val="21"/>
          <w:highlight w:val="none"/>
          <w:u w:val="single"/>
        </w:rPr>
        <w:t xml:space="preserve">      （</w:t>
      </w:r>
      <w:r>
        <w:rPr>
          <w:rFonts w:hint="eastAsia" w:ascii="宋体" w:hAnsi="宋体" w:eastAsia="宋体" w:cs="宋体"/>
          <w:kern w:val="0"/>
          <w:szCs w:val="21"/>
          <w:highlight w:val="none"/>
          <w:u w:val="single"/>
        </w:rPr>
        <w:t>RMB</w:t>
      </w:r>
      <w:r>
        <w:rPr>
          <w:rFonts w:ascii="宋体" w:hAnsi="宋体" w:eastAsia="宋体" w:cs="宋体"/>
          <w:kern w:val="0"/>
          <w:szCs w:val="21"/>
          <w:highlight w:val="none"/>
          <w:u w:val="single"/>
        </w:rPr>
        <w:t>元）</w:t>
      </w:r>
      <w:r>
        <w:rPr>
          <w:rFonts w:hint="eastAsia" w:ascii="宋体" w:hAnsi="宋体" w:eastAsia="宋体" w:cs="宋体"/>
          <w:kern w:val="0"/>
          <w:szCs w:val="21"/>
          <w:highlight w:val="none"/>
        </w:rPr>
        <w:t>的无条件、不可撤销银行履约保函，作为申请人履行上述合同的担保。</w:t>
      </w:r>
    </w:p>
    <w:p w14:paraId="17A3C6BF">
      <w:pPr>
        <w:widowControl/>
        <w:autoSpaceDE w:val="0"/>
        <w:autoSpaceDN w:val="0"/>
        <w:adjustRightInd w:val="0"/>
        <w:spacing w:line="360" w:lineRule="auto"/>
        <w:ind w:firstLine="567" w:firstLineChars="27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我方</w:t>
      </w:r>
      <w:r>
        <w:rPr>
          <w:rFonts w:ascii="宋体" w:hAnsi="宋体" w:eastAsia="宋体" w:cs="宋体"/>
          <w:color w:val="auto"/>
          <w:kern w:val="0"/>
          <w:szCs w:val="21"/>
          <w:highlight w:val="none"/>
          <w:u w:val="single"/>
        </w:rPr>
        <w:t xml:space="preserve">     （银行名称）</w:t>
      </w:r>
      <w:r>
        <w:rPr>
          <w:rFonts w:hint="eastAsia" w:ascii="宋体" w:hAnsi="宋体" w:eastAsia="宋体" w:cs="宋体"/>
          <w:color w:val="auto"/>
          <w:kern w:val="0"/>
          <w:szCs w:val="21"/>
          <w:highlight w:val="none"/>
        </w:rPr>
        <w:t>，受申请人的委托，无条件和不可撤销地在受益人出具本保函原件且提出因申请人没有履行上述合同规定，而要求我方承担保证责任</w:t>
      </w:r>
      <w:r>
        <w:rPr>
          <w:rFonts w:hint="eastAsia" w:ascii="宋体" w:hAnsi="宋体" w:eastAsia="宋体" w:cs="宋体"/>
          <w:color w:val="auto"/>
          <w:kern w:val="0"/>
          <w:szCs w:val="21"/>
          <w:highlight w:val="none"/>
          <w:lang w:val="en-US" w:eastAsia="zh-CN"/>
        </w:rPr>
        <w:t>后，</w:t>
      </w:r>
      <w:r>
        <w:rPr>
          <w:rFonts w:hint="eastAsia" w:ascii="宋体" w:hAnsi="宋体" w:eastAsia="宋体" w:cs="宋体"/>
          <w:color w:val="auto"/>
          <w:kern w:val="0"/>
          <w:szCs w:val="21"/>
          <w:highlight w:val="none"/>
        </w:rPr>
        <w:t>在保函限额内向受益人支付不超过人民币（大写）_________（¥_______元）的款项。</w:t>
      </w:r>
    </w:p>
    <w:p w14:paraId="0088E070">
      <w:pPr>
        <w:widowControl/>
        <w:autoSpaceDE w:val="0"/>
        <w:autoSpaceDN w:val="0"/>
        <w:adjustRightInd w:val="0"/>
        <w:spacing w:line="360" w:lineRule="auto"/>
        <w:ind w:firstLine="420" w:firstLineChars="200"/>
        <w:jc w:val="left"/>
        <w:rPr>
          <w:rFonts w:ascii="宋体" w:hAnsi="宋体" w:eastAsia="宋体" w:cs="宋体"/>
          <w:kern w:val="0"/>
          <w:szCs w:val="21"/>
          <w:highlight w:val="none"/>
        </w:rPr>
      </w:pPr>
      <w:r>
        <w:rPr>
          <w:rFonts w:hint="eastAsia" w:ascii="宋体" w:hAnsi="宋体" w:eastAsia="宋体" w:cs="宋体"/>
          <w:kern w:val="0"/>
          <w:szCs w:val="21"/>
          <w:highlight w:val="none"/>
        </w:rPr>
        <w:t>在向我行提出要求前，我行将不坚持要求受益人首先向申请人提出上述款项的索赔。</w:t>
      </w:r>
    </w:p>
    <w:p w14:paraId="03151621">
      <w:pPr>
        <w:widowControl/>
        <w:autoSpaceDE w:val="0"/>
        <w:autoSpaceDN w:val="0"/>
        <w:adjustRightInd w:val="0"/>
        <w:spacing w:line="360" w:lineRule="auto"/>
        <w:ind w:firstLine="437"/>
        <w:jc w:val="left"/>
        <w:rPr>
          <w:rFonts w:ascii="宋体" w:hAnsi="宋体" w:eastAsia="宋体" w:cs="宋体"/>
          <w:kern w:val="0"/>
          <w:szCs w:val="21"/>
          <w:highlight w:val="none"/>
        </w:rPr>
      </w:pPr>
      <w:r>
        <w:rPr>
          <w:rFonts w:hint="eastAsia" w:ascii="宋体" w:hAnsi="宋体" w:eastAsia="宋体" w:cs="宋体"/>
          <w:kern w:val="0"/>
          <w:szCs w:val="21"/>
          <w:highlight w:val="none"/>
        </w:rPr>
        <w:t>我方还同意，任何受益人与申请人之间可能对合同条款的修改、规范或其他合同文件的变动补充，都不能免除我方按本保函所承担的责任。因此，有关上述变动、补充和修改无须通知或征得我方同意。</w:t>
      </w:r>
    </w:p>
    <w:p w14:paraId="41E4A11C">
      <w:pPr>
        <w:widowControl/>
        <w:autoSpaceDE w:val="0"/>
        <w:autoSpaceDN w:val="0"/>
        <w:adjustRightInd w:val="0"/>
        <w:spacing w:line="360" w:lineRule="auto"/>
        <w:ind w:firstLine="437"/>
        <w:jc w:val="left"/>
        <w:rPr>
          <w:rFonts w:ascii="宋体" w:hAnsi="宋体" w:eastAsia="宋体" w:cs="Times New Roman"/>
          <w:kern w:val="0"/>
          <w:szCs w:val="21"/>
          <w:highlight w:val="none"/>
        </w:rPr>
      </w:pPr>
      <w:r>
        <w:rPr>
          <w:rFonts w:ascii="宋体" w:hAnsi="宋体" w:eastAsia="宋体" w:cs="Times New Roman"/>
          <w:kern w:val="0"/>
          <w:szCs w:val="21"/>
          <w:highlight w:val="none"/>
        </w:rPr>
        <w:t>本保函</w:t>
      </w:r>
      <w:r>
        <w:rPr>
          <w:rFonts w:hint="eastAsia" w:ascii="宋体" w:hAnsi="宋体" w:eastAsia="宋体" w:cs="宋体"/>
          <w:bCs/>
          <w:szCs w:val="21"/>
          <w:highlight w:val="none"/>
        </w:rPr>
        <w:t>应从合同签订之日起至合同期限届满并完成本项目的所有合同（包括补充协议及单项合同）全部服务义务（或其它非强制退库的情况），</w:t>
      </w:r>
      <w:r>
        <w:rPr>
          <w:rFonts w:hint="eastAsia" w:ascii="宋体" w:hAnsi="宋体" w:eastAsia="宋体" w:cs="宋体"/>
          <w:bCs/>
          <w:szCs w:val="21"/>
          <w:highlight w:val="none"/>
          <w:lang w:val="en-US" w:eastAsia="zh-CN"/>
        </w:rPr>
        <w:t>受益人</w:t>
      </w:r>
      <w:r>
        <w:rPr>
          <w:rFonts w:hint="eastAsia" w:ascii="宋体" w:hAnsi="宋体" w:eastAsia="宋体" w:cs="宋体"/>
          <w:bCs/>
          <w:szCs w:val="21"/>
          <w:highlight w:val="none"/>
        </w:rPr>
        <w:t>向</w:t>
      </w:r>
      <w:r>
        <w:rPr>
          <w:rFonts w:hint="eastAsia" w:ascii="宋体" w:hAnsi="宋体" w:eastAsia="宋体" w:cs="宋体"/>
          <w:bCs/>
          <w:szCs w:val="21"/>
          <w:highlight w:val="none"/>
          <w:lang w:val="en-US" w:eastAsia="zh-CN"/>
        </w:rPr>
        <w:t>申请人</w:t>
      </w:r>
      <w:r>
        <w:rPr>
          <w:rFonts w:hint="eastAsia" w:ascii="宋体" w:hAnsi="宋体" w:eastAsia="宋体" w:cs="宋体"/>
          <w:bCs/>
          <w:szCs w:val="21"/>
          <w:highlight w:val="none"/>
        </w:rPr>
        <w:t>支付全部款项后二十八（</w:t>
      </w:r>
      <w:r>
        <w:rPr>
          <w:rFonts w:hint="eastAsia" w:ascii="宋体" w:hAnsi="宋体" w:eastAsia="宋体" w:cs="宋体"/>
          <w:bCs/>
          <w:color w:val="auto"/>
          <w:szCs w:val="21"/>
          <w:highlight w:val="none"/>
        </w:rPr>
        <w:t>28）日内</w:t>
      </w:r>
      <w:r>
        <w:rPr>
          <w:rFonts w:hint="eastAsia" w:ascii="宋体" w:hAnsi="宋体" w:eastAsia="宋体" w:cs="Times New Roman"/>
          <w:color w:val="auto"/>
          <w:kern w:val="0"/>
          <w:szCs w:val="21"/>
          <w:highlight w:val="none"/>
        </w:rPr>
        <w:t>保持有效。</w:t>
      </w:r>
    </w:p>
    <w:p w14:paraId="7781476D">
      <w:pPr>
        <w:widowControl/>
        <w:autoSpaceDE w:val="0"/>
        <w:autoSpaceDN w:val="0"/>
        <w:adjustRightInd w:val="0"/>
        <w:spacing w:line="360" w:lineRule="auto"/>
        <w:ind w:firstLine="437"/>
        <w:jc w:val="left"/>
        <w:rPr>
          <w:rFonts w:ascii="宋体" w:hAnsi="宋体" w:eastAsia="宋体" w:cs="宋体"/>
          <w:kern w:val="0"/>
          <w:szCs w:val="21"/>
          <w:highlight w:val="none"/>
        </w:rPr>
      </w:pPr>
    </w:p>
    <w:p w14:paraId="7AD2FC45">
      <w:pPr>
        <w:widowControl/>
        <w:autoSpaceDE w:val="0"/>
        <w:autoSpaceDN w:val="0"/>
        <w:adjustRightInd w:val="0"/>
        <w:spacing w:line="360" w:lineRule="auto"/>
        <w:ind w:firstLine="2520" w:firstLineChars="1200"/>
        <w:jc w:val="left"/>
        <w:rPr>
          <w:rFonts w:ascii="宋体" w:hAnsi="宋体" w:eastAsia="宋体" w:cs="宋体"/>
          <w:kern w:val="0"/>
          <w:szCs w:val="21"/>
          <w:highlight w:val="none"/>
          <w:u w:val="single"/>
        </w:rPr>
      </w:pPr>
      <w:r>
        <w:rPr>
          <w:rFonts w:hint="eastAsia" w:ascii="宋体" w:hAnsi="宋体" w:eastAsia="宋体" w:cs="宋体"/>
          <w:kern w:val="0"/>
          <w:szCs w:val="21"/>
          <w:highlight w:val="none"/>
        </w:rPr>
        <w:t>担</w:t>
      </w:r>
      <w:r>
        <w:rPr>
          <w:rFonts w:ascii="宋体" w:hAnsi="宋体" w:eastAsia="宋体" w:cs="宋体"/>
          <w:kern w:val="0"/>
          <w:szCs w:val="21"/>
          <w:highlight w:val="none"/>
        </w:rPr>
        <w:t xml:space="preserve"> </w:t>
      </w:r>
      <w:r>
        <w:rPr>
          <w:rFonts w:hint="eastAsia" w:ascii="宋体" w:hAnsi="宋体" w:eastAsia="宋体" w:cs="宋体"/>
          <w:kern w:val="0"/>
          <w:szCs w:val="21"/>
          <w:highlight w:val="none"/>
        </w:rPr>
        <w:t>保</w:t>
      </w:r>
      <w:r>
        <w:rPr>
          <w:rFonts w:ascii="宋体" w:hAnsi="宋体" w:eastAsia="宋体" w:cs="宋体"/>
          <w:kern w:val="0"/>
          <w:szCs w:val="21"/>
          <w:highlight w:val="none"/>
        </w:rPr>
        <w:t xml:space="preserve"> </w:t>
      </w:r>
      <w:r>
        <w:rPr>
          <w:rFonts w:hint="eastAsia" w:ascii="宋体" w:hAnsi="宋体" w:eastAsia="宋体" w:cs="宋体"/>
          <w:kern w:val="0"/>
          <w:szCs w:val="21"/>
          <w:highlight w:val="none"/>
        </w:rPr>
        <w:t>银</w:t>
      </w:r>
      <w:r>
        <w:rPr>
          <w:rFonts w:ascii="宋体" w:hAnsi="宋体" w:eastAsia="宋体" w:cs="宋体"/>
          <w:kern w:val="0"/>
          <w:szCs w:val="21"/>
          <w:highlight w:val="none"/>
        </w:rPr>
        <w:t xml:space="preserve"> </w:t>
      </w:r>
      <w:r>
        <w:rPr>
          <w:rFonts w:hint="eastAsia" w:ascii="宋体" w:hAnsi="宋体" w:eastAsia="宋体" w:cs="宋体"/>
          <w:kern w:val="0"/>
          <w:szCs w:val="21"/>
          <w:highlight w:val="none"/>
        </w:rPr>
        <w:t>行：</w:t>
      </w:r>
      <w:r>
        <w:rPr>
          <w:rFonts w:ascii="宋体" w:hAnsi="宋体" w:eastAsia="宋体" w:cs="宋体"/>
          <w:kern w:val="0"/>
          <w:szCs w:val="21"/>
          <w:highlight w:val="none"/>
          <w:u w:val="single"/>
        </w:rPr>
        <w:t xml:space="preserve">          银行全称          (盖章)   </w:t>
      </w:r>
    </w:p>
    <w:p w14:paraId="6268F745">
      <w:pPr>
        <w:widowControl/>
        <w:autoSpaceDE w:val="0"/>
        <w:autoSpaceDN w:val="0"/>
        <w:adjustRightInd w:val="0"/>
        <w:spacing w:line="360" w:lineRule="auto"/>
        <w:ind w:firstLine="2520" w:firstLineChars="1200"/>
        <w:jc w:val="left"/>
        <w:rPr>
          <w:rFonts w:ascii="宋体" w:hAnsi="宋体" w:eastAsia="宋体" w:cs="宋体"/>
          <w:kern w:val="0"/>
          <w:szCs w:val="21"/>
          <w:highlight w:val="none"/>
        </w:rPr>
      </w:pPr>
      <w:r>
        <w:rPr>
          <w:rFonts w:hint="eastAsia" w:ascii="宋体" w:hAnsi="宋体" w:eastAsia="宋体" w:cs="宋体"/>
          <w:kern w:val="0"/>
          <w:szCs w:val="21"/>
          <w:highlight w:val="none"/>
        </w:rPr>
        <w:t>法定代表人或其授权的代表人：</w:t>
      </w:r>
      <w:r>
        <w:rPr>
          <w:rFonts w:ascii="宋体" w:hAnsi="宋体" w:eastAsia="宋体" w:cs="宋体"/>
          <w:kern w:val="0"/>
          <w:szCs w:val="21"/>
          <w:highlight w:val="none"/>
          <w:u w:val="single"/>
        </w:rPr>
        <w:t xml:space="preserve">       (职务)         </w:t>
      </w:r>
    </w:p>
    <w:p w14:paraId="6DF5B1D3">
      <w:pPr>
        <w:widowControl/>
        <w:autoSpaceDE w:val="0"/>
        <w:autoSpaceDN w:val="0"/>
        <w:adjustRightInd w:val="0"/>
        <w:spacing w:line="360" w:lineRule="auto"/>
        <w:ind w:firstLine="5502" w:firstLineChars="2620"/>
        <w:jc w:val="left"/>
        <w:rPr>
          <w:rFonts w:ascii="宋体" w:hAnsi="宋体" w:eastAsia="宋体" w:cs="宋体"/>
          <w:kern w:val="0"/>
          <w:szCs w:val="21"/>
          <w:highlight w:val="none"/>
          <w:u w:val="single"/>
        </w:rPr>
      </w:pPr>
      <w:r>
        <w:rPr>
          <w:rFonts w:ascii="宋体" w:hAnsi="宋体" w:eastAsia="宋体" w:cs="宋体"/>
          <w:kern w:val="0"/>
          <w:szCs w:val="21"/>
          <w:highlight w:val="none"/>
          <w:u w:val="single"/>
        </w:rPr>
        <w:t xml:space="preserve">       (姓名)         </w:t>
      </w:r>
    </w:p>
    <w:p w14:paraId="4D9C76B0">
      <w:pPr>
        <w:widowControl/>
        <w:autoSpaceDE w:val="0"/>
        <w:autoSpaceDN w:val="0"/>
        <w:adjustRightInd w:val="0"/>
        <w:spacing w:line="360" w:lineRule="auto"/>
        <w:ind w:firstLine="5502" w:firstLineChars="2620"/>
        <w:jc w:val="left"/>
        <w:rPr>
          <w:rFonts w:ascii="宋体" w:hAnsi="宋体" w:eastAsia="宋体" w:cs="宋体"/>
          <w:kern w:val="0"/>
          <w:szCs w:val="21"/>
          <w:highlight w:val="none"/>
          <w:u w:val="single"/>
        </w:rPr>
      </w:pPr>
      <w:r>
        <w:rPr>
          <w:rFonts w:ascii="宋体" w:hAnsi="宋体" w:eastAsia="宋体" w:cs="宋体"/>
          <w:kern w:val="0"/>
          <w:szCs w:val="21"/>
          <w:highlight w:val="none"/>
          <w:u w:val="single"/>
        </w:rPr>
        <w:t xml:space="preserve">       (签章)         </w:t>
      </w:r>
    </w:p>
    <w:p w14:paraId="66FC2082">
      <w:pPr>
        <w:autoSpaceDE w:val="0"/>
        <w:autoSpaceDN w:val="0"/>
        <w:adjustRightInd w:val="0"/>
        <w:spacing w:line="360" w:lineRule="auto"/>
        <w:ind w:left="840" w:firstLine="420" w:firstLineChars="200"/>
        <w:jc w:val="left"/>
        <w:rPr>
          <w:rFonts w:ascii="宋体" w:hAnsi="宋体" w:eastAsia="宋体" w:cs="宋体"/>
          <w:kern w:val="0"/>
          <w:szCs w:val="21"/>
          <w:highlight w:val="none"/>
        </w:rPr>
      </w:pPr>
      <w:r>
        <w:rPr>
          <w:rFonts w:ascii="宋体" w:hAnsi="宋体" w:eastAsia="宋体" w:cs="宋体"/>
          <w:kern w:val="0"/>
          <w:szCs w:val="21"/>
          <w:highlight w:val="none"/>
        </w:rPr>
        <w:t xml:space="preserve">                                        </w:t>
      </w:r>
      <w:r>
        <w:rPr>
          <w:rFonts w:ascii="宋体" w:hAnsi="宋体" w:eastAsia="宋体" w:cs="宋体"/>
          <w:kern w:val="0"/>
          <w:szCs w:val="21"/>
          <w:highlight w:val="none"/>
          <w:u w:val="single"/>
        </w:rPr>
        <w:t xml:space="preserve">        </w:t>
      </w:r>
      <w:r>
        <w:rPr>
          <w:rFonts w:hint="eastAsia" w:ascii="宋体" w:hAnsi="宋体" w:eastAsia="宋体" w:cs="宋体"/>
          <w:kern w:val="0"/>
          <w:szCs w:val="21"/>
          <w:highlight w:val="none"/>
        </w:rPr>
        <w:t>年</w:t>
      </w:r>
      <w:r>
        <w:rPr>
          <w:rFonts w:ascii="宋体" w:hAnsi="宋体" w:eastAsia="宋体" w:cs="宋体"/>
          <w:kern w:val="0"/>
          <w:szCs w:val="21"/>
          <w:highlight w:val="none"/>
          <w:u w:val="single"/>
        </w:rPr>
        <w:t xml:space="preserve">     </w:t>
      </w:r>
      <w:r>
        <w:rPr>
          <w:rFonts w:hint="eastAsia" w:ascii="宋体" w:hAnsi="宋体" w:eastAsia="宋体" w:cs="宋体"/>
          <w:kern w:val="0"/>
          <w:szCs w:val="21"/>
          <w:highlight w:val="none"/>
        </w:rPr>
        <w:t>月</w:t>
      </w:r>
      <w:r>
        <w:rPr>
          <w:rFonts w:ascii="宋体" w:hAnsi="宋体" w:eastAsia="宋体" w:cs="宋体"/>
          <w:kern w:val="0"/>
          <w:szCs w:val="21"/>
          <w:highlight w:val="none"/>
          <w:u w:val="single"/>
        </w:rPr>
        <w:t xml:space="preserve">     </w:t>
      </w:r>
      <w:r>
        <w:rPr>
          <w:rFonts w:hint="eastAsia" w:ascii="宋体" w:hAnsi="宋体" w:eastAsia="宋体" w:cs="宋体"/>
          <w:kern w:val="0"/>
          <w:szCs w:val="21"/>
          <w:highlight w:val="none"/>
        </w:rPr>
        <w:t>日</w:t>
      </w:r>
    </w:p>
    <w:p w14:paraId="506188FE">
      <w:pPr>
        <w:widowControl/>
        <w:autoSpaceDE w:val="0"/>
        <w:autoSpaceDN w:val="0"/>
        <w:adjustRightInd w:val="0"/>
        <w:spacing w:line="360" w:lineRule="auto"/>
        <w:jc w:val="left"/>
        <w:rPr>
          <w:rFonts w:ascii="宋体" w:hAnsi="宋体" w:eastAsia="宋体" w:cs="宋体"/>
          <w:kern w:val="0"/>
          <w:szCs w:val="21"/>
          <w:highlight w:val="none"/>
        </w:rPr>
      </w:pPr>
    </w:p>
    <w:p w14:paraId="0915BBC5">
      <w:pPr>
        <w:widowControl/>
        <w:autoSpaceDE w:val="0"/>
        <w:autoSpaceDN w:val="0"/>
        <w:adjustRightInd w:val="0"/>
        <w:spacing w:line="360" w:lineRule="auto"/>
        <w:jc w:val="left"/>
        <w:rPr>
          <w:rFonts w:ascii="宋体" w:hAnsi="宋体" w:eastAsia="宋体" w:cs="宋体"/>
          <w:kern w:val="0"/>
          <w:szCs w:val="21"/>
          <w:highlight w:val="none"/>
        </w:rPr>
      </w:pPr>
    </w:p>
    <w:p w14:paraId="3F0882FC">
      <w:pPr>
        <w:autoSpaceDE w:val="0"/>
        <w:autoSpaceDN w:val="0"/>
        <w:adjustRightInd w:val="0"/>
        <w:spacing w:line="360" w:lineRule="auto"/>
        <w:ind w:right="368" w:rightChars="175"/>
        <w:jc w:val="left"/>
        <w:rPr>
          <w:rFonts w:ascii="宋体" w:hAnsi="宋体" w:eastAsia="宋体" w:cs="Times New Roman"/>
          <w:kern w:val="0"/>
          <w:szCs w:val="21"/>
          <w:highlight w:val="none"/>
        </w:rPr>
        <w:sectPr>
          <w:footerReference r:id="rId4" w:type="first"/>
          <w:footerReference r:id="rId3" w:type="default"/>
          <w:pgSz w:w="12240" w:h="15840"/>
          <w:pgMar w:top="1191" w:right="1043" w:bottom="1191" w:left="1043" w:header="720" w:footer="720" w:gutter="0"/>
          <w:cols w:space="720" w:num="1"/>
          <w:titlePg/>
          <w:docGrid w:linePitch="326" w:charSpace="0"/>
        </w:sectPr>
      </w:pPr>
    </w:p>
    <w:p w14:paraId="1F7B9B0A">
      <w:pPr>
        <w:numPr>
          <w:ilvl w:val="0"/>
          <w:numId w:val="0"/>
        </w:numPr>
        <w:rPr>
          <w:rFonts w:hint="eastAsia" w:ascii="宋体" w:hAnsi="宋体" w:eastAsia="宋体" w:cs="Times New Roman"/>
          <w:b/>
          <w:kern w:val="0"/>
          <w:sz w:val="28"/>
          <w:szCs w:val="28"/>
          <w:highlight w:val="none"/>
          <w:lang w:val="en-US" w:eastAsia="zh-CN"/>
        </w:rPr>
      </w:pPr>
      <w:r>
        <w:rPr>
          <w:rFonts w:hint="eastAsia" w:ascii="宋体" w:hAnsi="宋体" w:eastAsia="宋体" w:cs="Times New Roman"/>
          <w:b/>
          <w:kern w:val="0"/>
          <w:sz w:val="28"/>
          <w:szCs w:val="28"/>
          <w:highlight w:val="none"/>
          <w:lang w:val="en-US" w:eastAsia="zh-CN" w:bidi="ar-SA"/>
        </w:rPr>
        <w:t>二、</w:t>
      </w:r>
      <w:r>
        <w:rPr>
          <w:rFonts w:hint="eastAsia" w:ascii="宋体" w:hAnsi="宋体" w:eastAsia="宋体" w:cs="Times New Roman"/>
          <w:b/>
          <w:kern w:val="0"/>
          <w:sz w:val="28"/>
          <w:szCs w:val="28"/>
          <w:highlight w:val="none"/>
          <w:lang w:val="en-US" w:eastAsia="zh-CN"/>
        </w:rPr>
        <w:t>履约保证保险凭证格式</w:t>
      </w:r>
    </w:p>
    <w:p w14:paraId="55522088">
      <w:pPr>
        <w:autoSpaceDE w:val="0"/>
        <w:autoSpaceDN w:val="0"/>
        <w:adjustRightInd w:val="0"/>
        <w:jc w:val="center"/>
        <w:rPr>
          <w:rFonts w:hint="eastAsia" w:ascii="宋体" w:hAnsi="宋体" w:eastAsia="宋体" w:cs="Times New Roman"/>
          <w:b/>
          <w:kern w:val="0"/>
          <w:sz w:val="30"/>
          <w:szCs w:val="30"/>
          <w:highlight w:val="none"/>
          <w:lang w:val="en-US" w:eastAsia="zh-CN"/>
        </w:rPr>
      </w:pPr>
    </w:p>
    <w:p w14:paraId="5E84546C">
      <w:pPr>
        <w:autoSpaceDE w:val="0"/>
        <w:autoSpaceDN w:val="0"/>
        <w:adjustRightInd w:val="0"/>
        <w:jc w:val="center"/>
        <w:outlineLvl w:val="2"/>
        <w:rPr>
          <w:rFonts w:hint="eastAsia" w:ascii="宋体" w:hAnsi="宋体" w:eastAsia="宋体" w:cs="Times New Roman"/>
          <w:b/>
          <w:color w:val="auto"/>
          <w:kern w:val="0"/>
          <w:sz w:val="30"/>
          <w:szCs w:val="30"/>
          <w:highlight w:val="none"/>
          <w:lang w:val="en-US" w:eastAsia="zh-CN"/>
        </w:rPr>
      </w:pPr>
      <w:r>
        <w:rPr>
          <w:rFonts w:hint="eastAsia" w:ascii="宋体" w:hAnsi="宋体" w:eastAsia="宋体" w:cs="Times New Roman"/>
          <w:b/>
          <w:color w:val="auto"/>
          <w:kern w:val="0"/>
          <w:sz w:val="30"/>
          <w:szCs w:val="30"/>
          <w:highlight w:val="none"/>
          <w:lang w:val="en-US" w:eastAsia="zh-CN"/>
        </w:rPr>
        <w:t>履约保证保险凭证</w:t>
      </w:r>
    </w:p>
    <w:p w14:paraId="31B99D0F">
      <w:pPr>
        <w:autoSpaceDE w:val="0"/>
        <w:autoSpaceDN w:val="0"/>
        <w:adjustRightInd w:val="0"/>
        <w:spacing w:line="360" w:lineRule="auto"/>
        <w:ind w:firstLine="437"/>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 xml:space="preserve">                                      </w:t>
      </w:r>
    </w:p>
    <w:p w14:paraId="7C60757D">
      <w:pPr>
        <w:autoSpaceDE w:val="0"/>
        <w:autoSpaceDN w:val="0"/>
        <w:adjustRightInd w:val="0"/>
        <w:spacing w:line="360" w:lineRule="auto"/>
        <w:ind w:firstLine="437"/>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                               编号：</w:t>
      </w:r>
    </w:p>
    <w:p w14:paraId="6EFBE4A1">
      <w:pPr>
        <w:autoSpaceDE w:val="0"/>
        <w:autoSpaceDN w:val="0"/>
        <w:adjustRightInd w:val="0"/>
        <w:spacing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致：</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lang w:val="en-US" w:eastAsia="zh-CN"/>
        </w:rPr>
        <w:t xml:space="preserve">（下称“受益人”）： </w:t>
      </w:r>
    </w:p>
    <w:p w14:paraId="1441A99B">
      <w:pPr>
        <w:autoSpaceDE w:val="0"/>
        <w:autoSpaceDN w:val="0"/>
        <w:adjustRightInd w:val="0"/>
        <w:spacing w:line="360" w:lineRule="auto"/>
        <w:ind w:firstLine="437"/>
        <w:jc w:val="left"/>
        <w:rPr>
          <w:rFonts w:hint="eastAsia" w:ascii="宋体" w:hAnsi="宋体" w:eastAsia="宋体" w:cs="宋体"/>
          <w:color w:val="auto"/>
          <w:kern w:val="0"/>
          <w:szCs w:val="21"/>
          <w:highlight w:val="none"/>
          <w:lang w:val="en-US" w:eastAsia="zh-CN"/>
        </w:rPr>
      </w:pPr>
    </w:p>
    <w:p w14:paraId="52D036CE">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鉴于</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lang w:val="en-US" w:eastAsia="zh-CN"/>
        </w:rPr>
        <w:t>（下称“申请人”）已与贵方签订了</w:t>
      </w:r>
      <w:r>
        <w:rPr>
          <w:rFonts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rPr>
        <w:t>项目</w:t>
      </w:r>
      <w:r>
        <w:rPr>
          <w:rFonts w:ascii="宋体" w:hAnsi="宋体" w:eastAsia="宋体" w:cs="Times New Roman"/>
          <w:color w:val="auto"/>
          <w:kern w:val="0"/>
          <w:szCs w:val="21"/>
          <w:highlight w:val="none"/>
          <w:u w:val="single"/>
        </w:rPr>
        <w:t>（招标编号：        ）</w:t>
      </w:r>
      <w:r>
        <w:rPr>
          <w:rFonts w:hint="eastAsia" w:ascii="宋体" w:hAnsi="宋体" w:eastAsia="宋体" w:cs="Times New Roman"/>
          <w:color w:val="auto"/>
          <w:kern w:val="0"/>
          <w:szCs w:val="21"/>
          <w:highlight w:val="none"/>
        </w:rPr>
        <w:t>合同</w:t>
      </w:r>
      <w:r>
        <w:rPr>
          <w:rFonts w:hint="eastAsia" w:ascii="宋体" w:hAnsi="宋体" w:eastAsia="宋体" w:cs="宋体"/>
          <w:color w:val="auto"/>
          <w:kern w:val="0"/>
          <w:szCs w:val="21"/>
          <w:highlight w:val="none"/>
          <w:lang w:val="en-US" w:eastAsia="zh-CN"/>
        </w:rPr>
        <w:t>。我方已接受申请人的请求，并出具《履约保证保险》保险单。</w:t>
      </w:r>
      <w:r>
        <w:rPr>
          <w:rFonts w:hint="default" w:ascii="宋体" w:hAnsi="宋体" w:eastAsia="宋体" w:cs="宋体"/>
          <w:color w:val="auto"/>
          <w:kern w:val="0"/>
          <w:szCs w:val="21"/>
          <w:highlight w:val="none"/>
          <w:lang w:val="en-US" w:eastAsia="zh-CN"/>
        </w:rPr>
        <w:t xml:space="preserve"> </w:t>
      </w:r>
    </w:p>
    <w:p w14:paraId="192F1261">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一、保证保险金额 </w:t>
      </w:r>
    </w:p>
    <w:p w14:paraId="6BEF50D2">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我方承担的履约保证保险的保险金额（最高限额）为人民币（大写）</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lang w:val="en-US" w:eastAsia="zh-CN"/>
        </w:rPr>
        <w:t>元 （</w:t>
      </w:r>
      <w:r>
        <w:rPr>
          <w:rFonts w:hint="default" w:ascii="宋体" w:hAnsi="宋体" w:eastAsia="宋体" w:cs="宋体"/>
          <w:color w:val="auto"/>
          <w:kern w:val="0"/>
          <w:szCs w:val="21"/>
          <w:highlight w:val="none"/>
          <w:lang w:val="en-US" w:eastAsia="zh-CN"/>
        </w:rPr>
        <w:t>¥</w:t>
      </w:r>
      <w:r>
        <w:rPr>
          <w:rFonts w:hint="eastAsia" w:ascii="宋体" w:hAnsi="宋体" w:eastAsia="宋体" w:cs="宋体"/>
          <w:b/>
          <w:color w:val="auto"/>
          <w:kern w:val="0"/>
          <w:szCs w:val="21"/>
          <w:highlight w:val="none"/>
          <w:u w:val="single"/>
        </w:rPr>
        <w:t xml:space="preserve">               </w:t>
      </w:r>
      <w:r>
        <w:rPr>
          <w:rFonts w:hint="default"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lang w:val="en-US" w:eastAsia="zh-CN"/>
        </w:rPr>
        <w:t xml:space="preserve">）。 </w:t>
      </w:r>
    </w:p>
    <w:p w14:paraId="1A348F51">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二、保证保险的责任范围 </w:t>
      </w:r>
    </w:p>
    <w:p w14:paraId="0E5FB786">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在保险期间内，申请人因自身原因未按照与贵方签订的</w:t>
      </w:r>
      <w:r>
        <w:rPr>
          <w:rFonts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rPr>
        <w:t>项目</w:t>
      </w:r>
      <w:r>
        <w:rPr>
          <w:rFonts w:ascii="宋体" w:hAnsi="宋体" w:eastAsia="宋体" w:cs="Times New Roman"/>
          <w:color w:val="auto"/>
          <w:kern w:val="0"/>
          <w:szCs w:val="21"/>
          <w:highlight w:val="none"/>
          <w:u w:val="single"/>
        </w:rPr>
        <w:t>（招标编号：        ）</w:t>
      </w:r>
      <w:r>
        <w:rPr>
          <w:rFonts w:hint="eastAsia" w:ascii="宋体" w:hAnsi="宋体" w:eastAsia="宋体" w:cs="Times New Roman"/>
          <w:color w:val="auto"/>
          <w:kern w:val="0"/>
          <w:szCs w:val="21"/>
          <w:highlight w:val="none"/>
        </w:rPr>
        <w:t>合同</w:t>
      </w:r>
      <w:r>
        <w:rPr>
          <w:rFonts w:hint="eastAsia" w:ascii="宋体" w:hAnsi="宋体" w:eastAsia="宋体" w:cs="宋体"/>
          <w:color w:val="auto"/>
          <w:kern w:val="0"/>
          <w:szCs w:val="21"/>
          <w:highlight w:val="none"/>
          <w:lang w:val="en-US" w:eastAsia="zh-CN"/>
        </w:rPr>
        <w:t xml:space="preserve">履行相关义务，给贵方造成损失的，贵方可向我方提出索赔，我方按照保险合同的约定承担损失赔偿责任。 </w:t>
      </w:r>
    </w:p>
    <w:p w14:paraId="66EA48A1">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三、代偿的安排 </w:t>
      </w:r>
    </w:p>
    <w:p w14:paraId="36D20D4D">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贵方要求我方承担保证保险责任的，我方无条件和不可撤销地在贵方出具本履约保证保险原件且提出因申请人没有履行上述合同规定，而要求我方承担保证责任后，在保险限额内向贵方支付不超过人民币（大写）_________（¥_______元）的款项。</w:t>
      </w:r>
    </w:p>
    <w:p w14:paraId="79658D2F">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四、生效时间 </w:t>
      </w:r>
    </w:p>
    <w:p w14:paraId="45132D48">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本保险凭证自我方法定代表人（或其授权代理人）签字并加盖保险承保章之日起生效。 </w:t>
      </w:r>
    </w:p>
    <w:p w14:paraId="189FB5F5">
      <w:pPr>
        <w:numPr>
          <w:ilvl w:val="0"/>
          <w:numId w:val="0"/>
        </w:numPr>
        <w:autoSpaceDE w:val="0"/>
        <w:autoSpaceDN w:val="0"/>
        <w:adjustRightInd w:val="0"/>
        <w:spacing w:line="360" w:lineRule="auto"/>
        <w:ind w:firstLine="437" w:firstLineChars="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 w:val="21"/>
          <w:szCs w:val="21"/>
          <w:highlight w:val="none"/>
          <w:lang w:val="en-US" w:eastAsia="zh-CN" w:bidi="ar-SA"/>
        </w:rPr>
        <w:t>五、</w:t>
      </w:r>
      <w:r>
        <w:rPr>
          <w:rFonts w:hint="eastAsia" w:ascii="宋体" w:hAnsi="宋体" w:eastAsia="宋体" w:cs="宋体"/>
          <w:color w:val="auto"/>
          <w:kern w:val="0"/>
          <w:szCs w:val="21"/>
          <w:highlight w:val="none"/>
          <w:lang w:val="en-US" w:eastAsia="zh-CN"/>
        </w:rPr>
        <w:t>其他</w:t>
      </w:r>
    </w:p>
    <w:p w14:paraId="0B0281CC">
      <w:pPr>
        <w:autoSpaceDE w:val="0"/>
        <w:autoSpaceDN w:val="0"/>
        <w:adjustRightInd w:val="0"/>
        <w:spacing w:line="360" w:lineRule="auto"/>
        <w:ind w:firstLine="437"/>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w:t>
      </w:r>
      <w:r>
        <w:rPr>
          <w:rFonts w:hint="eastAsia" w:ascii="宋体" w:hAnsi="宋体" w:eastAsia="宋体" w:cs="宋体"/>
          <w:color w:val="auto"/>
          <w:kern w:val="0"/>
          <w:szCs w:val="21"/>
          <w:highlight w:val="none"/>
          <w:lang w:val="en-US" w:eastAsia="zh-CN"/>
        </w:rPr>
        <w:t>履约保证保险</w:t>
      </w:r>
      <w:r>
        <w:rPr>
          <w:rFonts w:hint="eastAsia" w:ascii="宋体" w:hAnsi="宋体" w:eastAsia="宋体" w:cs="宋体"/>
          <w:bCs/>
          <w:szCs w:val="21"/>
          <w:highlight w:val="none"/>
        </w:rPr>
        <w:t>应从合同签订之日起至合同期限届满并完成本项目的所有合同（包括补充协议及单项合同）全部服务义务（或其它非强制退库的情况），受益人向申请人支付全部款项后二十八（28）</w:t>
      </w:r>
      <w:r>
        <w:rPr>
          <w:rFonts w:hint="eastAsia" w:ascii="宋体" w:hAnsi="宋体" w:eastAsia="宋体" w:cs="宋体"/>
          <w:bCs/>
          <w:color w:val="auto"/>
          <w:szCs w:val="21"/>
          <w:highlight w:val="none"/>
        </w:rPr>
        <w:t>日内</w:t>
      </w:r>
      <w:r>
        <w:rPr>
          <w:rFonts w:hint="eastAsia" w:ascii="宋体" w:hAnsi="宋体" w:eastAsia="宋体" w:cs="Times New Roman"/>
          <w:color w:val="auto"/>
          <w:kern w:val="0"/>
          <w:szCs w:val="21"/>
          <w:highlight w:val="none"/>
        </w:rPr>
        <w:t>保持有效。</w:t>
      </w:r>
    </w:p>
    <w:p w14:paraId="3AFC2A05">
      <w:pPr>
        <w:outlineLvl w:val="9"/>
        <w:rPr>
          <w:rFonts w:hint="default"/>
          <w:color w:val="auto"/>
          <w:highlight w:val="none"/>
          <w:lang w:val="en-US" w:eastAsia="zh-CN"/>
        </w:rPr>
      </w:pPr>
    </w:p>
    <w:p w14:paraId="3E731B4D">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附：《</w:t>
      </w:r>
      <w:r>
        <w:rPr>
          <w:rFonts w:hint="default" w:ascii="宋体" w:hAnsi="宋体" w:eastAsia="宋体" w:cs="宋体"/>
          <w:color w:val="auto"/>
          <w:kern w:val="0"/>
          <w:szCs w:val="21"/>
          <w:highlight w:val="none"/>
          <w:lang w:val="en-US" w:eastAsia="zh-CN"/>
        </w:rPr>
        <w:t xml:space="preserve">XXX </w:t>
      </w:r>
      <w:r>
        <w:rPr>
          <w:rFonts w:hint="eastAsia" w:ascii="宋体" w:hAnsi="宋体" w:eastAsia="宋体" w:cs="宋体"/>
          <w:color w:val="auto"/>
          <w:kern w:val="0"/>
          <w:szCs w:val="21"/>
          <w:highlight w:val="none"/>
          <w:lang w:val="en-US" w:eastAsia="zh-CN"/>
        </w:rPr>
        <w:t>保险有限公司履约保证保险（</w:t>
      </w:r>
      <w:r>
        <w:rPr>
          <w:rFonts w:hint="default" w:ascii="宋体" w:hAnsi="宋体" w:eastAsia="宋体" w:cs="宋体"/>
          <w:color w:val="auto"/>
          <w:kern w:val="0"/>
          <w:szCs w:val="21"/>
          <w:highlight w:val="none"/>
          <w:lang w:val="en-US" w:eastAsia="zh-CN"/>
        </w:rPr>
        <w:t xml:space="preserve">X </w:t>
      </w:r>
      <w:r>
        <w:rPr>
          <w:rFonts w:hint="eastAsia" w:ascii="宋体" w:hAnsi="宋体" w:eastAsia="宋体" w:cs="宋体"/>
          <w:color w:val="auto"/>
          <w:kern w:val="0"/>
          <w:szCs w:val="21"/>
          <w:highlight w:val="none"/>
          <w:lang w:val="en-US" w:eastAsia="zh-CN"/>
        </w:rPr>
        <w:t xml:space="preserve">款）条款》及保单 </w:t>
      </w:r>
    </w:p>
    <w:p w14:paraId="5879DD6C">
      <w:pPr>
        <w:autoSpaceDE w:val="0"/>
        <w:autoSpaceDN w:val="0"/>
        <w:adjustRightInd w:val="0"/>
        <w:spacing w:line="360" w:lineRule="auto"/>
        <w:ind w:firstLine="437"/>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 xml:space="preserve">                                            </w:t>
      </w:r>
    </w:p>
    <w:p w14:paraId="2AA12E20">
      <w:pPr>
        <w:autoSpaceDE w:val="0"/>
        <w:autoSpaceDN w:val="0"/>
        <w:adjustRightInd w:val="0"/>
        <w:spacing w:line="360" w:lineRule="auto"/>
        <w:ind w:firstLine="437"/>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                                             保险人：（盖章）</w:t>
      </w:r>
    </w:p>
    <w:p w14:paraId="6AC58CC1">
      <w:pPr>
        <w:autoSpaceDE w:val="0"/>
        <w:autoSpaceDN w:val="0"/>
        <w:adjustRightInd w:val="0"/>
        <w:spacing w:line="360" w:lineRule="auto"/>
        <w:ind w:firstLine="437"/>
        <w:jc w:val="righ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法定代表人或授权代理人：</w:t>
      </w:r>
      <w:r>
        <w:rPr>
          <w:rFonts w:hint="default" w:ascii="宋体" w:hAnsi="宋体" w:eastAsia="宋体" w:cs="宋体"/>
          <w:color w:val="auto"/>
          <w:kern w:val="0"/>
          <w:szCs w:val="21"/>
          <w:highlight w:val="none"/>
          <w:lang w:val="en-US" w:eastAsia="zh-CN"/>
        </w:rPr>
        <w:t xml:space="preserve">________ </w:t>
      </w:r>
    </w:p>
    <w:p w14:paraId="0E4BC9A1">
      <w:pPr>
        <w:jc w:val="right"/>
        <w:rPr>
          <w:rFonts w:hint="eastAsia" w:ascii="宋体" w:hAnsi="宋体" w:eastAsia="宋体" w:cs="Times New Roman"/>
          <w:b/>
          <w:kern w:val="0"/>
          <w:sz w:val="28"/>
          <w:szCs w:val="28"/>
          <w:highlight w:val="none"/>
        </w:rPr>
      </w:pPr>
      <w:r>
        <w:rPr>
          <w:rFonts w:hint="eastAsia" w:ascii="宋体" w:hAnsi="宋体" w:eastAsia="宋体" w:cs="宋体"/>
          <w:color w:val="auto"/>
          <w:kern w:val="0"/>
          <w:szCs w:val="21"/>
          <w:highlight w:val="none"/>
          <w:lang w:val="en-US" w:eastAsia="zh-CN"/>
        </w:rPr>
        <w:t>年</w:t>
      </w:r>
      <w:r>
        <w:rPr>
          <w:rFonts w:hint="default"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lang w:val="en-US" w:eastAsia="zh-CN"/>
        </w:rPr>
        <w:t>月</w:t>
      </w:r>
      <w:r>
        <w:rPr>
          <w:rFonts w:hint="default"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lang w:val="en-US" w:eastAsia="zh-CN"/>
        </w:rPr>
        <w:t>日</w:t>
      </w:r>
      <w:r>
        <w:rPr>
          <w:rFonts w:hint="eastAsia" w:ascii="宋体" w:hAnsi="宋体" w:eastAsia="宋体" w:cs="Times New Roman"/>
          <w:b/>
          <w:kern w:val="0"/>
          <w:sz w:val="28"/>
          <w:szCs w:val="28"/>
          <w:highlight w:val="none"/>
        </w:rPr>
        <w:br w:type="page"/>
      </w:r>
    </w:p>
    <w:p w14:paraId="66884BB6">
      <w:pPr>
        <w:autoSpaceDE w:val="0"/>
        <w:autoSpaceDN w:val="0"/>
        <w:adjustRightInd w:val="0"/>
        <w:spacing w:after="120" w:afterLines="50" w:line="360" w:lineRule="auto"/>
        <w:jc w:val="left"/>
        <w:rPr>
          <w:rFonts w:ascii="宋体" w:hAnsi="宋体" w:eastAsia="宋体" w:cs="Times New Roman"/>
          <w:b/>
          <w:kern w:val="0"/>
          <w:sz w:val="28"/>
          <w:szCs w:val="28"/>
          <w:highlight w:val="none"/>
        </w:rPr>
      </w:pPr>
      <w:r>
        <w:rPr>
          <w:rFonts w:hint="eastAsia" w:ascii="宋体" w:hAnsi="宋体" w:eastAsia="宋体" w:cs="Times New Roman"/>
          <w:b/>
          <w:kern w:val="0"/>
          <w:sz w:val="28"/>
          <w:szCs w:val="28"/>
          <w:highlight w:val="none"/>
          <w:lang w:val="en-US" w:eastAsia="zh-CN"/>
        </w:rPr>
        <w:t>三</w:t>
      </w:r>
      <w:r>
        <w:rPr>
          <w:rFonts w:hint="eastAsia" w:ascii="宋体" w:hAnsi="宋体" w:eastAsia="宋体" w:cs="Times New Roman"/>
          <w:b/>
          <w:kern w:val="0"/>
          <w:sz w:val="28"/>
          <w:szCs w:val="28"/>
          <w:highlight w:val="none"/>
        </w:rPr>
        <w:t>、担保公司履约担保书格式</w:t>
      </w:r>
    </w:p>
    <w:p w14:paraId="1C7FB7D3">
      <w:pPr>
        <w:autoSpaceDE w:val="0"/>
        <w:autoSpaceDN w:val="0"/>
        <w:adjustRightInd w:val="0"/>
        <w:jc w:val="center"/>
        <w:outlineLvl w:val="2"/>
        <w:rPr>
          <w:rFonts w:ascii="宋体" w:hAnsi="宋体" w:eastAsia="宋体" w:cs="Times New Roman"/>
          <w:b/>
          <w:kern w:val="0"/>
          <w:sz w:val="30"/>
          <w:szCs w:val="30"/>
          <w:highlight w:val="none"/>
        </w:rPr>
      </w:pPr>
      <w:r>
        <w:rPr>
          <w:rFonts w:hint="eastAsia" w:ascii="宋体" w:hAnsi="宋体" w:eastAsia="宋体" w:cs="Times New Roman"/>
          <w:b/>
          <w:kern w:val="0"/>
          <w:sz w:val="30"/>
          <w:szCs w:val="30"/>
          <w:highlight w:val="none"/>
        </w:rPr>
        <w:t>担保公司履约担保书</w:t>
      </w:r>
    </w:p>
    <w:p w14:paraId="7F896BCF">
      <w:pPr>
        <w:widowControl/>
        <w:autoSpaceDE w:val="0"/>
        <w:autoSpaceDN w:val="0"/>
        <w:adjustRightInd w:val="0"/>
        <w:spacing w:before="100" w:beforeAutospacing="1" w:after="100" w:afterAutospacing="1" w:line="360" w:lineRule="auto"/>
        <w:jc w:val="left"/>
        <w:rPr>
          <w:rFonts w:ascii="宋体" w:hAnsi="宋体" w:eastAsia="宋体" w:cs="宋体"/>
          <w:kern w:val="0"/>
          <w:szCs w:val="21"/>
          <w:highlight w:val="none"/>
        </w:rPr>
      </w:pPr>
      <w:r>
        <w:rPr>
          <w:rFonts w:hint="eastAsia" w:ascii="宋体" w:hAnsi="宋体" w:eastAsia="宋体" w:cs="宋体"/>
          <w:kern w:val="0"/>
          <w:szCs w:val="21"/>
          <w:highlight w:val="none"/>
        </w:rPr>
        <w:t>致：</w:t>
      </w:r>
      <w:r>
        <w:rPr>
          <w:rFonts w:hint="eastAsia" w:ascii="宋体" w:hAnsi="宋体" w:eastAsia="宋体" w:cs="宋体"/>
          <w:b/>
          <w:kern w:val="0"/>
          <w:szCs w:val="21"/>
          <w:highlight w:val="none"/>
          <w:u w:val="single"/>
        </w:rPr>
        <w:t xml:space="preserve">                    </w:t>
      </w:r>
      <w:r>
        <w:rPr>
          <w:rFonts w:hint="eastAsia" w:ascii="宋体" w:hAnsi="宋体" w:eastAsia="宋体" w:cs="宋体"/>
          <w:kern w:val="0"/>
          <w:szCs w:val="21"/>
          <w:highlight w:val="none"/>
        </w:rPr>
        <w:t>（下称“受益人”）</w:t>
      </w:r>
    </w:p>
    <w:p w14:paraId="6DBDCEF4">
      <w:pPr>
        <w:autoSpaceDE w:val="0"/>
        <w:autoSpaceDN w:val="0"/>
        <w:adjustRightInd w:val="0"/>
        <w:spacing w:line="360" w:lineRule="auto"/>
        <w:ind w:firstLine="437"/>
        <w:jc w:val="left"/>
        <w:rPr>
          <w:rFonts w:ascii="宋体" w:hAnsi="宋体" w:eastAsia="宋体" w:cs="Times New Roman"/>
          <w:kern w:val="0"/>
          <w:szCs w:val="21"/>
          <w:highlight w:val="none"/>
        </w:rPr>
      </w:pPr>
      <w:r>
        <w:rPr>
          <w:rFonts w:ascii="宋体" w:hAnsi="宋体" w:eastAsia="宋体" w:cs="Times New Roman"/>
          <w:kern w:val="0"/>
          <w:szCs w:val="21"/>
          <w:highlight w:val="none"/>
        </w:rPr>
        <w:t>鉴于</w:t>
      </w:r>
      <w:r>
        <w:rPr>
          <w:rFonts w:ascii="宋体" w:hAnsi="宋体" w:eastAsia="宋体" w:cs="Times New Roman"/>
          <w:kern w:val="0"/>
          <w:szCs w:val="21"/>
          <w:highlight w:val="none"/>
          <w:u w:val="single"/>
        </w:rPr>
        <w:t xml:space="preserve">  （</w:t>
      </w:r>
      <w:r>
        <w:rPr>
          <w:rFonts w:hint="eastAsia" w:ascii="宋体" w:hAnsi="宋体" w:eastAsia="宋体" w:cs="Times New Roman"/>
          <w:kern w:val="0"/>
          <w:szCs w:val="21"/>
          <w:highlight w:val="none"/>
          <w:u w:val="single"/>
        </w:rPr>
        <w:t>申请人</w:t>
      </w:r>
      <w:r>
        <w:rPr>
          <w:rFonts w:ascii="宋体" w:hAnsi="宋体" w:eastAsia="宋体" w:cs="Times New Roman"/>
          <w:kern w:val="0"/>
          <w:szCs w:val="21"/>
          <w:highlight w:val="none"/>
          <w:u w:val="single"/>
        </w:rPr>
        <w:t xml:space="preserve">的名称与地址）  </w:t>
      </w:r>
      <w:r>
        <w:rPr>
          <w:rFonts w:ascii="宋体" w:hAnsi="宋体" w:eastAsia="宋体" w:cs="Times New Roman"/>
          <w:kern w:val="0"/>
          <w:szCs w:val="21"/>
          <w:highlight w:val="none"/>
        </w:rPr>
        <w:t>（下称“</w:t>
      </w:r>
      <w:r>
        <w:rPr>
          <w:rFonts w:hint="eastAsia" w:ascii="宋体" w:hAnsi="宋体" w:eastAsia="宋体" w:cs="Times New Roman"/>
          <w:kern w:val="0"/>
          <w:szCs w:val="21"/>
          <w:highlight w:val="none"/>
        </w:rPr>
        <w:t>申请人</w:t>
      </w:r>
      <w:r>
        <w:rPr>
          <w:rFonts w:ascii="宋体" w:hAnsi="宋体" w:eastAsia="宋体" w:cs="Times New Roman"/>
          <w:kern w:val="0"/>
          <w:szCs w:val="21"/>
          <w:highlight w:val="none"/>
        </w:rPr>
        <w:t>”），已保证按</w:t>
      </w:r>
      <w:r>
        <w:rPr>
          <w:rFonts w:hint="eastAsia" w:ascii="宋体" w:hAnsi="宋体" w:eastAsia="宋体" w:cs="宋体"/>
          <w:kern w:val="0"/>
          <w:szCs w:val="21"/>
          <w:highlight w:val="none"/>
        </w:rPr>
        <w:t>拟签订的</w:t>
      </w:r>
      <w:r>
        <w:rPr>
          <w:rFonts w:ascii="宋体" w:hAnsi="宋体" w:eastAsia="宋体" w:cs="Times New Roman"/>
          <w:kern w:val="0"/>
          <w:szCs w:val="21"/>
          <w:highlight w:val="none"/>
          <w:u w:val="single"/>
        </w:rPr>
        <w:t xml:space="preserve">  </w:t>
      </w:r>
      <w:r>
        <w:rPr>
          <w:rFonts w:hint="eastAsia" w:ascii="宋体" w:hAnsi="宋体" w:eastAsia="宋体" w:cs="Times New Roman"/>
          <w:kern w:val="0"/>
          <w:szCs w:val="21"/>
          <w:highlight w:val="none"/>
          <w:u w:val="single"/>
        </w:rPr>
        <w:t xml:space="preserve"> </w:t>
      </w:r>
      <w:r>
        <w:rPr>
          <w:rFonts w:ascii="宋体" w:hAnsi="宋体" w:eastAsia="宋体" w:cs="Times New Roman"/>
          <w:kern w:val="0"/>
          <w:szCs w:val="21"/>
          <w:highlight w:val="none"/>
          <w:u w:val="single"/>
        </w:rPr>
        <w:t xml:space="preserve">       </w:t>
      </w:r>
      <w:r>
        <w:rPr>
          <w:rFonts w:hint="eastAsia" w:ascii="宋体" w:hAnsi="宋体" w:eastAsia="宋体" w:cs="Times New Roman"/>
          <w:kern w:val="0"/>
          <w:szCs w:val="21"/>
          <w:highlight w:val="none"/>
          <w:u w:val="single"/>
        </w:rPr>
        <w:t>项目</w:t>
      </w:r>
      <w:r>
        <w:rPr>
          <w:rFonts w:ascii="宋体" w:hAnsi="宋体" w:eastAsia="宋体" w:cs="Times New Roman"/>
          <w:kern w:val="0"/>
          <w:szCs w:val="21"/>
          <w:highlight w:val="none"/>
          <w:u w:val="single"/>
        </w:rPr>
        <w:t>（招标编号：        ）</w:t>
      </w:r>
      <w:r>
        <w:rPr>
          <w:rFonts w:hint="eastAsia" w:ascii="宋体" w:hAnsi="宋体" w:eastAsia="宋体" w:cs="Times New Roman"/>
          <w:kern w:val="0"/>
          <w:szCs w:val="21"/>
          <w:highlight w:val="none"/>
        </w:rPr>
        <w:t>合同（招标文件）</w:t>
      </w:r>
      <w:r>
        <w:rPr>
          <w:rFonts w:ascii="宋体" w:hAnsi="宋体" w:eastAsia="宋体" w:cs="Times New Roman"/>
          <w:kern w:val="0"/>
          <w:szCs w:val="21"/>
          <w:highlight w:val="none"/>
        </w:rPr>
        <w:t>中规定的义务履行合同。</w:t>
      </w:r>
    </w:p>
    <w:p w14:paraId="500AB954">
      <w:pPr>
        <w:widowControl/>
        <w:autoSpaceDE w:val="0"/>
        <w:autoSpaceDN w:val="0"/>
        <w:adjustRightInd w:val="0"/>
        <w:spacing w:line="360" w:lineRule="auto"/>
        <w:ind w:firstLine="567" w:firstLineChars="270"/>
        <w:jc w:val="left"/>
        <w:rPr>
          <w:rFonts w:ascii="宋体" w:hAnsi="宋体" w:eastAsia="宋体" w:cs="Times New Roman"/>
          <w:kern w:val="0"/>
          <w:szCs w:val="21"/>
          <w:highlight w:val="none"/>
        </w:rPr>
      </w:pPr>
      <w:r>
        <w:rPr>
          <w:rFonts w:ascii="宋体" w:hAnsi="宋体" w:eastAsia="宋体" w:cs="Times New Roman"/>
          <w:kern w:val="0"/>
          <w:szCs w:val="21"/>
          <w:highlight w:val="none"/>
        </w:rPr>
        <w:t>根据上述合同（招标文件）规定，</w:t>
      </w:r>
      <w:r>
        <w:rPr>
          <w:rFonts w:hint="eastAsia" w:ascii="宋体" w:hAnsi="宋体" w:eastAsia="宋体" w:cs="Times New Roman"/>
          <w:kern w:val="0"/>
          <w:szCs w:val="21"/>
          <w:highlight w:val="none"/>
        </w:rPr>
        <w:t>申请人</w:t>
      </w:r>
      <w:r>
        <w:rPr>
          <w:rFonts w:ascii="宋体" w:hAnsi="宋体" w:eastAsia="宋体" w:cs="Times New Roman"/>
          <w:kern w:val="0"/>
          <w:szCs w:val="21"/>
          <w:highlight w:val="none"/>
        </w:rPr>
        <w:t>应向受益人提供一份金额为人民币</w:t>
      </w:r>
      <w:r>
        <w:rPr>
          <w:rFonts w:hint="eastAsia" w:ascii="宋体" w:hAnsi="宋体" w:eastAsia="宋体" w:cs="宋体"/>
          <w:kern w:val="0"/>
          <w:szCs w:val="21"/>
          <w:highlight w:val="none"/>
        </w:rPr>
        <w:t>（大写）</w:t>
      </w:r>
      <w:r>
        <w:rPr>
          <w:rFonts w:ascii="宋体" w:hAnsi="宋体" w:eastAsia="宋体" w:cs="Times New Roman"/>
          <w:kern w:val="0"/>
          <w:szCs w:val="21"/>
          <w:highlight w:val="none"/>
          <w:u w:val="single"/>
        </w:rPr>
        <w:t xml:space="preserve">     （RMB元）</w:t>
      </w:r>
      <w:r>
        <w:rPr>
          <w:rFonts w:ascii="宋体" w:hAnsi="宋体" w:eastAsia="宋体" w:cs="Times New Roman"/>
          <w:kern w:val="0"/>
          <w:szCs w:val="21"/>
          <w:highlight w:val="none"/>
        </w:rPr>
        <w:t>的</w:t>
      </w:r>
      <w:r>
        <w:rPr>
          <w:rFonts w:hint="eastAsia" w:ascii="宋体" w:hAnsi="宋体" w:eastAsia="宋体" w:cs="Times New Roman"/>
          <w:kern w:val="0"/>
          <w:szCs w:val="21"/>
          <w:highlight w:val="none"/>
        </w:rPr>
        <w:t>无条件、</w:t>
      </w:r>
      <w:r>
        <w:rPr>
          <w:rFonts w:ascii="宋体" w:hAnsi="宋体" w:eastAsia="宋体" w:cs="Times New Roman"/>
          <w:bCs/>
          <w:kern w:val="0"/>
          <w:szCs w:val="21"/>
          <w:highlight w:val="none"/>
        </w:rPr>
        <w:t>不可撤销</w:t>
      </w:r>
      <w:r>
        <w:rPr>
          <w:rFonts w:ascii="宋体" w:hAnsi="宋体" w:eastAsia="宋体" w:cs="Times New Roman"/>
          <w:kern w:val="0"/>
          <w:szCs w:val="21"/>
          <w:highlight w:val="none"/>
        </w:rPr>
        <w:t>履约</w:t>
      </w:r>
      <w:r>
        <w:rPr>
          <w:rFonts w:hint="eastAsia" w:ascii="宋体" w:hAnsi="宋体" w:eastAsia="宋体" w:cs="Times New Roman"/>
          <w:kern w:val="0"/>
          <w:szCs w:val="21"/>
          <w:highlight w:val="none"/>
        </w:rPr>
        <w:t>担保</w:t>
      </w:r>
      <w:r>
        <w:rPr>
          <w:rFonts w:ascii="宋体" w:hAnsi="宋体" w:eastAsia="宋体" w:cs="Times New Roman"/>
          <w:kern w:val="0"/>
          <w:szCs w:val="21"/>
          <w:highlight w:val="none"/>
        </w:rPr>
        <w:t>，作为</w:t>
      </w:r>
      <w:r>
        <w:rPr>
          <w:rFonts w:hint="eastAsia" w:ascii="宋体" w:hAnsi="宋体" w:eastAsia="宋体" w:cs="Times New Roman"/>
          <w:kern w:val="0"/>
          <w:szCs w:val="21"/>
          <w:highlight w:val="none"/>
        </w:rPr>
        <w:t>申请人</w:t>
      </w:r>
      <w:r>
        <w:rPr>
          <w:rFonts w:ascii="宋体" w:hAnsi="宋体" w:eastAsia="宋体" w:cs="Times New Roman"/>
          <w:kern w:val="0"/>
          <w:szCs w:val="21"/>
          <w:highlight w:val="none"/>
        </w:rPr>
        <w:t>履行上述合同的担保</w:t>
      </w:r>
      <w:r>
        <w:rPr>
          <w:rFonts w:ascii="宋体" w:hAnsi="宋体" w:eastAsia="宋体" w:cs="宋体"/>
          <w:kern w:val="0"/>
          <w:szCs w:val="21"/>
          <w:highlight w:val="none"/>
        </w:rPr>
        <w:t>，</w:t>
      </w:r>
      <w:r>
        <w:rPr>
          <w:rFonts w:hint="eastAsia" w:ascii="宋体" w:hAnsi="宋体" w:eastAsia="宋体" w:cs="宋体"/>
          <w:kern w:val="0"/>
          <w:szCs w:val="21"/>
          <w:highlight w:val="none"/>
          <w:lang w:eastAsia="zh-Hans"/>
        </w:rPr>
        <w:t>我方</w:t>
      </w:r>
      <w:r>
        <w:rPr>
          <w:rFonts w:ascii="宋体" w:hAnsi="宋体" w:eastAsia="宋体" w:cs="宋体"/>
          <w:kern w:val="0"/>
          <w:szCs w:val="21"/>
          <w:highlight w:val="none"/>
          <w:u w:val="single"/>
        </w:rPr>
        <w:t xml:space="preserve">  </w:t>
      </w:r>
      <w:r>
        <w:rPr>
          <w:rFonts w:ascii="宋体" w:hAnsi="宋体" w:eastAsia="宋体" w:cs="Times New Roman"/>
          <w:kern w:val="0"/>
          <w:szCs w:val="21"/>
          <w:highlight w:val="none"/>
          <w:u w:val="single"/>
        </w:rPr>
        <w:t>（</w:t>
      </w:r>
      <w:r>
        <w:rPr>
          <w:rFonts w:hint="eastAsia" w:ascii="宋体" w:hAnsi="宋体" w:eastAsia="宋体" w:cs="Times New Roman"/>
          <w:kern w:val="0"/>
          <w:szCs w:val="21"/>
          <w:highlight w:val="none"/>
          <w:u w:val="single"/>
        </w:rPr>
        <w:t>担保公司</w:t>
      </w:r>
      <w:r>
        <w:rPr>
          <w:rFonts w:ascii="宋体" w:hAnsi="宋体" w:eastAsia="宋体" w:cs="Times New Roman"/>
          <w:kern w:val="0"/>
          <w:szCs w:val="21"/>
          <w:highlight w:val="none"/>
          <w:u w:val="single"/>
        </w:rPr>
        <w:t>名称）</w:t>
      </w:r>
      <w:r>
        <w:rPr>
          <w:rFonts w:hint="eastAsia" w:ascii="宋体" w:hAnsi="宋体" w:eastAsia="宋体" w:cs="Times New Roman"/>
          <w:kern w:val="0"/>
          <w:szCs w:val="21"/>
          <w:highlight w:val="none"/>
          <w:u w:val="single"/>
        </w:rPr>
        <w:t xml:space="preserve">  </w:t>
      </w:r>
      <w:r>
        <w:rPr>
          <w:rFonts w:hint="eastAsia" w:ascii="宋体" w:hAnsi="宋体" w:eastAsia="宋体" w:cs="宋体"/>
          <w:kern w:val="0"/>
          <w:szCs w:val="21"/>
          <w:highlight w:val="none"/>
        </w:rPr>
        <w:t>在</w:t>
      </w:r>
      <w:r>
        <w:rPr>
          <w:rFonts w:hint="eastAsia" w:ascii="宋体" w:hAnsi="宋体" w:eastAsia="宋体" w:cs="宋体"/>
          <w:kern w:val="0"/>
          <w:szCs w:val="21"/>
          <w:highlight w:val="none"/>
          <w:lang w:eastAsia="zh-Hans"/>
        </w:rPr>
        <w:t>本合同项下的保证责任为连带责任保证</w:t>
      </w:r>
      <w:r>
        <w:rPr>
          <w:rFonts w:hint="eastAsia" w:ascii="宋体" w:hAnsi="宋体" w:eastAsia="宋体" w:cs="宋体"/>
          <w:kern w:val="0"/>
          <w:szCs w:val="21"/>
          <w:highlight w:val="none"/>
        </w:rPr>
        <w:t>。</w:t>
      </w:r>
    </w:p>
    <w:p w14:paraId="211688A6">
      <w:pPr>
        <w:autoSpaceDE w:val="0"/>
        <w:autoSpaceDN w:val="0"/>
        <w:adjustRightInd w:val="0"/>
        <w:spacing w:line="360" w:lineRule="auto"/>
        <w:ind w:firstLine="437"/>
        <w:jc w:val="left"/>
        <w:rPr>
          <w:rFonts w:ascii="宋体" w:hAnsi="宋体" w:eastAsia="宋体" w:cs="宋体"/>
          <w:kern w:val="0"/>
          <w:szCs w:val="21"/>
          <w:highlight w:val="none"/>
        </w:rPr>
      </w:pPr>
      <w:r>
        <w:rPr>
          <w:rFonts w:ascii="宋体" w:hAnsi="宋体" w:eastAsia="宋体" w:cs="Times New Roman"/>
          <w:kern w:val="0"/>
          <w:szCs w:val="21"/>
          <w:highlight w:val="none"/>
        </w:rPr>
        <w:t>我方</w:t>
      </w:r>
      <w:r>
        <w:rPr>
          <w:rFonts w:ascii="宋体" w:hAnsi="宋体" w:eastAsia="宋体" w:cs="Times New Roman"/>
          <w:kern w:val="0"/>
          <w:szCs w:val="21"/>
          <w:highlight w:val="none"/>
          <w:u w:val="single"/>
        </w:rPr>
        <w:t xml:space="preserve">  （</w:t>
      </w:r>
      <w:r>
        <w:rPr>
          <w:rFonts w:hint="eastAsia" w:ascii="宋体" w:hAnsi="宋体" w:eastAsia="宋体" w:cs="Times New Roman"/>
          <w:kern w:val="0"/>
          <w:szCs w:val="21"/>
          <w:highlight w:val="none"/>
          <w:u w:val="single"/>
        </w:rPr>
        <w:t>担保公司</w:t>
      </w:r>
      <w:r>
        <w:rPr>
          <w:rFonts w:ascii="宋体" w:hAnsi="宋体" w:eastAsia="宋体" w:cs="Times New Roman"/>
          <w:kern w:val="0"/>
          <w:szCs w:val="21"/>
          <w:highlight w:val="none"/>
          <w:u w:val="single"/>
        </w:rPr>
        <w:t xml:space="preserve">名称）  </w:t>
      </w:r>
      <w:r>
        <w:rPr>
          <w:rFonts w:ascii="宋体" w:hAnsi="宋体" w:eastAsia="宋体" w:cs="Times New Roman"/>
          <w:kern w:val="0"/>
          <w:szCs w:val="21"/>
          <w:highlight w:val="none"/>
        </w:rPr>
        <w:t>，受</w:t>
      </w:r>
      <w:r>
        <w:rPr>
          <w:rFonts w:hint="eastAsia" w:ascii="宋体" w:hAnsi="宋体" w:eastAsia="宋体" w:cs="Times New Roman"/>
          <w:kern w:val="0"/>
          <w:szCs w:val="21"/>
          <w:highlight w:val="none"/>
        </w:rPr>
        <w:t>申请人</w:t>
      </w:r>
      <w:r>
        <w:rPr>
          <w:rFonts w:ascii="宋体" w:hAnsi="宋体" w:eastAsia="宋体" w:cs="Times New Roman"/>
          <w:kern w:val="0"/>
          <w:szCs w:val="21"/>
          <w:highlight w:val="none"/>
        </w:rPr>
        <w:t>的委托，</w:t>
      </w:r>
      <w:r>
        <w:rPr>
          <w:rFonts w:hint="eastAsia" w:ascii="宋体" w:hAnsi="宋体" w:eastAsia="宋体" w:cs="宋体"/>
          <w:kern w:val="0"/>
          <w:szCs w:val="21"/>
          <w:highlight w:val="none"/>
        </w:rPr>
        <w:t>无条件和不可撤销地在受益人出具本担保书原件且提出因申请人没有履行上述合同规定，在担保书限额内向受益人支付不超过人民币（大写）_________（¥</w:t>
      </w:r>
      <w:r>
        <w:rPr>
          <w:rFonts w:ascii="宋体" w:hAnsi="宋体" w:eastAsia="宋体" w:cs="宋体"/>
          <w:kern w:val="0"/>
          <w:szCs w:val="21"/>
          <w:highlight w:val="none"/>
        </w:rPr>
        <w:t>_______元）</w:t>
      </w:r>
      <w:r>
        <w:rPr>
          <w:rFonts w:hint="eastAsia" w:ascii="宋体" w:hAnsi="宋体" w:eastAsia="宋体" w:cs="宋体"/>
          <w:kern w:val="0"/>
          <w:szCs w:val="21"/>
          <w:highlight w:val="none"/>
        </w:rPr>
        <w:t>的款项。</w:t>
      </w:r>
    </w:p>
    <w:p w14:paraId="74453CF4">
      <w:pPr>
        <w:autoSpaceDE w:val="0"/>
        <w:autoSpaceDN w:val="0"/>
        <w:adjustRightInd w:val="0"/>
        <w:spacing w:line="360" w:lineRule="auto"/>
        <w:ind w:firstLine="437"/>
        <w:jc w:val="left"/>
        <w:rPr>
          <w:rFonts w:ascii="宋体" w:hAnsi="宋体" w:eastAsia="宋体" w:cs="Times New Roman"/>
          <w:kern w:val="0"/>
          <w:szCs w:val="21"/>
          <w:highlight w:val="none"/>
        </w:rPr>
      </w:pPr>
      <w:r>
        <w:rPr>
          <w:rFonts w:ascii="宋体" w:hAnsi="宋体" w:eastAsia="宋体" w:cs="Times New Roman"/>
          <w:kern w:val="0"/>
          <w:szCs w:val="21"/>
          <w:highlight w:val="none"/>
        </w:rPr>
        <w:t>我方还同意，任何受益人与</w:t>
      </w:r>
      <w:r>
        <w:rPr>
          <w:rFonts w:hint="eastAsia" w:ascii="宋体" w:hAnsi="宋体" w:eastAsia="宋体" w:cs="Times New Roman"/>
          <w:kern w:val="0"/>
          <w:szCs w:val="21"/>
          <w:highlight w:val="none"/>
        </w:rPr>
        <w:t>申请人</w:t>
      </w:r>
      <w:r>
        <w:rPr>
          <w:rFonts w:ascii="宋体" w:hAnsi="宋体" w:eastAsia="宋体" w:cs="Times New Roman"/>
          <w:kern w:val="0"/>
          <w:szCs w:val="21"/>
          <w:highlight w:val="none"/>
        </w:rPr>
        <w:t>之间可能对合同条款的修改、规范或其他合同文件的变动补充，都不能免除我方按本</w:t>
      </w:r>
      <w:r>
        <w:rPr>
          <w:rFonts w:hint="eastAsia" w:ascii="宋体" w:hAnsi="宋体" w:eastAsia="宋体" w:cs="Times New Roman"/>
          <w:kern w:val="0"/>
          <w:szCs w:val="21"/>
          <w:highlight w:val="none"/>
        </w:rPr>
        <w:t>担保</w:t>
      </w:r>
      <w:r>
        <w:rPr>
          <w:rFonts w:ascii="宋体" w:hAnsi="宋体" w:eastAsia="宋体" w:cs="Times New Roman"/>
          <w:kern w:val="0"/>
          <w:szCs w:val="21"/>
          <w:highlight w:val="none"/>
        </w:rPr>
        <w:t>函所承担的责任。因此，有关上述变动、补充和修改无须通知</w:t>
      </w:r>
      <w:r>
        <w:rPr>
          <w:rFonts w:hint="eastAsia" w:ascii="宋体" w:hAnsi="宋体" w:eastAsia="宋体" w:cs="Times New Roman"/>
          <w:kern w:val="0"/>
          <w:szCs w:val="21"/>
          <w:highlight w:val="none"/>
        </w:rPr>
        <w:t>或征得</w:t>
      </w:r>
      <w:r>
        <w:rPr>
          <w:rFonts w:ascii="宋体" w:hAnsi="宋体" w:eastAsia="宋体" w:cs="Times New Roman"/>
          <w:kern w:val="0"/>
          <w:szCs w:val="21"/>
          <w:highlight w:val="none"/>
        </w:rPr>
        <w:t>我方</w:t>
      </w:r>
      <w:r>
        <w:rPr>
          <w:rFonts w:hint="eastAsia" w:ascii="宋体" w:hAnsi="宋体" w:eastAsia="宋体" w:cs="Times New Roman"/>
          <w:kern w:val="0"/>
          <w:szCs w:val="21"/>
          <w:highlight w:val="none"/>
        </w:rPr>
        <w:t>同意</w:t>
      </w:r>
      <w:r>
        <w:rPr>
          <w:rFonts w:ascii="宋体" w:hAnsi="宋体" w:eastAsia="宋体" w:cs="Times New Roman"/>
          <w:kern w:val="0"/>
          <w:szCs w:val="21"/>
          <w:highlight w:val="none"/>
        </w:rPr>
        <w:t>。</w:t>
      </w:r>
    </w:p>
    <w:p w14:paraId="3D1733CF">
      <w:pPr>
        <w:autoSpaceDE w:val="0"/>
        <w:autoSpaceDN w:val="0"/>
        <w:adjustRightInd w:val="0"/>
        <w:spacing w:line="360" w:lineRule="auto"/>
        <w:ind w:firstLine="437"/>
        <w:jc w:val="left"/>
        <w:rPr>
          <w:rFonts w:ascii="宋体" w:hAnsi="宋体" w:eastAsia="宋体" w:cs="Times New Roman"/>
          <w:kern w:val="0"/>
          <w:szCs w:val="21"/>
          <w:highlight w:val="none"/>
        </w:rPr>
      </w:pPr>
      <w:r>
        <w:rPr>
          <w:rFonts w:ascii="宋体" w:hAnsi="宋体" w:eastAsia="宋体" w:cs="Times New Roman"/>
          <w:kern w:val="0"/>
          <w:szCs w:val="21"/>
          <w:highlight w:val="none"/>
        </w:rPr>
        <w:t>本履约</w:t>
      </w:r>
      <w:r>
        <w:rPr>
          <w:rFonts w:hint="eastAsia" w:ascii="宋体" w:hAnsi="宋体" w:eastAsia="宋体" w:cs="Times New Roman"/>
          <w:kern w:val="0"/>
          <w:szCs w:val="21"/>
          <w:highlight w:val="none"/>
        </w:rPr>
        <w:t>担保</w:t>
      </w:r>
      <w:r>
        <w:rPr>
          <w:rFonts w:hint="eastAsia" w:ascii="宋体" w:hAnsi="宋体" w:eastAsia="宋体" w:cs="Times New Roman"/>
          <w:kern w:val="0"/>
          <w:szCs w:val="21"/>
          <w:highlight w:val="none"/>
          <w:lang w:val="en-US" w:eastAsia="zh-CN"/>
        </w:rPr>
        <w:t>书</w:t>
      </w:r>
      <w:r>
        <w:rPr>
          <w:rFonts w:hint="eastAsia" w:ascii="宋体" w:hAnsi="宋体" w:eastAsia="宋体" w:cs="宋体"/>
          <w:bCs/>
          <w:szCs w:val="21"/>
          <w:highlight w:val="none"/>
        </w:rPr>
        <w:t>应从合同签订之日起至合同期限届满并完成本项目的所有合同（包括补充协议及单项合同）全部服务义务（或其它非强制退库的情况），受益人向申请人支付全部款项后二十八（</w:t>
      </w:r>
      <w:r>
        <w:rPr>
          <w:rFonts w:hint="eastAsia" w:ascii="宋体" w:hAnsi="宋体" w:eastAsia="宋体" w:cs="宋体"/>
          <w:bCs/>
          <w:color w:val="auto"/>
          <w:szCs w:val="21"/>
          <w:highlight w:val="none"/>
        </w:rPr>
        <w:t>28）日内</w:t>
      </w:r>
      <w:r>
        <w:rPr>
          <w:rFonts w:hint="eastAsia" w:ascii="宋体" w:hAnsi="宋体" w:eastAsia="宋体" w:cs="Times New Roman"/>
          <w:color w:val="auto"/>
          <w:kern w:val="0"/>
          <w:szCs w:val="21"/>
          <w:highlight w:val="none"/>
        </w:rPr>
        <w:t>保持有效。</w:t>
      </w:r>
    </w:p>
    <w:p w14:paraId="57F0906B">
      <w:pPr>
        <w:autoSpaceDE w:val="0"/>
        <w:autoSpaceDN w:val="0"/>
        <w:adjustRightInd w:val="0"/>
        <w:spacing w:line="360" w:lineRule="auto"/>
        <w:jc w:val="left"/>
        <w:rPr>
          <w:rFonts w:ascii="宋体" w:hAnsi="宋体" w:eastAsia="宋体" w:cs="Times New Roman"/>
          <w:kern w:val="0"/>
          <w:szCs w:val="21"/>
          <w:highlight w:val="none"/>
        </w:rPr>
      </w:pPr>
    </w:p>
    <w:p w14:paraId="7CFBF045">
      <w:pPr>
        <w:autoSpaceDE w:val="0"/>
        <w:autoSpaceDN w:val="0"/>
        <w:adjustRightInd w:val="0"/>
        <w:spacing w:line="360" w:lineRule="auto"/>
        <w:ind w:firstLine="3990" w:firstLineChars="1900"/>
        <w:jc w:val="left"/>
        <w:rPr>
          <w:rFonts w:ascii="宋体" w:hAnsi="宋体" w:eastAsia="宋体" w:cs="Times New Roman"/>
          <w:kern w:val="0"/>
          <w:szCs w:val="21"/>
          <w:highlight w:val="none"/>
        </w:rPr>
      </w:pPr>
      <w:r>
        <w:rPr>
          <w:rFonts w:hint="eastAsia" w:ascii="宋体" w:hAnsi="宋体" w:eastAsia="宋体" w:cs="Times New Roman"/>
          <w:kern w:val="0"/>
          <w:szCs w:val="21"/>
          <w:highlight w:val="none"/>
        </w:rPr>
        <w:t>法定代表人或其授权的代理人：（签字或盖私章）</w:t>
      </w:r>
    </w:p>
    <w:p w14:paraId="44E99D01">
      <w:pPr>
        <w:autoSpaceDE w:val="0"/>
        <w:autoSpaceDN w:val="0"/>
        <w:adjustRightInd w:val="0"/>
        <w:spacing w:line="360" w:lineRule="auto"/>
        <w:ind w:firstLine="3990" w:firstLineChars="1900"/>
        <w:jc w:val="left"/>
        <w:rPr>
          <w:rFonts w:ascii="宋体" w:hAnsi="宋体" w:eastAsia="宋体" w:cs="Times New Roman"/>
          <w:kern w:val="0"/>
          <w:szCs w:val="21"/>
          <w:highlight w:val="none"/>
        </w:rPr>
      </w:pPr>
      <w:r>
        <w:rPr>
          <w:rFonts w:hint="eastAsia" w:ascii="宋体" w:hAnsi="宋体" w:eastAsia="宋体" w:cs="Times New Roman"/>
          <w:kern w:val="0"/>
          <w:szCs w:val="21"/>
          <w:highlight w:val="none"/>
        </w:rPr>
        <w:t>担保公司盖章：</w:t>
      </w:r>
    </w:p>
    <w:p w14:paraId="61E70CA9">
      <w:pPr>
        <w:autoSpaceDE w:val="0"/>
        <w:autoSpaceDN w:val="0"/>
        <w:adjustRightInd w:val="0"/>
        <w:spacing w:line="360" w:lineRule="auto"/>
        <w:ind w:firstLine="3990" w:firstLineChars="1900"/>
        <w:jc w:val="left"/>
        <w:rPr>
          <w:rFonts w:ascii="宋体" w:hAnsi="宋体" w:eastAsia="宋体" w:cs="Times New Roman"/>
          <w:kern w:val="0"/>
          <w:szCs w:val="21"/>
          <w:highlight w:val="none"/>
        </w:rPr>
      </w:pPr>
      <w:r>
        <w:rPr>
          <w:rFonts w:hint="eastAsia" w:ascii="宋体" w:hAnsi="宋体" w:eastAsia="宋体" w:cs="Times New Roman"/>
          <w:kern w:val="0"/>
          <w:szCs w:val="21"/>
          <w:highlight w:val="none"/>
        </w:rPr>
        <w:t>联系电话：</w:t>
      </w:r>
    </w:p>
    <w:p w14:paraId="746F77CC">
      <w:pPr>
        <w:autoSpaceDE w:val="0"/>
        <w:autoSpaceDN w:val="0"/>
        <w:adjustRightInd w:val="0"/>
        <w:spacing w:line="360" w:lineRule="auto"/>
        <w:ind w:firstLine="3990" w:firstLineChars="1900"/>
        <w:jc w:val="left"/>
        <w:rPr>
          <w:rFonts w:ascii="宋体" w:hAnsi="宋体" w:eastAsia="宋体" w:cs="Times New Roman"/>
          <w:kern w:val="0"/>
          <w:szCs w:val="21"/>
          <w:highlight w:val="none"/>
        </w:rPr>
      </w:pPr>
      <w:r>
        <w:rPr>
          <w:rFonts w:hint="eastAsia" w:ascii="宋体" w:hAnsi="宋体" w:eastAsia="宋体" w:cs="Times New Roman"/>
          <w:kern w:val="0"/>
          <w:szCs w:val="21"/>
          <w:highlight w:val="none"/>
        </w:rPr>
        <w:t>地址：</w:t>
      </w:r>
    </w:p>
    <w:p w14:paraId="39DD282B">
      <w:pPr>
        <w:autoSpaceDE w:val="0"/>
        <w:autoSpaceDN w:val="0"/>
        <w:adjustRightInd w:val="0"/>
        <w:spacing w:line="360" w:lineRule="auto"/>
        <w:ind w:firstLine="3990" w:firstLineChars="1900"/>
        <w:jc w:val="left"/>
        <w:rPr>
          <w:rFonts w:ascii="宋体" w:hAnsi="宋体" w:eastAsia="宋体" w:cs="Times New Roman"/>
          <w:kern w:val="0"/>
          <w:szCs w:val="21"/>
          <w:highlight w:val="none"/>
        </w:rPr>
      </w:pPr>
      <w:r>
        <w:rPr>
          <w:rFonts w:hint="eastAsia" w:ascii="宋体" w:hAnsi="宋体" w:eastAsia="宋体" w:cs="Times New Roman"/>
          <w:kern w:val="0"/>
          <w:szCs w:val="21"/>
          <w:highlight w:val="none"/>
        </w:rPr>
        <w:t>日期：    年   月   日</w:t>
      </w:r>
    </w:p>
    <w:p w14:paraId="4E1C1957">
      <w:pPr>
        <w:pStyle w:val="24"/>
        <w:rPr>
          <w:highlight w:val="none"/>
        </w:rPr>
      </w:pPr>
    </w:p>
    <w:bookmarkEnd w:id="579"/>
    <w:bookmarkEnd w:id="580"/>
    <w:bookmarkEnd w:id="581"/>
    <w:bookmarkEnd w:id="582"/>
    <w:bookmarkEnd w:id="583"/>
    <w:bookmarkEnd w:id="584"/>
    <w:bookmarkEnd w:id="585"/>
    <w:bookmarkEnd w:id="586"/>
    <w:bookmarkEnd w:id="587"/>
    <w:bookmarkEnd w:id="588"/>
    <w:bookmarkEnd w:id="589"/>
    <w:p w14:paraId="29175F4E">
      <w:pPr>
        <w:pageBreakBefore/>
        <w:tabs>
          <w:tab w:val="left" w:pos="1080"/>
        </w:tabs>
        <w:autoSpaceDE w:val="0"/>
        <w:autoSpaceDN w:val="0"/>
        <w:adjustRightInd w:val="0"/>
        <w:spacing w:line="360" w:lineRule="auto"/>
        <w:ind w:left="357" w:leftChars="-100" w:hanging="567"/>
        <w:jc w:val="center"/>
        <w:outlineLvl w:val="0"/>
        <w:rPr>
          <w:rFonts w:ascii="宋体" w:hAnsi="宋体" w:eastAsia="宋体" w:cs="宋体"/>
          <w:b/>
          <w:bCs/>
          <w:color w:val="auto"/>
          <w:kern w:val="44"/>
          <w:sz w:val="32"/>
          <w:szCs w:val="32"/>
          <w:highlight w:val="none"/>
        </w:rPr>
      </w:pPr>
      <w:bookmarkStart w:id="596" w:name="_Toc9840"/>
      <w:bookmarkStart w:id="597" w:name="_Toc26560"/>
      <w:bookmarkStart w:id="598" w:name="_Toc195714372"/>
      <w:bookmarkStart w:id="599" w:name="_Toc450662895"/>
      <w:bookmarkStart w:id="600" w:name="_Toc28479"/>
      <w:bookmarkStart w:id="601" w:name="_Toc142508361"/>
      <w:bookmarkStart w:id="602" w:name="_Toc9056"/>
      <w:bookmarkStart w:id="603" w:name="_Toc24411"/>
      <w:bookmarkStart w:id="604" w:name="_Toc486167708"/>
      <w:bookmarkStart w:id="605" w:name="_Toc32761_WPSOffice_Level1"/>
      <w:bookmarkStart w:id="606" w:name="_Toc15817"/>
      <w:bookmarkStart w:id="607" w:name="_Toc16708"/>
      <w:r>
        <w:rPr>
          <w:rFonts w:hint="eastAsia" w:ascii="宋体" w:hAnsi="宋体" w:eastAsia="宋体" w:cs="宋体"/>
          <w:b/>
          <w:bCs/>
          <w:color w:val="auto"/>
          <w:kern w:val="44"/>
          <w:sz w:val="32"/>
          <w:szCs w:val="32"/>
          <w:highlight w:val="none"/>
          <w:lang w:val="zh-CN"/>
        </w:rPr>
        <w:t>第</w:t>
      </w:r>
      <w:r>
        <w:rPr>
          <w:rFonts w:hint="eastAsia" w:ascii="宋体" w:hAnsi="宋体" w:eastAsia="宋体" w:cs="宋体"/>
          <w:b/>
          <w:bCs/>
          <w:color w:val="auto"/>
          <w:kern w:val="44"/>
          <w:sz w:val="32"/>
          <w:szCs w:val="32"/>
          <w:highlight w:val="none"/>
          <w:lang w:val="en-US" w:eastAsia="zh-CN"/>
        </w:rPr>
        <w:t>六</w:t>
      </w:r>
      <w:r>
        <w:rPr>
          <w:rFonts w:hint="eastAsia" w:ascii="宋体" w:hAnsi="宋体" w:eastAsia="宋体" w:cs="宋体"/>
          <w:b/>
          <w:bCs/>
          <w:color w:val="auto"/>
          <w:kern w:val="44"/>
          <w:sz w:val="32"/>
          <w:szCs w:val="32"/>
          <w:highlight w:val="none"/>
          <w:lang w:val="zh-CN"/>
        </w:rPr>
        <w:t>篇 投标文件格式</w:t>
      </w:r>
      <w:bookmarkEnd w:id="596"/>
      <w:bookmarkEnd w:id="597"/>
      <w:bookmarkEnd w:id="598"/>
      <w:bookmarkEnd w:id="599"/>
      <w:bookmarkEnd w:id="600"/>
      <w:bookmarkEnd w:id="601"/>
      <w:bookmarkEnd w:id="602"/>
      <w:bookmarkEnd w:id="603"/>
      <w:bookmarkEnd w:id="604"/>
      <w:bookmarkEnd w:id="605"/>
      <w:bookmarkEnd w:id="606"/>
      <w:bookmarkEnd w:id="607"/>
    </w:p>
    <w:p w14:paraId="7A2E524D">
      <w:pPr>
        <w:jc w:val="left"/>
        <w:outlineLvl w:val="9"/>
        <w:rPr>
          <w:rFonts w:hint="eastAsia" w:ascii="宋体" w:hAnsi="宋体" w:eastAsia="宋体" w:cs="宋体"/>
          <w:b/>
          <w:color w:val="auto"/>
          <w:kern w:val="0"/>
          <w:sz w:val="32"/>
          <w:szCs w:val="32"/>
          <w:highlight w:val="none"/>
        </w:rPr>
      </w:pPr>
      <w:bookmarkStart w:id="608" w:name="_Toc195714373"/>
      <w:bookmarkStart w:id="609" w:name="_Toc31978"/>
      <w:bookmarkStart w:id="610" w:name="_Toc102860067"/>
      <w:bookmarkStart w:id="611" w:name="_Toc104991868"/>
      <w:bookmarkStart w:id="612" w:name="_Toc94107202"/>
      <w:bookmarkStart w:id="613" w:name="_Toc486167709"/>
      <w:bookmarkStart w:id="614" w:name="_Toc142508362"/>
      <w:bookmarkStart w:id="615" w:name="_Toc21133_WPSOffice_Level2"/>
      <w:bookmarkStart w:id="616" w:name="_Toc102860411"/>
      <w:bookmarkStart w:id="617" w:name="_Toc140596921"/>
      <w:bookmarkStart w:id="618" w:name="_Toc533708121"/>
      <w:bookmarkStart w:id="619" w:name="_Toc1977721"/>
      <w:r>
        <w:rPr>
          <w:rFonts w:hint="eastAsia" w:ascii="宋体" w:hAnsi="宋体" w:eastAsia="宋体" w:cs="宋体"/>
          <w:b/>
          <w:color w:val="auto"/>
          <w:kern w:val="0"/>
          <w:sz w:val="32"/>
          <w:szCs w:val="32"/>
          <w:highlight w:val="none"/>
        </w:rPr>
        <w:br w:type="page"/>
      </w:r>
    </w:p>
    <w:p w14:paraId="0FF5ED08">
      <w:pPr>
        <w:jc w:val="center"/>
        <w:outlineLvl w:val="1"/>
        <w:rPr>
          <w:rFonts w:hint="eastAsia" w:ascii="宋体" w:hAnsi="宋体" w:eastAsia="宋体" w:cs="宋体"/>
          <w:b/>
          <w:color w:val="auto"/>
          <w:kern w:val="0"/>
          <w:sz w:val="32"/>
          <w:szCs w:val="32"/>
          <w:highlight w:val="none"/>
        </w:rPr>
      </w:pPr>
      <w:bookmarkStart w:id="620" w:name="_Toc22825"/>
      <w:bookmarkStart w:id="621" w:name="_Toc27481"/>
      <w:bookmarkStart w:id="622" w:name="_Toc29587"/>
      <w:bookmarkStart w:id="623" w:name="_Toc6753"/>
      <w:bookmarkStart w:id="624" w:name="_Toc16035"/>
      <w:r>
        <w:rPr>
          <w:rFonts w:hint="eastAsia" w:ascii="宋体" w:hAnsi="宋体" w:eastAsia="宋体" w:cs="宋体"/>
          <w:b/>
          <w:color w:val="auto"/>
          <w:kern w:val="0"/>
          <w:sz w:val="32"/>
          <w:szCs w:val="32"/>
          <w:highlight w:val="none"/>
        </w:rPr>
        <w:t>第一部分 商务标格式</w:t>
      </w:r>
      <w:bookmarkEnd w:id="620"/>
      <w:bookmarkEnd w:id="621"/>
      <w:bookmarkEnd w:id="622"/>
      <w:bookmarkEnd w:id="623"/>
      <w:bookmarkEnd w:id="624"/>
    </w:p>
    <w:bookmarkEnd w:id="608"/>
    <w:bookmarkEnd w:id="609"/>
    <w:p w14:paraId="73BEE352">
      <w:pPr>
        <w:rPr>
          <w:rFonts w:ascii="宋体" w:hAnsi="宋体" w:eastAsia="宋体" w:cs="宋体"/>
          <w:color w:val="auto"/>
          <w:sz w:val="84"/>
          <w:highlight w:val="none"/>
        </w:rPr>
      </w:pPr>
      <w:r>
        <w:rPr>
          <w:rFonts w:hint="eastAsia" w:ascii="宋体" w:hAnsi="宋体" w:eastAsia="宋体" w:cs="宋体"/>
          <w:b/>
          <w:color w:val="auto"/>
          <w:kern w:val="0"/>
          <w:sz w:val="32"/>
          <w:szCs w:val="32"/>
          <w:highlight w:val="none"/>
        </w:rPr>
        <w:br w:type="page"/>
      </w:r>
    </w:p>
    <w:p w14:paraId="6E07AECA">
      <w:pPr>
        <w:pStyle w:val="16"/>
        <w:spacing w:line="360" w:lineRule="auto"/>
        <w:jc w:val="center"/>
        <w:rPr>
          <w:rFonts w:ascii="宋体" w:hAnsi="宋体" w:cs="宋体"/>
          <w:color w:val="auto"/>
          <w:sz w:val="84"/>
          <w:highlight w:val="none"/>
        </w:rPr>
      </w:pPr>
    </w:p>
    <w:p w14:paraId="2C08E8AB">
      <w:pPr>
        <w:pStyle w:val="16"/>
        <w:spacing w:line="360" w:lineRule="auto"/>
        <w:jc w:val="center"/>
        <w:rPr>
          <w:rFonts w:ascii="宋体" w:hAnsi="宋体" w:cs="宋体"/>
          <w:color w:val="auto"/>
          <w:sz w:val="84"/>
          <w:highlight w:val="none"/>
        </w:rPr>
      </w:pPr>
    </w:p>
    <w:p w14:paraId="55D922A5">
      <w:pPr>
        <w:pStyle w:val="16"/>
        <w:spacing w:line="360" w:lineRule="auto"/>
        <w:jc w:val="center"/>
        <w:rPr>
          <w:rFonts w:hint="eastAsia" w:ascii="宋体" w:hAnsi="宋体" w:cs="宋体"/>
          <w:color w:val="auto"/>
          <w:sz w:val="84"/>
          <w:highlight w:val="none"/>
        </w:rPr>
      </w:pPr>
      <w:r>
        <w:rPr>
          <w:rFonts w:hint="eastAsia" w:ascii="宋体" w:hAnsi="宋体" w:cs="宋体"/>
          <w:color w:val="auto"/>
          <w:sz w:val="84"/>
          <w:highlight w:val="none"/>
        </w:rPr>
        <w:t>投 标 文 件</w:t>
      </w:r>
    </w:p>
    <w:p w14:paraId="2F6E5653">
      <w:pPr>
        <w:pStyle w:val="16"/>
        <w:spacing w:line="360" w:lineRule="auto"/>
        <w:rPr>
          <w:rFonts w:ascii="宋体" w:hAnsi="宋体" w:cs="宋体"/>
          <w:color w:val="auto"/>
          <w:highlight w:val="none"/>
        </w:rPr>
      </w:pPr>
    </w:p>
    <w:p w14:paraId="27B02BC6">
      <w:pPr>
        <w:pStyle w:val="16"/>
        <w:spacing w:line="360" w:lineRule="auto"/>
        <w:rPr>
          <w:rFonts w:ascii="宋体" w:hAnsi="宋体" w:cs="宋体"/>
          <w:color w:val="auto"/>
          <w:highlight w:val="none"/>
        </w:rPr>
      </w:pPr>
    </w:p>
    <w:p w14:paraId="1D125C29">
      <w:pPr>
        <w:pStyle w:val="16"/>
        <w:spacing w:line="360" w:lineRule="auto"/>
        <w:rPr>
          <w:rFonts w:ascii="宋体" w:hAnsi="宋体" w:cs="宋体"/>
          <w:color w:val="auto"/>
          <w:highlight w:val="none"/>
        </w:rPr>
      </w:pPr>
    </w:p>
    <w:p w14:paraId="344513D6">
      <w:pPr>
        <w:pStyle w:val="16"/>
        <w:spacing w:line="360" w:lineRule="auto"/>
        <w:rPr>
          <w:rFonts w:ascii="宋体" w:hAnsi="宋体" w:cs="宋体"/>
          <w:color w:val="auto"/>
          <w:highlight w:val="none"/>
        </w:rPr>
      </w:pPr>
    </w:p>
    <w:p w14:paraId="3C450601">
      <w:pPr>
        <w:pStyle w:val="16"/>
        <w:spacing w:line="360" w:lineRule="auto"/>
        <w:rPr>
          <w:rFonts w:ascii="宋体" w:hAnsi="宋体" w:cs="宋体"/>
          <w:color w:val="auto"/>
          <w:highlight w:val="none"/>
        </w:rPr>
      </w:pPr>
    </w:p>
    <w:p w14:paraId="6F073B6A">
      <w:pPr>
        <w:pStyle w:val="16"/>
        <w:spacing w:line="360" w:lineRule="auto"/>
        <w:rPr>
          <w:rFonts w:ascii="宋体" w:hAnsi="宋体" w:cs="宋体"/>
          <w:color w:val="auto"/>
          <w:highlight w:val="none"/>
        </w:rPr>
      </w:pPr>
    </w:p>
    <w:p w14:paraId="4B82DD6C">
      <w:pPr>
        <w:pStyle w:val="16"/>
        <w:spacing w:line="360" w:lineRule="auto"/>
        <w:ind w:firstLine="1875" w:firstLineChars="625"/>
        <w:rPr>
          <w:rFonts w:hint="eastAsia" w:ascii="宋体" w:hAnsi="宋体" w:cs="宋体"/>
          <w:color w:val="auto"/>
          <w:sz w:val="30"/>
          <w:highlight w:val="none"/>
        </w:rPr>
      </w:pPr>
      <w:r>
        <w:rPr>
          <w:rFonts w:hint="eastAsia" w:ascii="宋体" w:hAnsi="宋体" w:cs="宋体"/>
          <w:color w:val="auto"/>
          <w:sz w:val="30"/>
          <w:highlight w:val="none"/>
        </w:rPr>
        <w:t>招标编号：</w:t>
      </w:r>
      <w:r>
        <w:rPr>
          <w:rFonts w:hint="eastAsia" w:ascii="宋体" w:hAnsi="宋体" w:cs="宋体"/>
          <w:color w:val="auto"/>
          <w:sz w:val="30"/>
          <w:highlight w:val="none"/>
          <w:u w:val="single"/>
        </w:rPr>
        <w:t xml:space="preserve">                                </w:t>
      </w:r>
    </w:p>
    <w:p w14:paraId="3F551B0D">
      <w:pPr>
        <w:pStyle w:val="16"/>
        <w:spacing w:line="360" w:lineRule="auto"/>
        <w:ind w:firstLine="1875" w:firstLineChars="625"/>
        <w:rPr>
          <w:rFonts w:hint="eastAsia" w:ascii="宋体" w:hAnsi="宋体" w:cs="宋体"/>
          <w:color w:val="auto"/>
          <w:sz w:val="30"/>
          <w:highlight w:val="none"/>
        </w:rPr>
      </w:pPr>
      <w:r>
        <w:rPr>
          <w:rFonts w:hint="eastAsia" w:ascii="宋体" w:hAnsi="宋体" w:cs="宋体"/>
          <w:color w:val="auto"/>
          <w:sz w:val="30"/>
          <w:highlight w:val="none"/>
        </w:rPr>
        <w:t>项目名称：</w:t>
      </w:r>
      <w:r>
        <w:rPr>
          <w:rFonts w:hint="eastAsia" w:ascii="宋体" w:hAnsi="宋体" w:cs="宋体"/>
          <w:color w:val="auto"/>
          <w:sz w:val="30"/>
          <w:highlight w:val="none"/>
          <w:u w:val="single"/>
        </w:rPr>
        <w:t xml:space="preserve">                                </w:t>
      </w:r>
    </w:p>
    <w:p w14:paraId="04C500A7">
      <w:pPr>
        <w:pStyle w:val="16"/>
        <w:spacing w:line="360" w:lineRule="auto"/>
        <w:ind w:firstLine="1875" w:firstLineChars="625"/>
        <w:rPr>
          <w:rFonts w:hint="eastAsia" w:ascii="宋体" w:hAnsi="宋体" w:cs="宋体"/>
          <w:color w:val="auto"/>
          <w:sz w:val="30"/>
          <w:highlight w:val="none"/>
          <w:u w:val="single"/>
        </w:rPr>
      </w:pPr>
      <w:r>
        <w:rPr>
          <w:rFonts w:hint="eastAsia" w:ascii="宋体" w:hAnsi="宋体" w:cs="宋体"/>
          <w:color w:val="auto"/>
          <w:sz w:val="30"/>
          <w:highlight w:val="none"/>
        </w:rPr>
        <w:t>投标文件内容：</w:t>
      </w:r>
      <w:r>
        <w:rPr>
          <w:rFonts w:hint="eastAsia" w:ascii="宋体" w:hAnsi="宋体" w:cs="宋体"/>
          <w:color w:val="auto"/>
          <w:sz w:val="30"/>
          <w:highlight w:val="none"/>
          <w:u w:val="single"/>
        </w:rPr>
        <w:t xml:space="preserve">       投标文件商务标       </w:t>
      </w:r>
    </w:p>
    <w:p w14:paraId="26E95442">
      <w:pPr>
        <w:pStyle w:val="16"/>
        <w:spacing w:line="360" w:lineRule="auto"/>
        <w:ind w:firstLine="1875" w:firstLineChars="625"/>
        <w:rPr>
          <w:rFonts w:hint="eastAsia" w:ascii="宋体" w:hAnsi="宋体" w:cs="宋体"/>
          <w:color w:val="auto"/>
          <w:sz w:val="30"/>
          <w:highlight w:val="none"/>
        </w:rPr>
      </w:pPr>
      <w:r>
        <w:rPr>
          <w:rFonts w:hint="eastAsia" w:ascii="宋体" w:hAnsi="宋体" w:cs="宋体"/>
          <w:color w:val="auto"/>
          <w:sz w:val="30"/>
          <w:highlight w:val="none"/>
        </w:rPr>
        <w:t>招标人：</w:t>
      </w:r>
      <w:r>
        <w:rPr>
          <w:rFonts w:hint="eastAsia" w:ascii="宋体" w:hAnsi="宋体" w:cs="宋体"/>
          <w:color w:val="auto"/>
          <w:sz w:val="30"/>
          <w:highlight w:val="none"/>
          <w:u w:val="single"/>
        </w:rPr>
        <w:t xml:space="preserve">                                  </w:t>
      </w:r>
    </w:p>
    <w:p w14:paraId="316974DE">
      <w:pPr>
        <w:pStyle w:val="16"/>
        <w:spacing w:line="360" w:lineRule="auto"/>
        <w:ind w:firstLine="1875" w:firstLineChars="625"/>
        <w:rPr>
          <w:rFonts w:hint="eastAsia" w:ascii="宋体" w:hAnsi="宋体" w:cs="宋体"/>
          <w:color w:val="auto"/>
          <w:sz w:val="30"/>
          <w:highlight w:val="none"/>
          <w:u w:val="single"/>
        </w:rPr>
      </w:pPr>
      <w:r>
        <w:rPr>
          <w:rFonts w:hint="eastAsia" w:ascii="宋体" w:hAnsi="宋体" w:cs="宋体"/>
          <w:color w:val="auto"/>
          <w:sz w:val="30"/>
          <w:highlight w:val="none"/>
        </w:rPr>
        <w:t>投标人：</w:t>
      </w:r>
      <w:r>
        <w:rPr>
          <w:rFonts w:hint="eastAsia" w:ascii="宋体" w:hAnsi="宋体" w:cs="宋体"/>
          <w:color w:val="auto"/>
          <w:sz w:val="30"/>
          <w:highlight w:val="none"/>
          <w:u w:val="single"/>
        </w:rPr>
        <w:t xml:space="preserve">          （企业数字证书电子签名）</w:t>
      </w:r>
    </w:p>
    <w:p w14:paraId="5602391F">
      <w:pPr>
        <w:pStyle w:val="16"/>
        <w:spacing w:line="360" w:lineRule="auto"/>
        <w:ind w:firstLine="1875" w:firstLineChars="625"/>
        <w:rPr>
          <w:rFonts w:hint="eastAsia" w:ascii="宋体" w:hAnsi="宋体" w:cs="宋体"/>
          <w:color w:val="auto"/>
          <w:sz w:val="30"/>
          <w:highlight w:val="none"/>
        </w:rPr>
      </w:pPr>
      <w:r>
        <w:rPr>
          <w:rFonts w:hint="eastAsia" w:ascii="宋体" w:hAnsi="宋体" w:cs="宋体"/>
          <w:color w:val="auto"/>
          <w:sz w:val="30"/>
          <w:highlight w:val="none"/>
        </w:rPr>
        <w:t>日  期：</w:t>
      </w:r>
      <w:r>
        <w:rPr>
          <w:rFonts w:hint="eastAsia" w:ascii="宋体" w:hAnsi="宋体" w:cs="宋体"/>
          <w:color w:val="auto"/>
          <w:sz w:val="30"/>
          <w:highlight w:val="none"/>
          <w:u w:val="single"/>
        </w:rPr>
        <w:t xml:space="preserve">     </w:t>
      </w:r>
      <w:r>
        <w:rPr>
          <w:rFonts w:hint="eastAsia" w:ascii="宋体" w:hAnsi="宋体" w:cs="宋体"/>
          <w:color w:val="auto"/>
          <w:sz w:val="30"/>
          <w:highlight w:val="none"/>
        </w:rPr>
        <w:t>年</w:t>
      </w:r>
      <w:r>
        <w:rPr>
          <w:rFonts w:hint="eastAsia" w:ascii="宋体" w:hAnsi="宋体" w:cs="宋体"/>
          <w:color w:val="auto"/>
          <w:sz w:val="30"/>
          <w:highlight w:val="none"/>
          <w:u w:val="single"/>
        </w:rPr>
        <w:t xml:space="preserve">    </w:t>
      </w:r>
      <w:r>
        <w:rPr>
          <w:rFonts w:hint="eastAsia" w:ascii="宋体" w:hAnsi="宋体" w:cs="宋体"/>
          <w:color w:val="auto"/>
          <w:sz w:val="30"/>
          <w:highlight w:val="none"/>
        </w:rPr>
        <w:t>月</w:t>
      </w:r>
      <w:r>
        <w:rPr>
          <w:rFonts w:hint="eastAsia" w:ascii="宋体" w:hAnsi="宋体" w:cs="宋体"/>
          <w:color w:val="auto"/>
          <w:sz w:val="30"/>
          <w:highlight w:val="none"/>
          <w:u w:val="single"/>
        </w:rPr>
        <w:t xml:space="preserve">    </w:t>
      </w:r>
      <w:r>
        <w:rPr>
          <w:rFonts w:hint="eastAsia" w:ascii="宋体" w:hAnsi="宋体" w:cs="宋体"/>
          <w:color w:val="auto"/>
          <w:sz w:val="30"/>
          <w:highlight w:val="none"/>
        </w:rPr>
        <w:t>日</w:t>
      </w:r>
    </w:p>
    <w:p w14:paraId="3051D37C">
      <w:pPr>
        <w:pStyle w:val="16"/>
        <w:spacing w:line="360" w:lineRule="auto"/>
        <w:rPr>
          <w:rFonts w:ascii="宋体" w:hAnsi="宋体" w:cs="宋体"/>
          <w:color w:val="auto"/>
          <w:highlight w:val="none"/>
        </w:rPr>
      </w:pPr>
    </w:p>
    <w:p w14:paraId="3299A953">
      <w:pPr>
        <w:pStyle w:val="16"/>
        <w:spacing w:line="360" w:lineRule="auto"/>
        <w:rPr>
          <w:rFonts w:ascii="宋体" w:hAnsi="宋体" w:cs="宋体"/>
          <w:color w:val="auto"/>
          <w:highlight w:val="none"/>
        </w:rPr>
      </w:pPr>
      <w:r>
        <w:rPr>
          <w:rFonts w:hint="eastAsia" w:ascii="宋体" w:hAnsi="宋体" w:cs="宋体"/>
          <w:color w:val="auto"/>
          <w:highlight w:val="none"/>
        </w:rPr>
        <w:br w:type="page"/>
      </w:r>
    </w:p>
    <w:p w14:paraId="47EA612B">
      <w:pPr>
        <w:pStyle w:val="16"/>
        <w:spacing w:line="360" w:lineRule="auto"/>
        <w:ind w:left="0" w:leftChars="0"/>
        <w:jc w:val="center"/>
        <w:rPr>
          <w:rFonts w:hint="eastAsia" w:ascii="宋体" w:hAnsi="宋体" w:cs="宋体"/>
          <w:color w:val="auto"/>
          <w:highlight w:val="none"/>
        </w:rPr>
      </w:pPr>
      <w:bookmarkStart w:id="625" w:name="_Toc27679"/>
      <w:bookmarkStart w:id="626" w:name="_Toc23782"/>
      <w:bookmarkStart w:id="627" w:name="_Toc195714375"/>
      <w:bookmarkStart w:id="628" w:name="_Toc13281"/>
      <w:bookmarkStart w:id="629" w:name="_Toc17613"/>
      <w:r>
        <w:rPr>
          <w:rFonts w:hint="eastAsia" w:ascii="宋体" w:hAnsi="宋体" w:cs="宋体"/>
          <w:b/>
          <w:bCs/>
          <w:color w:val="auto"/>
          <w:highlight w:val="none"/>
        </w:rPr>
        <w:t>目    录</w:t>
      </w:r>
    </w:p>
    <w:p w14:paraId="0C2385F2">
      <w:pPr>
        <w:pStyle w:val="16"/>
        <w:spacing w:line="360" w:lineRule="auto"/>
        <w:ind w:left="0" w:leftChars="0" w:firstLine="420" w:firstLineChars="200"/>
        <w:rPr>
          <w:rFonts w:hint="eastAsia" w:ascii="宋体" w:hAnsi="宋体" w:cs="宋体"/>
          <w:color w:val="auto"/>
          <w:highlight w:val="none"/>
        </w:rPr>
      </w:pPr>
    </w:p>
    <w:p w14:paraId="11C22281">
      <w:pPr>
        <w:pStyle w:val="16"/>
        <w:spacing w:line="360" w:lineRule="auto"/>
        <w:ind w:left="0" w:leftChars="0" w:firstLine="420" w:firstLineChars="200"/>
        <w:rPr>
          <w:rFonts w:hint="eastAsia" w:ascii="宋体" w:hAnsi="宋体" w:cs="宋体"/>
          <w:color w:val="auto"/>
          <w:highlight w:val="none"/>
        </w:rPr>
      </w:pPr>
      <w:r>
        <w:rPr>
          <w:rFonts w:hint="eastAsia" w:ascii="宋体" w:hAnsi="宋体" w:cs="宋体"/>
          <w:color w:val="auto"/>
          <w:highlight w:val="none"/>
        </w:rPr>
        <w:t>一、投标函；</w:t>
      </w:r>
    </w:p>
    <w:p w14:paraId="2E6764D7">
      <w:pPr>
        <w:pStyle w:val="16"/>
        <w:spacing w:line="360" w:lineRule="auto"/>
        <w:ind w:left="0" w:leftChars="0" w:firstLine="420" w:firstLineChars="200"/>
        <w:rPr>
          <w:rFonts w:hint="eastAsia" w:ascii="宋体" w:hAnsi="宋体" w:cs="宋体"/>
          <w:color w:val="auto"/>
          <w:highlight w:val="none"/>
        </w:rPr>
      </w:pPr>
      <w:r>
        <w:rPr>
          <w:rFonts w:hint="eastAsia" w:ascii="宋体" w:hAnsi="宋体" w:cs="宋体"/>
          <w:color w:val="auto"/>
          <w:highlight w:val="none"/>
        </w:rPr>
        <w:t>二、投标承诺书；</w:t>
      </w:r>
    </w:p>
    <w:p w14:paraId="6966B7C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三、供货及/或提供服务过程承诺函；</w:t>
      </w:r>
    </w:p>
    <w:p w14:paraId="6DB93A5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四</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资格证明文件：</w:t>
      </w:r>
    </w:p>
    <w:p w14:paraId="208B86D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五</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基本情况；</w:t>
      </w:r>
    </w:p>
    <w:p w14:paraId="58A7F2B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六</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财务状况表；</w:t>
      </w:r>
    </w:p>
    <w:p w14:paraId="31DD685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七</w:t>
      </w:r>
      <w:r>
        <w:rPr>
          <w:rFonts w:hint="eastAsia" w:ascii="宋体" w:hAnsi="宋体" w:eastAsia="宋体" w:cs="宋体"/>
          <w:color w:val="auto"/>
          <w:highlight w:val="none"/>
        </w:rPr>
        <w:t>、标准化体系认证</w:t>
      </w:r>
      <w:r>
        <w:rPr>
          <w:rFonts w:hint="eastAsia" w:ascii="宋体" w:hAnsi="宋体" w:eastAsia="宋体" w:cs="宋体"/>
          <w:color w:val="auto"/>
          <w:highlight w:val="none"/>
          <w:lang w:eastAsia="zh-CN"/>
        </w:rPr>
        <w:t>；</w:t>
      </w:r>
    </w:p>
    <w:p w14:paraId="1AB4C27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六</w:t>
      </w:r>
      <w:r>
        <w:rPr>
          <w:rFonts w:hint="eastAsia" w:ascii="宋体" w:hAnsi="宋体" w:eastAsia="宋体" w:cs="宋体"/>
          <w:color w:val="auto"/>
          <w:highlight w:val="none"/>
        </w:rPr>
        <w:t>、合同条款响应程度（合同条款偏离表）；</w:t>
      </w:r>
    </w:p>
    <w:p w14:paraId="440F16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九、处置能力；</w:t>
      </w:r>
    </w:p>
    <w:p w14:paraId="15C8F8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十</w:t>
      </w:r>
      <w:r>
        <w:rPr>
          <w:rFonts w:hint="eastAsia" w:ascii="宋体" w:hAnsi="宋体" w:eastAsia="宋体" w:cs="宋体"/>
          <w:color w:val="auto"/>
          <w:highlight w:val="none"/>
        </w:rPr>
        <w:t>、业绩表；</w:t>
      </w:r>
    </w:p>
    <w:p w14:paraId="5BC6664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十一</w:t>
      </w:r>
      <w:r>
        <w:rPr>
          <w:rFonts w:hint="eastAsia" w:ascii="宋体" w:hAnsi="宋体" w:eastAsia="宋体" w:cs="宋体"/>
          <w:color w:val="auto"/>
          <w:highlight w:val="none"/>
        </w:rPr>
        <w:t>、服务便利性响应时间承诺表</w:t>
      </w:r>
      <w:r>
        <w:rPr>
          <w:rFonts w:hint="eastAsia" w:ascii="宋体" w:hAnsi="宋体" w:eastAsia="宋体" w:cs="宋体"/>
          <w:color w:val="auto"/>
          <w:highlight w:val="none"/>
          <w:lang w:eastAsia="zh-CN"/>
        </w:rPr>
        <w:t>；</w:t>
      </w:r>
    </w:p>
    <w:p w14:paraId="460C8FF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十二</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资格证明文件以外的其他资质证书、知识产权证书及获得的相关获奖、认证证书、社会评价资料证明文件扫描件等</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认为有需要证明其具备为本次</w:t>
      </w:r>
      <w:r>
        <w:rPr>
          <w:rFonts w:hint="eastAsia" w:ascii="宋体" w:hAnsi="宋体" w:eastAsia="宋体" w:cs="宋体"/>
          <w:color w:val="auto"/>
          <w:highlight w:val="none"/>
          <w:lang w:val="en-US" w:eastAsia="zh-CN"/>
        </w:rPr>
        <w:t>招标</w:t>
      </w:r>
      <w:r>
        <w:rPr>
          <w:rFonts w:hint="eastAsia" w:ascii="宋体" w:hAnsi="宋体" w:eastAsia="宋体" w:cs="宋体"/>
          <w:color w:val="auto"/>
          <w:highlight w:val="none"/>
        </w:rPr>
        <w:t>项目提供有关服务能力的有关其它商务文件（不做强制要求）。</w:t>
      </w:r>
    </w:p>
    <w:p w14:paraId="38756FC8">
      <w:pP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bookmarkEnd w:id="610"/>
    <w:bookmarkEnd w:id="611"/>
    <w:bookmarkEnd w:id="612"/>
    <w:bookmarkEnd w:id="613"/>
    <w:bookmarkEnd w:id="614"/>
    <w:bookmarkEnd w:id="615"/>
    <w:bookmarkEnd w:id="616"/>
    <w:bookmarkEnd w:id="617"/>
    <w:bookmarkEnd w:id="618"/>
    <w:bookmarkEnd w:id="619"/>
    <w:bookmarkEnd w:id="625"/>
    <w:bookmarkEnd w:id="626"/>
    <w:bookmarkEnd w:id="627"/>
    <w:bookmarkEnd w:id="628"/>
    <w:bookmarkEnd w:id="629"/>
    <w:p w14:paraId="6DEBB63C">
      <w:pPr>
        <w:tabs>
          <w:tab w:val="left" w:pos="567"/>
        </w:tabs>
        <w:autoSpaceDE w:val="0"/>
        <w:autoSpaceDN w:val="0"/>
        <w:adjustRightInd w:val="0"/>
        <w:spacing w:line="360" w:lineRule="auto"/>
        <w:ind w:left="357" w:leftChars="-100" w:hanging="567"/>
        <w:jc w:val="left"/>
        <w:outlineLvl w:val="3"/>
        <w:rPr>
          <w:rFonts w:hint="eastAsia" w:ascii="宋体" w:hAnsi="宋体" w:eastAsia="宋体" w:cs="宋体"/>
          <w:b/>
          <w:color w:val="auto"/>
          <w:kern w:val="0"/>
          <w:sz w:val="32"/>
          <w:szCs w:val="32"/>
          <w:highlight w:val="none"/>
        </w:rPr>
      </w:pPr>
      <w:bookmarkStart w:id="630" w:name="_Toc10277"/>
      <w:bookmarkStart w:id="631" w:name="_Toc16585"/>
      <w:bookmarkStart w:id="632" w:name="_Toc6972"/>
      <w:bookmarkStart w:id="633" w:name="_Toc23906"/>
      <w:bookmarkStart w:id="634" w:name="_Toc31603"/>
      <w:bookmarkStart w:id="635" w:name="_Toc3104"/>
      <w:bookmarkStart w:id="636" w:name="_Toc28613_WPSOffice_Level2"/>
      <w:bookmarkStart w:id="637" w:name="_Toc486167710"/>
      <w:bookmarkStart w:id="638" w:name="_Toc102860412"/>
      <w:bookmarkStart w:id="639" w:name="_Toc102860068"/>
      <w:bookmarkStart w:id="640" w:name="_Toc30995"/>
      <w:bookmarkStart w:id="641" w:name="_Toc140596922"/>
      <w:bookmarkStart w:id="642" w:name="_Toc533708122"/>
      <w:bookmarkStart w:id="643" w:name="_Toc1977722"/>
      <w:bookmarkStart w:id="644" w:name="_Toc142508363"/>
      <w:bookmarkStart w:id="645" w:name="_Toc104991869"/>
      <w:bookmarkStart w:id="646" w:name="_Toc94107203"/>
      <w:bookmarkStart w:id="647" w:name="_Toc24901"/>
      <w:bookmarkStart w:id="648" w:name="_Toc195714376"/>
      <w:bookmarkStart w:id="649" w:name="_Toc12417"/>
      <w:r>
        <w:rPr>
          <w:rFonts w:hint="eastAsia" w:ascii="宋体" w:hAnsi="宋体" w:eastAsia="宋体" w:cs="宋体"/>
          <w:b/>
          <w:color w:val="auto"/>
          <w:kern w:val="0"/>
          <w:sz w:val="32"/>
          <w:szCs w:val="32"/>
          <w:highlight w:val="none"/>
        </w:rPr>
        <w:t>一、投标函格式</w:t>
      </w:r>
      <w:bookmarkEnd w:id="630"/>
      <w:bookmarkEnd w:id="631"/>
      <w:bookmarkEnd w:id="632"/>
      <w:bookmarkEnd w:id="633"/>
      <w:bookmarkEnd w:id="634"/>
    </w:p>
    <w:p w14:paraId="707A2948">
      <w:pPr>
        <w:autoSpaceDE w:val="0"/>
        <w:autoSpaceDN w:val="0"/>
        <w:adjustRightInd w:val="0"/>
        <w:spacing w:line="360" w:lineRule="auto"/>
        <w:jc w:val="center"/>
        <w:rPr>
          <w:rFonts w:hint="eastAsia" w:ascii="宋体" w:hAnsi="宋体" w:eastAsia="宋体" w:cs="宋体"/>
          <w:b/>
          <w:bCs/>
          <w:color w:val="auto"/>
          <w:sz w:val="30"/>
          <w:szCs w:val="30"/>
          <w:highlight w:val="none"/>
        </w:rPr>
      </w:pPr>
      <w:bookmarkStart w:id="650" w:name="_Toc16695_WPSOffice_Level3"/>
      <w:r>
        <w:rPr>
          <w:rFonts w:hint="eastAsia" w:ascii="宋体" w:hAnsi="宋体" w:eastAsia="宋体" w:cs="宋体"/>
          <w:b/>
          <w:bCs/>
          <w:color w:val="auto"/>
          <w:sz w:val="30"/>
          <w:szCs w:val="30"/>
          <w:highlight w:val="none"/>
          <w:lang w:val="zh-CN"/>
        </w:rPr>
        <w:t>投 标 函</w:t>
      </w:r>
      <w:bookmarkEnd w:id="650"/>
    </w:p>
    <w:p w14:paraId="1A3E7E4F">
      <w:pPr>
        <w:autoSpaceDE w:val="0"/>
        <w:autoSpaceDN w:val="0"/>
        <w:adjustRightInd w:val="0"/>
        <w:spacing w:line="360" w:lineRule="auto"/>
        <w:rPr>
          <w:rFonts w:hint="eastAsia" w:ascii="宋体" w:hAnsi="宋体" w:eastAsia="宋体" w:cs="宋体"/>
          <w:color w:val="auto"/>
          <w:szCs w:val="21"/>
          <w:highlight w:val="none"/>
          <w:lang w:val="zh-CN"/>
        </w:rPr>
      </w:pPr>
    </w:p>
    <w:p w14:paraId="445A7F45">
      <w:pPr>
        <w:autoSpaceDE w:val="0"/>
        <w:autoSpaceDN w:val="0"/>
        <w:adjustRightInd w:val="0"/>
        <w:spacing w:line="360" w:lineRule="auto"/>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zh-CN"/>
        </w:rPr>
        <w:t>致：</w:t>
      </w:r>
      <w:r>
        <w:rPr>
          <w:rFonts w:hint="eastAsia" w:hAnsi="宋体" w:eastAsia="宋体" w:cs="Times New Roman"/>
          <w:sz w:val="21"/>
          <w:szCs w:val="21"/>
          <w:highlight w:val="none"/>
          <w:u w:val="single"/>
          <w:lang w:eastAsia="zh-CN"/>
        </w:rPr>
        <w:t>东莞市众源环境投资有限公司</w:t>
      </w:r>
    </w:p>
    <w:p w14:paraId="1F8192E4">
      <w:pPr>
        <w:autoSpaceDE w:val="0"/>
        <w:autoSpaceDN w:val="0"/>
        <w:adjustRightInd w:val="0"/>
        <w:spacing w:line="360" w:lineRule="auto"/>
        <w:rPr>
          <w:rFonts w:hint="eastAsia" w:ascii="宋体" w:hAnsi="宋体" w:eastAsia="宋体" w:cs="宋体"/>
          <w:color w:val="auto"/>
          <w:szCs w:val="21"/>
          <w:highlight w:val="none"/>
        </w:rPr>
      </w:pPr>
    </w:p>
    <w:p w14:paraId="17FE0B6C">
      <w:pPr>
        <w:wordWrap w:val="0"/>
        <w:autoSpaceDE w:val="0"/>
        <w:autoSpaceDN w:val="0"/>
        <w:adjustRightInd w:val="0"/>
        <w:spacing w:line="360" w:lineRule="auto"/>
        <w:ind w:firstLine="42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根据贵方为</w:t>
      </w:r>
      <w:r>
        <w:rPr>
          <w:rFonts w:hint="eastAsia" w:hAnsi="宋体" w:eastAsia="宋体" w:cs="Times New Roman"/>
          <w:sz w:val="21"/>
          <w:szCs w:val="21"/>
          <w:highlight w:val="none"/>
          <w:u w:val="single"/>
          <w:lang w:eastAsia="zh-CN"/>
        </w:rPr>
        <w:t>东莞市众源环境投资有限公司半干化泥粉外运资源化处置服务供应商</w:t>
      </w:r>
      <w:r>
        <w:rPr>
          <w:rFonts w:hint="eastAsia" w:ascii="宋体" w:hAnsi="宋体" w:eastAsia="宋体" w:cs="宋体"/>
          <w:sz w:val="21"/>
          <w:szCs w:val="21"/>
          <w:highlight w:val="none"/>
          <w:u w:val="single"/>
          <w:lang w:eastAsia="zh-CN"/>
        </w:rPr>
        <w:t>库 2025 年第二</w:t>
      </w:r>
      <w:r>
        <w:rPr>
          <w:rFonts w:hint="eastAsia" w:hAnsi="宋体" w:eastAsia="宋体" w:cs="Times New Roman"/>
          <w:sz w:val="21"/>
          <w:szCs w:val="21"/>
          <w:highlight w:val="none"/>
          <w:u w:val="single"/>
          <w:lang w:eastAsia="zh-CN"/>
        </w:rPr>
        <w:t>次扩增供应商项目</w:t>
      </w:r>
      <w:r>
        <w:rPr>
          <w:rFonts w:hint="eastAsia" w:ascii="宋体" w:hAnsi="宋体" w:eastAsia="宋体" w:cs="宋体"/>
          <w:color w:val="auto"/>
          <w:szCs w:val="21"/>
          <w:highlight w:val="none"/>
          <w:lang w:val="zh-CN"/>
        </w:rPr>
        <w:t>(招标编号：</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lang w:val="zh-CN"/>
        </w:rPr>
        <w:t>)的投标邀请，我方（投标人名称）作为投标人正式授权</w:t>
      </w:r>
      <w:r>
        <w:rPr>
          <w:rFonts w:hint="eastAsia" w:ascii="宋体" w:hAnsi="宋体" w:eastAsia="宋体" w:cs="宋体"/>
          <w:color w:val="auto"/>
          <w:szCs w:val="21"/>
          <w:highlight w:val="none"/>
          <w:u w:val="single"/>
          <w:lang w:val="zh-CN"/>
        </w:rPr>
        <w:t>　   　（</w:t>
      </w:r>
      <w:r>
        <w:rPr>
          <w:rFonts w:hint="eastAsia" w:ascii="宋体" w:hAnsi="宋体" w:eastAsia="宋体" w:cs="宋体"/>
          <w:color w:val="auto"/>
          <w:szCs w:val="21"/>
          <w:highlight w:val="none"/>
          <w:lang w:val="zh-CN"/>
        </w:rPr>
        <w:t>授权代表全名，职务）代表我方进行有关本次投标的一切事宜。</w:t>
      </w:r>
    </w:p>
    <w:p w14:paraId="4FA2C044">
      <w:pPr>
        <w:autoSpaceDE w:val="0"/>
        <w:autoSpaceDN w:val="0"/>
        <w:adjustRightInd w:val="0"/>
        <w:spacing w:line="360" w:lineRule="auto"/>
        <w:ind w:firstLine="42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我方已完全明白招标文件的所有条款要求，并重申以下几点：</w:t>
      </w:r>
    </w:p>
    <w:p w14:paraId="4C06D537">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（—）我方</w:t>
      </w:r>
      <w:r>
        <w:rPr>
          <w:rFonts w:hint="eastAsia" w:ascii="宋体" w:hAnsi="宋体" w:eastAsia="宋体" w:cs="Times New Roman"/>
          <w:color w:val="auto"/>
          <w:szCs w:val="21"/>
          <w:highlight w:val="none"/>
          <w:lang w:val="zh-CN"/>
        </w:rPr>
        <w:t>决定</w:t>
      </w:r>
      <w:r>
        <w:rPr>
          <w:rFonts w:hint="eastAsia" w:ascii="宋体" w:hAnsi="宋体" w:eastAsia="宋体" w:cs="宋体"/>
          <w:color w:val="auto"/>
          <w:szCs w:val="21"/>
          <w:highlight w:val="none"/>
          <w:lang w:val="zh-CN"/>
        </w:rPr>
        <w:t>参加招标编号为</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lang w:val="zh-CN"/>
        </w:rPr>
        <w:t>的投标；</w:t>
      </w:r>
    </w:p>
    <w:p w14:paraId="1836A370">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（二）本投标文件的有效期自递交投标文件截止时间届满后90日有效，如中标，有效期将延至合同终止日为止；</w:t>
      </w:r>
    </w:p>
    <w:p w14:paraId="4DDAB2D6">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（三）我方已详细研究了招标文件的所有内容包括修正文（如有）和所有已提供的参考资料以及有关附件并完全明白，我方放弃在此方面提出含糊意见或误解的一切权力；</w:t>
      </w:r>
    </w:p>
    <w:p w14:paraId="62554A1A">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（四）我方明白并愿意在规定的递交投标文件截止时间和日期之后，投标有效期之内</w:t>
      </w:r>
      <w:r>
        <w:rPr>
          <w:rFonts w:hint="eastAsia" w:ascii="宋体" w:hAnsi="宋体" w:eastAsia="宋体" w:cs="宋体"/>
          <w:color w:val="auto"/>
          <w:szCs w:val="21"/>
          <w:highlight w:val="none"/>
          <w:lang w:val="en-US" w:eastAsia="zh-CN"/>
        </w:rPr>
        <w:t>撤销</w:t>
      </w:r>
      <w:r>
        <w:rPr>
          <w:rFonts w:hint="eastAsia" w:ascii="宋体" w:hAnsi="宋体" w:eastAsia="宋体" w:cs="宋体"/>
          <w:color w:val="auto"/>
          <w:szCs w:val="21"/>
          <w:highlight w:val="none"/>
          <w:lang w:val="zh-CN"/>
        </w:rPr>
        <w:t>投标，则不予退还我方投标保证金；</w:t>
      </w:r>
    </w:p>
    <w:p w14:paraId="168BB61A">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（五）我方同意按照贵方可能提出的要求而提供与投标有关的任何其它数据或信息；</w:t>
      </w:r>
    </w:p>
    <w:p w14:paraId="0B046144">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（六）我方理解贵方不一定接受最低报价或任何贵方可能收到的报价；</w:t>
      </w:r>
    </w:p>
    <w:p w14:paraId="75793596">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（七）我方如果中标，将保证履行招标文件以及招标文件修改书（如有）中的全部责任和义务，按质、按量、按期完成《合同书》中的全部任务；</w:t>
      </w:r>
    </w:p>
    <w:p w14:paraId="67B71D7A">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（八）保证投标文件中所有资料均真实有效，否则按无效投标处理或可取消中标资格，并愿意接受按弄虚作假骗取中标的有关规定进行处理，并不予退还我方投标保证金；</w:t>
      </w:r>
    </w:p>
    <w:p w14:paraId="0945CA65">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（九）若我方中标后，我方一定按照招标文件的要求和投标文件的承诺签订和履行合同，否则贵方可取消我方中标资格，并依法不予退还我方投标保证金或履约</w:t>
      </w:r>
      <w:r>
        <w:rPr>
          <w:rFonts w:hint="eastAsia" w:ascii="宋体" w:hAnsi="宋体" w:eastAsia="宋体" w:cs="宋体"/>
          <w:color w:val="auto"/>
          <w:szCs w:val="21"/>
          <w:highlight w:val="none"/>
          <w:lang w:val="en-US" w:eastAsia="zh-CN"/>
        </w:rPr>
        <w:t>担保</w:t>
      </w:r>
      <w:r>
        <w:rPr>
          <w:rFonts w:hint="eastAsia" w:ascii="宋体" w:hAnsi="宋体" w:eastAsia="宋体" w:cs="宋体"/>
          <w:color w:val="auto"/>
          <w:szCs w:val="21"/>
          <w:highlight w:val="none"/>
          <w:lang w:val="zh-CN"/>
        </w:rPr>
        <w:t>，我方愿意接受违约处罚；</w:t>
      </w:r>
    </w:p>
    <w:p w14:paraId="3F14C8DC">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（十）若我方中标后，核查出投标文件内容前后不一致，我方愿按最高标准的承诺履约义务；</w:t>
      </w:r>
    </w:p>
    <w:p w14:paraId="271B8D0C">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（十一）所有与本投标有关的函件请发往下列地址：</w:t>
      </w:r>
    </w:p>
    <w:p w14:paraId="1129A76F">
      <w:pPr>
        <w:autoSpaceDE w:val="0"/>
        <w:autoSpaceDN w:val="0"/>
        <w:adjustRightInd w:val="0"/>
        <w:spacing w:line="360" w:lineRule="auto"/>
        <w:ind w:left="395" w:leftChars="-12" w:hanging="420" w:hangingChars="200"/>
        <w:rPr>
          <w:rFonts w:hint="eastAsia" w:ascii="宋体" w:hAnsi="宋体" w:eastAsia="宋体" w:cs="宋体"/>
          <w:color w:val="auto"/>
          <w:szCs w:val="21"/>
          <w:highlight w:val="none"/>
          <w:u w:val="single"/>
          <w:lang w:val="zh-CN"/>
        </w:rPr>
      </w:pPr>
    </w:p>
    <w:p w14:paraId="42AF4070">
      <w:pPr>
        <w:autoSpaceDE w:val="0"/>
        <w:autoSpaceDN w:val="0"/>
        <w:adjustRightInd w:val="0"/>
        <w:spacing w:line="360" w:lineRule="auto"/>
        <w:ind w:firstLine="420" w:firstLineChars="200"/>
        <w:rPr>
          <w:rFonts w:hint="eastAsia" w:ascii="宋体" w:hAnsi="宋体" w:eastAsia="宋体" w:cs="宋体"/>
          <w:color w:val="auto"/>
          <w:szCs w:val="21"/>
          <w:highlight w:val="none"/>
          <w:u w:val="single"/>
          <w:lang w:val="zh-CN"/>
        </w:rPr>
      </w:pPr>
      <w:r>
        <w:rPr>
          <w:rFonts w:hint="eastAsia" w:ascii="宋体" w:hAnsi="宋体" w:eastAsia="宋体" w:cs="宋体"/>
          <w:color w:val="auto"/>
          <w:szCs w:val="21"/>
          <w:highlight w:val="none"/>
          <w:lang w:val="zh-CN"/>
        </w:rPr>
        <w:t>地  　址：</w:t>
      </w:r>
      <w:r>
        <w:rPr>
          <w:rFonts w:hint="eastAsia" w:ascii="宋体" w:hAnsi="宋体" w:eastAsia="宋体" w:cs="宋体"/>
          <w:color w:val="auto"/>
          <w:szCs w:val="21"/>
          <w:highlight w:val="none"/>
          <w:u w:val="single"/>
          <w:lang w:val="zh-CN"/>
        </w:rPr>
        <w:t>　　　　　　　　　　　</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邮政编码：</w:t>
      </w:r>
      <w:r>
        <w:rPr>
          <w:rFonts w:hint="eastAsia" w:ascii="宋体" w:hAnsi="宋体" w:eastAsia="宋体" w:cs="宋体"/>
          <w:color w:val="auto"/>
          <w:szCs w:val="21"/>
          <w:highlight w:val="none"/>
          <w:u w:val="single"/>
          <w:lang w:val="zh-CN"/>
        </w:rPr>
        <w:t xml:space="preserve">　　　　　　　　　　 </w:t>
      </w:r>
    </w:p>
    <w:p w14:paraId="12E5FEC5">
      <w:pPr>
        <w:autoSpaceDE w:val="0"/>
        <w:autoSpaceDN w:val="0"/>
        <w:adjustRightInd w:val="0"/>
        <w:spacing w:line="360" w:lineRule="auto"/>
        <w:ind w:firstLine="420" w:firstLineChars="20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电　　话：</w:t>
      </w:r>
      <w:r>
        <w:rPr>
          <w:rFonts w:hint="eastAsia" w:ascii="宋体" w:hAnsi="宋体" w:eastAsia="宋体" w:cs="宋体"/>
          <w:color w:val="auto"/>
          <w:szCs w:val="21"/>
          <w:highlight w:val="none"/>
          <w:u w:val="single"/>
          <w:lang w:val="zh-CN"/>
        </w:rPr>
        <w:t>　　　　　　　　　　　</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代表姓名：</w:t>
      </w:r>
      <w:r>
        <w:rPr>
          <w:rFonts w:hint="eastAsia" w:ascii="宋体" w:hAnsi="宋体" w:eastAsia="宋体" w:cs="宋体"/>
          <w:color w:val="auto"/>
          <w:szCs w:val="21"/>
          <w:highlight w:val="none"/>
          <w:u w:val="single"/>
          <w:lang w:val="zh-CN"/>
        </w:rPr>
        <w:t>　　　　　　　　　　　</w:t>
      </w:r>
    </w:p>
    <w:p w14:paraId="067550A9">
      <w:pPr>
        <w:autoSpaceDE w:val="0"/>
        <w:autoSpaceDN w:val="0"/>
        <w:adjustRightInd w:val="0"/>
        <w:spacing w:line="360" w:lineRule="auto"/>
        <w:ind w:firstLine="420" w:firstLineChars="20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传　　真：</w:t>
      </w:r>
      <w:r>
        <w:rPr>
          <w:rFonts w:hint="eastAsia" w:ascii="宋体" w:hAnsi="宋体" w:eastAsia="宋体" w:cs="宋体"/>
          <w:color w:val="auto"/>
          <w:szCs w:val="21"/>
          <w:highlight w:val="none"/>
          <w:u w:val="single"/>
          <w:lang w:val="zh-CN"/>
        </w:rPr>
        <w:t>　　　　　　　　　　　</w:t>
      </w:r>
      <w:r>
        <w:rPr>
          <w:rFonts w:hint="eastAsia" w:ascii="宋体" w:hAnsi="宋体" w:eastAsia="宋体" w:cs="宋体"/>
          <w:color w:val="auto"/>
          <w:szCs w:val="21"/>
          <w:highlight w:val="none"/>
          <w:lang w:val="zh-CN"/>
        </w:rPr>
        <w:t xml:space="preserve">        职　　务：</w:t>
      </w:r>
      <w:r>
        <w:rPr>
          <w:rFonts w:hint="eastAsia" w:ascii="宋体" w:hAnsi="宋体" w:eastAsia="宋体" w:cs="宋体"/>
          <w:color w:val="auto"/>
          <w:szCs w:val="21"/>
          <w:highlight w:val="none"/>
          <w:u w:val="single"/>
          <w:lang w:val="zh-CN"/>
        </w:rPr>
        <w:t xml:space="preserve">　　　　　　　　　　 </w:t>
      </w:r>
    </w:p>
    <w:p w14:paraId="33175AA7">
      <w:pPr>
        <w:autoSpaceDE w:val="0"/>
        <w:autoSpaceDN w:val="0"/>
        <w:adjustRightInd w:val="0"/>
        <w:spacing w:line="360" w:lineRule="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rPr>
        <w:t>电子邮箱：</w:t>
      </w:r>
      <w:r>
        <w:rPr>
          <w:rFonts w:hint="eastAsia" w:ascii="宋体" w:hAnsi="宋体" w:eastAsia="宋体" w:cs="宋体"/>
          <w:color w:val="auto"/>
          <w:szCs w:val="21"/>
          <w:highlight w:val="none"/>
          <w:u w:val="single"/>
          <w:lang w:val="zh-CN"/>
        </w:rPr>
        <w:t>　　　　　　　　　　　</w:t>
      </w:r>
      <w:r>
        <w:rPr>
          <w:rFonts w:hint="eastAsia" w:ascii="宋体" w:hAnsi="宋体" w:eastAsia="宋体" w:cs="宋体"/>
          <w:color w:val="auto"/>
          <w:szCs w:val="21"/>
          <w:highlight w:val="none"/>
          <w:lang w:val="zh-CN"/>
        </w:rPr>
        <w:tab/>
      </w:r>
    </w:p>
    <w:p w14:paraId="64E9D9C8">
      <w:pPr>
        <w:autoSpaceDE w:val="0"/>
        <w:autoSpaceDN w:val="0"/>
        <w:adjustRightInd w:val="0"/>
        <w:spacing w:line="360" w:lineRule="auto"/>
        <w:ind w:firstLine="4960" w:firstLineChars="2362"/>
        <w:rPr>
          <w:rFonts w:hint="eastAsia" w:ascii="宋体" w:hAnsi="宋体" w:eastAsia="宋体" w:cs="宋体"/>
          <w:color w:val="auto"/>
          <w:szCs w:val="21"/>
          <w:highlight w:val="none"/>
          <w:lang w:val="zh-CN"/>
        </w:rPr>
      </w:pPr>
    </w:p>
    <w:p w14:paraId="020BAA1E">
      <w:pPr>
        <w:autoSpaceDE w:val="0"/>
        <w:autoSpaceDN w:val="0"/>
        <w:adjustRightInd w:val="0"/>
        <w:spacing w:line="360" w:lineRule="auto"/>
        <w:ind w:firstLine="4960" w:firstLineChars="2362"/>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zh-CN"/>
        </w:rPr>
        <w:t xml:space="preserve">       （企业数字证书电子签名）</w:t>
      </w:r>
    </w:p>
    <w:p w14:paraId="6D6488CC">
      <w:pPr>
        <w:autoSpaceDE w:val="0"/>
        <w:autoSpaceDN w:val="0"/>
        <w:adjustRightInd w:val="0"/>
        <w:spacing w:line="360" w:lineRule="auto"/>
        <w:ind w:firstLine="4960" w:firstLineChars="2362"/>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法定代表人或其授权代表：</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lang w:val="zh-CN"/>
        </w:rPr>
        <w:t>（电子签名）</w:t>
      </w:r>
    </w:p>
    <w:p w14:paraId="72B098B4">
      <w:pPr>
        <w:autoSpaceDE w:val="0"/>
        <w:autoSpaceDN w:val="0"/>
        <w:adjustRightInd w:val="0"/>
        <w:spacing w:line="360" w:lineRule="auto"/>
        <w:ind w:firstLine="4960" w:firstLineChars="2362"/>
        <w:rPr>
          <w:rFonts w:hint="eastAsia"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5A1D46D3">
      <w:pPr>
        <w:pStyle w:val="17"/>
        <w:spacing w:line="360" w:lineRule="auto"/>
        <w:rPr>
          <w:rFonts w:hint="eastAsia" w:hAnsi="宋体" w:cs="宋体"/>
          <w:color w:val="auto"/>
          <w:sz w:val="21"/>
          <w:szCs w:val="21"/>
          <w:highlight w:val="none"/>
        </w:rPr>
      </w:pPr>
    </w:p>
    <w:p w14:paraId="0D707F86">
      <w:pPr>
        <w:pStyle w:val="17"/>
        <w:spacing w:line="360" w:lineRule="auto"/>
        <w:rPr>
          <w:rFonts w:hint="eastAsia" w:hAnsi="宋体" w:cs="宋体"/>
          <w:color w:val="auto"/>
          <w:sz w:val="21"/>
          <w:szCs w:val="21"/>
          <w:highlight w:val="none"/>
        </w:rPr>
      </w:pPr>
      <w:r>
        <w:rPr>
          <w:rFonts w:hint="eastAsia" w:hAnsi="宋体" w:cs="宋体"/>
          <w:color w:val="auto"/>
          <w:sz w:val="21"/>
          <w:szCs w:val="21"/>
          <w:highlight w:val="none"/>
        </w:rPr>
        <w:t>说明：由投标人使用投标人的企业数字证书，法定代表人或其授权代表数字证书电子签名。</w:t>
      </w:r>
    </w:p>
    <w:p w14:paraId="573C15EA">
      <w:pPr>
        <w:tabs>
          <w:tab w:val="left" w:pos="567"/>
        </w:tabs>
        <w:autoSpaceDE w:val="0"/>
        <w:autoSpaceDN w:val="0"/>
        <w:adjustRightInd w:val="0"/>
        <w:spacing w:line="360" w:lineRule="auto"/>
        <w:ind w:left="357" w:leftChars="-100" w:hanging="567"/>
        <w:jc w:val="left"/>
        <w:outlineLvl w:val="3"/>
        <w:rPr>
          <w:rFonts w:ascii="宋体" w:hAnsi="宋体" w:eastAsia="宋体" w:cs="宋体"/>
          <w:b/>
          <w:color w:val="auto"/>
          <w:kern w:val="0"/>
          <w:sz w:val="32"/>
          <w:szCs w:val="32"/>
          <w:highlight w:val="none"/>
        </w:rPr>
      </w:pPr>
      <w:r>
        <w:rPr>
          <w:rFonts w:hint="eastAsia" w:ascii="宋体" w:hAnsi="宋体" w:eastAsia="宋体" w:cs="宋体"/>
          <w:color w:val="auto"/>
          <w:kern w:val="0"/>
          <w:sz w:val="24"/>
          <w:szCs w:val="24"/>
          <w:highlight w:val="none"/>
        </w:rPr>
        <w:br w:type="page"/>
      </w:r>
      <w:bookmarkStart w:id="651" w:name="_Toc769"/>
      <w:bookmarkStart w:id="652" w:name="_Toc11583"/>
      <w:bookmarkStart w:id="653" w:name="_Toc24058"/>
      <w:r>
        <w:rPr>
          <w:rFonts w:hint="eastAsia" w:ascii="宋体" w:hAnsi="宋体" w:eastAsia="宋体" w:cs="宋体"/>
          <w:b/>
          <w:color w:val="auto"/>
          <w:kern w:val="0"/>
          <w:sz w:val="32"/>
          <w:szCs w:val="32"/>
          <w:highlight w:val="none"/>
        </w:rPr>
        <w:t>二、投标承诺书格式</w:t>
      </w:r>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1"/>
      <w:bookmarkEnd w:id="652"/>
      <w:bookmarkEnd w:id="653"/>
    </w:p>
    <w:p w14:paraId="7DDF5783">
      <w:pPr>
        <w:autoSpaceDE w:val="0"/>
        <w:autoSpaceDN w:val="0"/>
        <w:adjustRightInd w:val="0"/>
        <w:spacing w:line="360" w:lineRule="auto"/>
        <w:jc w:val="center"/>
        <w:rPr>
          <w:rFonts w:ascii="宋体" w:hAnsi="宋体" w:eastAsia="宋体" w:cs="Times New Roman"/>
          <w:b/>
          <w:bCs/>
          <w:color w:val="auto"/>
          <w:sz w:val="30"/>
          <w:szCs w:val="30"/>
          <w:highlight w:val="none"/>
          <w:lang w:val="zh-CN"/>
        </w:rPr>
      </w:pPr>
      <w:r>
        <w:rPr>
          <w:rFonts w:hint="eastAsia" w:ascii="宋体" w:hAnsi="宋体" w:eastAsia="宋体" w:cs="Times New Roman"/>
          <w:b/>
          <w:bCs/>
          <w:color w:val="auto"/>
          <w:sz w:val="30"/>
          <w:szCs w:val="30"/>
          <w:highlight w:val="none"/>
          <w:lang w:val="zh-CN"/>
        </w:rPr>
        <w:t>投标承诺书</w:t>
      </w:r>
    </w:p>
    <w:p w14:paraId="39DABF40">
      <w:pPr>
        <w:autoSpaceDE w:val="0"/>
        <w:autoSpaceDN w:val="0"/>
        <w:adjustRightInd w:val="0"/>
        <w:spacing w:line="360" w:lineRule="auto"/>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zh-CN"/>
        </w:rPr>
        <w:t>致：</w:t>
      </w:r>
      <w:r>
        <w:rPr>
          <w:rFonts w:hint="eastAsia" w:hAnsi="宋体" w:eastAsia="宋体" w:cs="Times New Roman"/>
          <w:sz w:val="21"/>
          <w:szCs w:val="21"/>
          <w:highlight w:val="none"/>
          <w:u w:val="single"/>
          <w:lang w:eastAsia="zh-CN"/>
        </w:rPr>
        <w:t>东莞市众源环境投资有限公司</w:t>
      </w:r>
    </w:p>
    <w:p w14:paraId="698B762A">
      <w:pPr>
        <w:widowControl/>
        <w:autoSpaceDE w:val="0"/>
        <w:autoSpaceDN w:val="0"/>
        <w:adjustRightInd w:val="0"/>
        <w:spacing w:line="360" w:lineRule="auto"/>
        <w:ind w:firstLine="0" w:firstLineChars="0"/>
        <w:jc w:val="left"/>
        <w:rPr>
          <w:rFonts w:ascii="宋体" w:hAnsi="宋体" w:eastAsia="宋体" w:cs="Times New Roman"/>
          <w:color w:val="auto"/>
          <w:kern w:val="0"/>
          <w:szCs w:val="21"/>
          <w:highlight w:val="none"/>
        </w:rPr>
      </w:pPr>
    </w:p>
    <w:p w14:paraId="49E33174">
      <w:pPr>
        <w:spacing w:line="360" w:lineRule="auto"/>
        <w:ind w:firstLine="420" w:firstLineChars="200"/>
        <w:rPr>
          <w:rFonts w:hAnsi="宋体" w:eastAsia="宋体" w:cs="Times New Roman"/>
          <w:sz w:val="21"/>
          <w:szCs w:val="21"/>
          <w:highlight w:val="none"/>
        </w:rPr>
      </w:pPr>
      <w:r>
        <w:rPr>
          <w:rFonts w:hAnsi="宋体" w:eastAsia="宋体" w:cs="Times New Roman"/>
          <w:sz w:val="21"/>
          <w:szCs w:val="21"/>
          <w:highlight w:val="none"/>
        </w:rPr>
        <w:t>我方</w:t>
      </w:r>
      <w:r>
        <w:rPr>
          <w:rFonts w:hAnsi="宋体" w:eastAsia="宋体" w:cs="Times New Roman"/>
          <w:sz w:val="21"/>
          <w:szCs w:val="21"/>
          <w:highlight w:val="none"/>
          <w:u w:val="single"/>
        </w:rPr>
        <w:t xml:space="preserve">            </w:t>
      </w:r>
      <w:r>
        <w:rPr>
          <w:rFonts w:hAnsi="宋体" w:eastAsia="宋体" w:cs="Times New Roman"/>
          <w:sz w:val="21"/>
          <w:szCs w:val="21"/>
          <w:highlight w:val="none"/>
        </w:rPr>
        <w:t>（</w:t>
      </w:r>
      <w:r>
        <w:rPr>
          <w:rFonts w:hint="eastAsia" w:hAnsi="宋体" w:eastAsia="宋体" w:cs="Times New Roman"/>
          <w:sz w:val="21"/>
          <w:szCs w:val="21"/>
          <w:highlight w:val="none"/>
          <w:lang w:eastAsia="zh-CN"/>
        </w:rPr>
        <w:t>投标人</w:t>
      </w:r>
      <w:r>
        <w:rPr>
          <w:rFonts w:hAnsi="宋体" w:eastAsia="宋体" w:cs="Times New Roman"/>
          <w:sz w:val="21"/>
          <w:szCs w:val="21"/>
          <w:highlight w:val="none"/>
        </w:rPr>
        <w:t>名称）已完整阅读了</w:t>
      </w:r>
      <w:r>
        <w:rPr>
          <w:rFonts w:hint="eastAsia" w:hAnsi="宋体" w:eastAsia="宋体" w:cs="Times New Roman"/>
          <w:sz w:val="21"/>
          <w:szCs w:val="21"/>
          <w:highlight w:val="none"/>
          <w:u w:val="single"/>
          <w:lang w:eastAsia="zh-CN"/>
        </w:rPr>
        <w:t>东莞市众源环境投资有限公司半干化泥粉外运资源化处置服务供应商</w:t>
      </w:r>
      <w:r>
        <w:rPr>
          <w:rFonts w:hint="eastAsia" w:ascii="宋体" w:hAnsi="宋体" w:eastAsia="宋体" w:cs="宋体"/>
          <w:sz w:val="21"/>
          <w:szCs w:val="21"/>
          <w:highlight w:val="none"/>
          <w:u w:val="single"/>
          <w:lang w:eastAsia="zh-CN"/>
        </w:rPr>
        <w:t>库2025年第二</w:t>
      </w:r>
      <w:r>
        <w:rPr>
          <w:rFonts w:hint="eastAsia" w:hAnsi="宋体" w:eastAsia="宋体" w:cs="Times New Roman"/>
          <w:sz w:val="21"/>
          <w:szCs w:val="21"/>
          <w:highlight w:val="none"/>
          <w:u w:val="single"/>
          <w:lang w:eastAsia="zh-CN"/>
        </w:rPr>
        <w:t>次扩增供应商项目</w:t>
      </w:r>
      <w:r>
        <w:rPr>
          <w:rFonts w:hint="eastAsia"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lang w:val="en-US" w:eastAsia="zh-CN"/>
        </w:rPr>
        <w:t>招标</w:t>
      </w:r>
      <w:r>
        <w:rPr>
          <w:rFonts w:hint="eastAsia" w:ascii="宋体" w:hAnsi="宋体" w:eastAsia="宋体" w:cs="Times New Roman"/>
          <w:color w:val="auto"/>
          <w:kern w:val="0"/>
          <w:szCs w:val="21"/>
          <w:highlight w:val="none"/>
        </w:rPr>
        <w:t>编号：</w:t>
      </w:r>
      <w:r>
        <w:rPr>
          <w:rFonts w:hint="eastAsia" w:ascii="宋体" w:hAnsi="宋体" w:eastAsia="宋体" w:cs="Times New Roman"/>
          <w:color w:val="auto"/>
          <w:kern w:val="0"/>
          <w:szCs w:val="21"/>
          <w:highlight w:val="none"/>
          <w:lang w:val="en-US" w:eastAsia="zh-CN"/>
        </w:rPr>
        <w:t xml:space="preserve">          </w:t>
      </w:r>
      <w:r>
        <w:rPr>
          <w:rFonts w:hint="eastAsia" w:ascii="宋体" w:hAnsi="宋体" w:eastAsia="宋体" w:cs="Times New Roman"/>
          <w:color w:val="auto"/>
          <w:kern w:val="0"/>
          <w:szCs w:val="21"/>
          <w:highlight w:val="none"/>
        </w:rPr>
        <w:t>）</w:t>
      </w:r>
      <w:r>
        <w:rPr>
          <w:rFonts w:hint="eastAsia" w:hAnsi="宋体" w:eastAsia="宋体" w:cs="Times New Roman"/>
          <w:sz w:val="21"/>
          <w:szCs w:val="21"/>
          <w:highlight w:val="none"/>
          <w:lang w:eastAsia="zh-CN"/>
        </w:rPr>
        <w:t>招标</w:t>
      </w:r>
      <w:r>
        <w:rPr>
          <w:rFonts w:hint="eastAsia" w:hAnsi="宋体" w:eastAsia="宋体" w:cs="Times New Roman"/>
          <w:sz w:val="21"/>
          <w:szCs w:val="21"/>
          <w:highlight w:val="none"/>
        </w:rPr>
        <w:t>文件</w:t>
      </w:r>
      <w:r>
        <w:rPr>
          <w:rFonts w:hAnsi="宋体" w:eastAsia="宋体" w:cs="Times New Roman"/>
          <w:sz w:val="21"/>
          <w:szCs w:val="21"/>
          <w:highlight w:val="none"/>
        </w:rPr>
        <w:t>的所有内容（包括澄清，以及所有已提供的参考资料和有关附件），并完全理解上述文件所表达的意思，该项目</w:t>
      </w:r>
      <w:r>
        <w:rPr>
          <w:rFonts w:hint="eastAsia" w:hAnsi="宋体" w:eastAsia="宋体" w:cs="Times New Roman"/>
          <w:sz w:val="21"/>
          <w:szCs w:val="21"/>
          <w:highlight w:val="none"/>
          <w:lang w:val="en-US" w:eastAsia="zh-CN"/>
        </w:rPr>
        <w:t>递交</w:t>
      </w:r>
      <w:r>
        <w:rPr>
          <w:rFonts w:hint="eastAsia" w:hAnsi="宋体" w:eastAsia="宋体" w:cs="Times New Roman"/>
          <w:sz w:val="21"/>
          <w:szCs w:val="21"/>
          <w:highlight w:val="none"/>
          <w:lang w:eastAsia="zh-CN"/>
        </w:rPr>
        <w:t>投标文件</w:t>
      </w:r>
      <w:r>
        <w:rPr>
          <w:rFonts w:hAnsi="宋体" w:eastAsia="宋体" w:cs="Times New Roman"/>
          <w:sz w:val="21"/>
          <w:szCs w:val="21"/>
          <w:highlight w:val="none"/>
        </w:rPr>
        <w:t>时间截止后，我方承诺不再对上述文件内容进行询问或</w:t>
      </w:r>
      <w:r>
        <w:rPr>
          <w:rFonts w:hint="eastAsia" w:hAnsi="宋体" w:eastAsia="宋体" w:cs="Times New Roman"/>
          <w:sz w:val="21"/>
          <w:szCs w:val="21"/>
          <w:highlight w:val="none"/>
          <w:lang w:val="en-US" w:eastAsia="zh-CN"/>
        </w:rPr>
        <w:t>异议</w:t>
      </w:r>
      <w:r>
        <w:rPr>
          <w:rFonts w:hAnsi="宋体" w:eastAsia="宋体" w:cs="Times New Roman"/>
          <w:sz w:val="21"/>
          <w:szCs w:val="21"/>
          <w:highlight w:val="none"/>
        </w:rPr>
        <w:t>。</w:t>
      </w:r>
    </w:p>
    <w:p w14:paraId="687C60F9">
      <w:pPr>
        <w:spacing w:line="360" w:lineRule="auto"/>
        <w:ind w:firstLine="420" w:firstLineChars="200"/>
        <w:rPr>
          <w:rFonts w:hint="eastAsia" w:hAnsi="宋体" w:eastAsia="宋体" w:cs="宋体"/>
          <w:sz w:val="21"/>
          <w:szCs w:val="21"/>
          <w:highlight w:val="none"/>
        </w:rPr>
      </w:pPr>
      <w:r>
        <w:rPr>
          <w:rFonts w:hint="eastAsia" w:hAnsi="宋体" w:eastAsia="宋体" w:cs="宋体"/>
          <w:sz w:val="21"/>
          <w:szCs w:val="21"/>
          <w:highlight w:val="none"/>
        </w:rPr>
        <w:t>为维护双方的合法权益，我方郑重承诺如下：</w:t>
      </w:r>
    </w:p>
    <w:p w14:paraId="2AAD42A7">
      <w:pPr>
        <w:widowControl/>
        <w:snapToGrid w:val="0"/>
        <w:spacing w:line="360" w:lineRule="auto"/>
        <w:ind w:firstLine="420" w:firstLineChars="200"/>
        <w:rPr>
          <w:rFonts w:hint="eastAsia" w:hAnsi="宋体" w:eastAsia="宋体" w:cs="宋体"/>
          <w:sz w:val="21"/>
          <w:szCs w:val="21"/>
          <w:highlight w:val="none"/>
        </w:rPr>
      </w:pPr>
      <w:r>
        <w:rPr>
          <w:rFonts w:hint="eastAsia" w:hAnsi="宋体" w:eastAsia="宋体" w:cs="宋体"/>
          <w:sz w:val="21"/>
          <w:szCs w:val="21"/>
          <w:highlight w:val="none"/>
          <w:lang w:val="zh-CN"/>
        </w:rPr>
        <w:t>（一）</w:t>
      </w:r>
      <w:r>
        <w:rPr>
          <w:rFonts w:hint="eastAsia" w:hAnsi="宋体" w:eastAsia="宋体" w:cs="宋体"/>
          <w:b/>
          <w:bCs/>
          <w:sz w:val="21"/>
          <w:szCs w:val="21"/>
          <w:highlight w:val="none"/>
          <w:u w:val="single"/>
        </w:rPr>
        <w:t>我方承诺，我方接收贵方交付的半干化泥粉全部自行依法处置完毕，绝不将半干化泥粉（或处理后的半成品）交由第三方处置，绝不转包，否则，由此导致的一切责任和风险全部由我方承担，贵方有权取消我方</w:t>
      </w:r>
      <w:r>
        <w:rPr>
          <w:rFonts w:hint="eastAsia" w:hAnsi="宋体" w:eastAsia="宋体" w:cs="宋体"/>
          <w:b/>
          <w:bCs/>
          <w:sz w:val="21"/>
          <w:szCs w:val="21"/>
          <w:highlight w:val="none"/>
          <w:u w:val="single"/>
          <w:lang w:val="en-US" w:eastAsia="zh-CN"/>
        </w:rPr>
        <w:t>中标</w:t>
      </w:r>
      <w:r>
        <w:rPr>
          <w:rFonts w:hint="eastAsia" w:hAnsi="宋体" w:eastAsia="宋体" w:cs="宋体"/>
          <w:b/>
          <w:bCs/>
          <w:sz w:val="21"/>
          <w:szCs w:val="21"/>
          <w:highlight w:val="none"/>
          <w:u w:val="single"/>
        </w:rPr>
        <w:t>资格，不予退还我方入库履约担保，解除与我方的相关合同，由我方承担相应的违约责任</w:t>
      </w:r>
      <w:r>
        <w:rPr>
          <w:rFonts w:hint="eastAsia" w:hAnsi="宋体" w:eastAsia="宋体" w:cs="宋体"/>
          <w:b/>
          <w:bCs/>
          <w:sz w:val="21"/>
          <w:szCs w:val="21"/>
          <w:highlight w:val="none"/>
          <w:u w:val="single"/>
          <w:lang w:eastAsia="zh-CN"/>
        </w:rPr>
        <w:t>，</w:t>
      </w:r>
      <w:r>
        <w:rPr>
          <w:rFonts w:hint="eastAsia" w:hAnsi="宋体" w:eastAsia="宋体" w:cs="宋体"/>
          <w:b/>
          <w:bCs/>
          <w:sz w:val="21"/>
          <w:szCs w:val="21"/>
          <w:highlight w:val="none"/>
          <w:u w:val="single"/>
        </w:rPr>
        <w:t>并赔偿由此给贵方造成的损失</w:t>
      </w:r>
      <w:r>
        <w:rPr>
          <w:rFonts w:hint="eastAsia" w:hAnsi="宋体" w:eastAsia="宋体" w:cs="宋体"/>
          <w:b/>
          <w:bCs/>
          <w:sz w:val="21"/>
          <w:szCs w:val="21"/>
          <w:highlight w:val="none"/>
        </w:rPr>
        <w:t>。</w:t>
      </w:r>
      <w:r>
        <w:rPr>
          <w:rFonts w:hint="eastAsia" w:hAnsi="宋体" w:eastAsia="宋体" w:cs="宋体"/>
          <w:sz w:val="21"/>
          <w:szCs w:val="21"/>
          <w:highlight w:val="none"/>
        </w:rPr>
        <w:t>经贵方</w:t>
      </w:r>
      <w:r>
        <w:rPr>
          <w:rFonts w:hint="eastAsia" w:hAnsi="宋体" w:eastAsia="宋体" w:cs="宋体"/>
          <w:sz w:val="21"/>
          <w:szCs w:val="21"/>
          <w:highlight w:val="none"/>
          <w:lang w:val="en-US" w:eastAsia="zh-CN"/>
        </w:rPr>
        <w:t>书面</w:t>
      </w:r>
      <w:r>
        <w:rPr>
          <w:rFonts w:hint="eastAsia" w:hAnsi="宋体" w:eastAsia="宋体" w:cs="宋体"/>
          <w:sz w:val="21"/>
          <w:szCs w:val="21"/>
          <w:highlight w:val="none"/>
        </w:rPr>
        <w:t>同意</w:t>
      </w:r>
      <w:r>
        <w:rPr>
          <w:rFonts w:hint="eastAsia" w:hAnsi="宋体" w:eastAsia="宋体" w:cs="宋体"/>
          <w:sz w:val="21"/>
          <w:szCs w:val="21"/>
          <w:highlight w:val="none"/>
          <w:lang w:val="en-US" w:eastAsia="zh-CN"/>
        </w:rPr>
        <w:t>后</w:t>
      </w:r>
      <w:r>
        <w:rPr>
          <w:rFonts w:hint="eastAsia" w:hAnsi="宋体" w:eastAsia="宋体" w:cs="宋体"/>
          <w:sz w:val="21"/>
          <w:szCs w:val="21"/>
          <w:highlight w:val="none"/>
        </w:rPr>
        <w:t>，对于本项目非主体、非关键性工作（泥粉运输、泥粉处置后副产品的检测），若我方无对应资质，我方可将我方不具备对应资质的非主体、非关键性工作（泥粉运输、泥粉处置后副产品的检测）分包给具备对应资质的单位实施，签订分包合同，并在分包工作实施前向贵方书面说明分包事宜，分包合同签订后向贵方提供分包合同、分包单位营业执照、分包单位资质（道路运输经营许可证或检验检测机构资质认定证书）、运输车辆及司机资料等备案材料，</w:t>
      </w:r>
      <w:r>
        <w:rPr>
          <w:rFonts w:hint="eastAsia" w:hAnsi="宋体" w:eastAsia="宋体" w:cs="宋体"/>
          <w:sz w:val="21"/>
          <w:szCs w:val="21"/>
          <w:highlight w:val="none"/>
          <w:lang w:val="en-US" w:eastAsia="zh-CN"/>
        </w:rPr>
        <w:t>我方</w:t>
      </w:r>
      <w:r>
        <w:rPr>
          <w:rFonts w:hint="eastAsia" w:hAnsi="宋体" w:eastAsia="宋体" w:cs="宋体"/>
          <w:sz w:val="21"/>
          <w:szCs w:val="21"/>
          <w:highlight w:val="none"/>
        </w:rPr>
        <w:t>负责分包单位的管理、材料及成果的接收，对分包单位的安全、工作质量负责。</w:t>
      </w:r>
      <w:r>
        <w:rPr>
          <w:rFonts w:hint="eastAsia" w:hAnsi="宋体" w:eastAsia="宋体" w:cs="宋体"/>
          <w:sz w:val="21"/>
          <w:szCs w:val="21"/>
          <w:highlight w:val="none"/>
          <w:lang w:val="en-US" w:eastAsia="zh-CN"/>
        </w:rPr>
        <w:t>我方</w:t>
      </w:r>
      <w:r>
        <w:rPr>
          <w:rFonts w:hint="eastAsia" w:hAnsi="宋体" w:eastAsia="宋体" w:cs="宋体"/>
          <w:sz w:val="21"/>
          <w:szCs w:val="21"/>
          <w:highlight w:val="none"/>
        </w:rPr>
        <w:t>根据入库合同的约定对招标人负责，分包单位按照分包合同的约定对</w:t>
      </w:r>
      <w:r>
        <w:rPr>
          <w:rFonts w:hint="eastAsia" w:hAnsi="宋体" w:eastAsia="宋体" w:cs="宋体"/>
          <w:sz w:val="21"/>
          <w:szCs w:val="21"/>
          <w:highlight w:val="none"/>
          <w:lang w:val="en-US" w:eastAsia="zh-CN"/>
        </w:rPr>
        <w:t>我方</w:t>
      </w:r>
      <w:r>
        <w:rPr>
          <w:rFonts w:hint="eastAsia" w:hAnsi="宋体" w:eastAsia="宋体" w:cs="宋体"/>
          <w:sz w:val="21"/>
          <w:szCs w:val="21"/>
          <w:highlight w:val="none"/>
        </w:rPr>
        <w:t>负责。</w:t>
      </w:r>
    </w:p>
    <w:p w14:paraId="0911ABB2">
      <w:pPr>
        <w:spacing w:line="360" w:lineRule="auto"/>
        <w:ind w:firstLine="420" w:firstLineChars="200"/>
        <w:rPr>
          <w:rFonts w:hint="eastAsia" w:hAnsi="宋体" w:eastAsia="宋体" w:cs="宋体"/>
          <w:sz w:val="21"/>
          <w:szCs w:val="21"/>
          <w:highlight w:val="none"/>
          <w:lang w:val="zh-CN"/>
        </w:rPr>
      </w:pPr>
      <w:r>
        <w:rPr>
          <w:rFonts w:hint="eastAsia" w:hAnsi="宋体" w:eastAsia="宋体" w:cs="宋体"/>
          <w:sz w:val="21"/>
          <w:szCs w:val="21"/>
          <w:highlight w:val="none"/>
          <w:lang w:val="zh-CN"/>
        </w:rPr>
        <w:t>（二）我方保证参与本项目的材料中所有资料均真实、有效。在贵方通知核查真实性时，我方承诺积极在约定的期限内提供原件复核。我方无法在限定期间</w:t>
      </w:r>
      <w:r>
        <w:rPr>
          <w:rFonts w:hint="eastAsia" w:hAnsi="宋体" w:eastAsia="宋体" w:cs="宋体"/>
          <w:sz w:val="21"/>
          <w:szCs w:val="21"/>
          <w:highlight w:val="none"/>
        </w:rPr>
        <w:t>提供真实的资料，贵方有权取消我方</w:t>
      </w:r>
      <w:r>
        <w:rPr>
          <w:rFonts w:hint="eastAsia" w:hAnsi="宋体" w:eastAsia="宋体" w:cs="宋体"/>
          <w:sz w:val="21"/>
          <w:szCs w:val="21"/>
          <w:highlight w:val="none"/>
          <w:lang w:val="en-US" w:eastAsia="zh-CN"/>
        </w:rPr>
        <w:t>中标</w:t>
      </w:r>
      <w:r>
        <w:rPr>
          <w:rFonts w:hint="eastAsia" w:hAnsi="宋体" w:eastAsia="宋体" w:cs="宋体"/>
          <w:sz w:val="21"/>
          <w:szCs w:val="21"/>
          <w:highlight w:val="none"/>
        </w:rPr>
        <w:t>资格。</w:t>
      </w:r>
      <w:r>
        <w:rPr>
          <w:rFonts w:hint="eastAsia" w:hAnsi="宋体" w:eastAsia="宋体" w:cs="宋体"/>
          <w:sz w:val="21"/>
          <w:szCs w:val="21"/>
          <w:highlight w:val="none"/>
          <w:lang w:val="zh-CN"/>
        </w:rPr>
        <w:t>若我方存在弄虚作假等手段骗取</w:t>
      </w:r>
      <w:r>
        <w:rPr>
          <w:rFonts w:hint="eastAsia" w:hAnsi="宋体" w:eastAsia="宋体" w:cs="宋体"/>
          <w:sz w:val="21"/>
          <w:szCs w:val="21"/>
          <w:highlight w:val="none"/>
        </w:rPr>
        <w:t>入库</w:t>
      </w:r>
      <w:r>
        <w:rPr>
          <w:rFonts w:hint="eastAsia" w:hAnsi="宋体" w:eastAsia="宋体" w:cs="宋体"/>
          <w:sz w:val="21"/>
          <w:szCs w:val="21"/>
          <w:highlight w:val="none"/>
          <w:lang w:val="zh-CN"/>
        </w:rPr>
        <w:t>的，贵方有权取消我方</w:t>
      </w:r>
      <w:r>
        <w:rPr>
          <w:rFonts w:hint="eastAsia" w:hAnsi="宋体" w:eastAsia="宋体" w:cs="宋体"/>
          <w:sz w:val="21"/>
          <w:szCs w:val="21"/>
          <w:highlight w:val="none"/>
          <w:lang w:val="en-US" w:eastAsia="zh-CN"/>
        </w:rPr>
        <w:t>中标</w:t>
      </w:r>
      <w:r>
        <w:rPr>
          <w:rFonts w:hint="eastAsia" w:hAnsi="宋体" w:eastAsia="宋体" w:cs="宋体"/>
          <w:sz w:val="21"/>
          <w:szCs w:val="21"/>
          <w:highlight w:val="none"/>
        </w:rPr>
        <w:t>资格</w:t>
      </w:r>
      <w:r>
        <w:rPr>
          <w:rFonts w:hint="eastAsia" w:hAnsi="宋体" w:eastAsia="宋体" w:cs="宋体"/>
          <w:sz w:val="21"/>
          <w:szCs w:val="21"/>
          <w:highlight w:val="none"/>
          <w:lang w:val="zh-CN"/>
        </w:rPr>
        <w:t>，并有权要求我方赔偿因此给贵方造成的损失，并由我方依法承担相应的法律责任。</w:t>
      </w:r>
    </w:p>
    <w:p w14:paraId="5436917F">
      <w:pPr>
        <w:spacing w:line="360" w:lineRule="auto"/>
        <w:ind w:firstLine="420" w:firstLineChars="200"/>
        <w:rPr>
          <w:rFonts w:hint="eastAsia" w:hAnsi="宋体" w:eastAsia="宋体" w:cs="宋体"/>
          <w:sz w:val="21"/>
          <w:szCs w:val="21"/>
          <w:highlight w:val="none"/>
          <w:lang w:val="zh-CN"/>
        </w:rPr>
      </w:pPr>
      <w:r>
        <w:rPr>
          <w:rFonts w:hint="eastAsia" w:hAnsi="宋体" w:eastAsia="宋体" w:cs="宋体"/>
          <w:sz w:val="21"/>
          <w:szCs w:val="21"/>
          <w:highlight w:val="none"/>
          <w:lang w:val="zh-CN"/>
        </w:rPr>
        <w:t>（</w:t>
      </w:r>
      <w:r>
        <w:rPr>
          <w:rFonts w:hint="eastAsia" w:hAnsi="宋体" w:eastAsia="宋体" w:cs="宋体"/>
          <w:sz w:val="21"/>
          <w:szCs w:val="21"/>
          <w:highlight w:val="none"/>
        </w:rPr>
        <w:t>三</w:t>
      </w:r>
      <w:r>
        <w:rPr>
          <w:rFonts w:hint="eastAsia" w:hAnsi="宋体" w:eastAsia="宋体" w:cs="宋体"/>
          <w:sz w:val="21"/>
          <w:szCs w:val="21"/>
          <w:highlight w:val="none"/>
          <w:lang w:val="zh-CN"/>
        </w:rPr>
        <w:t>）我方承认和理解贵方有权自主选择合法、合规、合格的</w:t>
      </w:r>
      <w:r>
        <w:rPr>
          <w:rFonts w:hint="eastAsia" w:hAnsi="宋体" w:eastAsia="宋体" w:cs="宋体"/>
          <w:sz w:val="21"/>
          <w:szCs w:val="21"/>
          <w:highlight w:val="none"/>
        </w:rPr>
        <w:t>入库</w:t>
      </w:r>
      <w:r>
        <w:rPr>
          <w:rFonts w:hint="eastAsia" w:hAnsi="宋体" w:eastAsia="宋体" w:cs="宋体"/>
          <w:sz w:val="21"/>
          <w:szCs w:val="21"/>
          <w:highlight w:val="none"/>
          <w:lang w:val="en-US" w:eastAsia="zh-CN"/>
        </w:rPr>
        <w:t>供应商</w:t>
      </w:r>
      <w:r>
        <w:rPr>
          <w:rFonts w:hint="eastAsia" w:hAnsi="宋体" w:eastAsia="宋体" w:cs="宋体"/>
          <w:sz w:val="21"/>
          <w:szCs w:val="21"/>
          <w:highlight w:val="none"/>
          <w:lang w:val="zh-CN"/>
        </w:rPr>
        <w:t>，我方理解贵方有接受或拒绝任何</w:t>
      </w:r>
      <w:r>
        <w:rPr>
          <w:rFonts w:hint="eastAsia" w:hAnsi="宋体" w:eastAsia="宋体" w:cs="宋体"/>
          <w:sz w:val="21"/>
          <w:szCs w:val="21"/>
          <w:highlight w:val="none"/>
          <w:lang w:val="en-US" w:eastAsia="zh-CN"/>
        </w:rPr>
        <w:t>投标人</w:t>
      </w:r>
      <w:r>
        <w:rPr>
          <w:rFonts w:hint="eastAsia" w:hAnsi="宋体" w:eastAsia="宋体" w:cs="宋体"/>
          <w:sz w:val="21"/>
          <w:szCs w:val="21"/>
          <w:highlight w:val="none"/>
          <w:lang w:val="zh-CN"/>
        </w:rPr>
        <w:t>，拒绝所有</w:t>
      </w:r>
      <w:r>
        <w:rPr>
          <w:rFonts w:hint="eastAsia" w:hAnsi="宋体" w:eastAsia="宋体" w:cs="宋体"/>
          <w:sz w:val="21"/>
          <w:szCs w:val="21"/>
          <w:highlight w:val="none"/>
          <w:lang w:val="en-US" w:eastAsia="zh-CN"/>
        </w:rPr>
        <w:t>投标人</w:t>
      </w:r>
      <w:r>
        <w:rPr>
          <w:rFonts w:hint="eastAsia" w:hAnsi="宋体" w:eastAsia="宋体" w:cs="宋体"/>
          <w:sz w:val="21"/>
          <w:szCs w:val="21"/>
          <w:highlight w:val="none"/>
          <w:lang w:val="zh-CN"/>
        </w:rPr>
        <w:t>的权利，无需向受影响的投标人承担任何责任。</w:t>
      </w:r>
    </w:p>
    <w:p w14:paraId="7FAD1F23">
      <w:pPr>
        <w:spacing w:line="360" w:lineRule="auto"/>
        <w:ind w:firstLine="420" w:firstLineChars="200"/>
        <w:rPr>
          <w:rFonts w:hint="eastAsia" w:hAnsi="宋体" w:eastAsia="宋体" w:cs="宋体"/>
          <w:sz w:val="21"/>
          <w:szCs w:val="21"/>
          <w:highlight w:val="none"/>
          <w:lang w:val="zh-CN"/>
        </w:rPr>
      </w:pPr>
      <w:r>
        <w:rPr>
          <w:rFonts w:hint="eastAsia" w:hAnsi="宋体" w:eastAsia="宋体" w:cs="宋体"/>
          <w:sz w:val="21"/>
          <w:szCs w:val="21"/>
          <w:highlight w:val="none"/>
          <w:lang w:val="zh-CN"/>
        </w:rPr>
        <w:t>（</w:t>
      </w:r>
      <w:r>
        <w:rPr>
          <w:rFonts w:hint="eastAsia" w:hAnsi="宋体" w:eastAsia="宋体" w:cs="宋体"/>
          <w:sz w:val="21"/>
          <w:szCs w:val="21"/>
          <w:highlight w:val="none"/>
        </w:rPr>
        <w:t>四</w:t>
      </w:r>
      <w:r>
        <w:rPr>
          <w:rFonts w:hint="eastAsia" w:hAnsi="宋体" w:eastAsia="宋体" w:cs="宋体"/>
          <w:sz w:val="21"/>
          <w:szCs w:val="21"/>
          <w:highlight w:val="none"/>
          <w:lang w:val="zh-CN"/>
        </w:rPr>
        <w:t>）若我方存在弄虚作假等手段骗取</w:t>
      </w:r>
      <w:r>
        <w:rPr>
          <w:rFonts w:hint="eastAsia" w:hAnsi="宋体" w:eastAsia="宋体" w:cs="宋体"/>
          <w:sz w:val="21"/>
          <w:szCs w:val="21"/>
          <w:highlight w:val="none"/>
        </w:rPr>
        <w:t>入库</w:t>
      </w:r>
      <w:r>
        <w:rPr>
          <w:rFonts w:hint="eastAsia" w:hAnsi="宋体" w:eastAsia="宋体" w:cs="宋体"/>
          <w:sz w:val="21"/>
          <w:szCs w:val="21"/>
          <w:highlight w:val="none"/>
          <w:lang w:val="zh-CN"/>
        </w:rPr>
        <w:t>的，贵方有权或协助主管部门认定我方严重失信的不良行为，纳入企业信用“黑名单”，限制</w:t>
      </w:r>
      <w:r>
        <w:rPr>
          <w:rFonts w:hint="eastAsia" w:hAnsi="宋体" w:eastAsia="宋体" w:cs="宋体"/>
          <w:sz w:val="21"/>
          <w:szCs w:val="21"/>
          <w:highlight w:val="none"/>
          <w:lang w:val="en-US" w:eastAsia="zh-CN"/>
        </w:rPr>
        <w:t>我方</w:t>
      </w:r>
      <w:r>
        <w:rPr>
          <w:rFonts w:hint="eastAsia" w:hAnsi="宋体" w:eastAsia="宋体" w:cs="宋体"/>
          <w:sz w:val="21"/>
          <w:szCs w:val="21"/>
          <w:highlight w:val="none"/>
          <w:lang w:val="zh-CN"/>
        </w:rPr>
        <w:t>参与依法必须招标项目的投标，并向行政主管部门报送结果。同时，</w:t>
      </w:r>
      <w:r>
        <w:rPr>
          <w:rFonts w:hint="eastAsia" w:hAnsi="宋体" w:eastAsia="宋体" w:cs="宋体"/>
          <w:sz w:val="21"/>
          <w:szCs w:val="21"/>
          <w:highlight w:val="none"/>
          <w:lang w:val="en-US" w:eastAsia="zh-CN"/>
        </w:rPr>
        <w:t>招标人有权</w:t>
      </w:r>
      <w:r>
        <w:rPr>
          <w:rFonts w:hint="eastAsia" w:hAnsi="宋体" w:eastAsia="宋体" w:cs="宋体"/>
          <w:sz w:val="21"/>
          <w:szCs w:val="21"/>
          <w:highlight w:val="none"/>
          <w:lang w:val="zh-CN"/>
        </w:rPr>
        <w:t>根据《关于对环境保护领域失信生产经营单位及其有关人员开展联合惩戒的合作备忘录》等规定，通过“信用中国”网站向社会公示我方的失信行为，实现“一处失信、处处受限”。</w:t>
      </w:r>
    </w:p>
    <w:p w14:paraId="5115FB71">
      <w:pPr>
        <w:snapToGrid w:val="0"/>
        <w:spacing w:line="360" w:lineRule="auto"/>
        <w:ind w:firstLine="420" w:firstLineChars="200"/>
        <w:rPr>
          <w:rFonts w:hint="eastAsia" w:ascii="宋体" w:hAnsi="宋体" w:eastAsia="宋体" w:cs="宋体"/>
          <w:sz w:val="21"/>
          <w:szCs w:val="21"/>
          <w:highlight w:val="none"/>
          <w:lang w:val="zh-CN"/>
        </w:rPr>
      </w:pPr>
      <w:r>
        <w:rPr>
          <w:rFonts w:hint="eastAsia" w:hAnsi="宋体" w:eastAsia="宋体" w:cs="宋体"/>
          <w:sz w:val="21"/>
          <w:szCs w:val="21"/>
          <w:highlight w:val="none"/>
          <w:lang w:val="zh-CN"/>
        </w:rPr>
        <w:t>（</w:t>
      </w:r>
      <w:r>
        <w:rPr>
          <w:rFonts w:hint="eastAsia" w:hAnsi="宋体" w:eastAsia="宋体" w:cs="宋体"/>
          <w:sz w:val="21"/>
          <w:szCs w:val="21"/>
          <w:highlight w:val="none"/>
        </w:rPr>
        <w:t>五</w:t>
      </w:r>
      <w:r>
        <w:rPr>
          <w:rFonts w:hint="eastAsia" w:hAnsi="宋体" w:eastAsia="宋体" w:cs="宋体"/>
          <w:sz w:val="21"/>
          <w:szCs w:val="21"/>
          <w:highlight w:val="none"/>
          <w:lang w:val="zh-CN"/>
        </w:rPr>
        <w:t>）</w:t>
      </w:r>
      <w:r>
        <w:rPr>
          <w:rFonts w:hint="eastAsia" w:hAnsi="宋体" w:eastAsia="宋体" w:cs="宋体"/>
          <w:color w:val="000000"/>
          <w:sz w:val="21"/>
          <w:szCs w:val="21"/>
          <w:highlight w:val="none"/>
        </w:rPr>
        <w:t>我方承诺，在提交</w:t>
      </w:r>
      <w:r>
        <w:rPr>
          <w:rFonts w:hint="eastAsia" w:hAnsi="宋体" w:eastAsia="宋体" w:cs="宋体"/>
          <w:color w:val="000000"/>
          <w:sz w:val="21"/>
          <w:szCs w:val="21"/>
          <w:highlight w:val="none"/>
          <w:lang w:eastAsia="zh-CN"/>
        </w:rPr>
        <w:t>投标文件</w:t>
      </w:r>
      <w:r>
        <w:rPr>
          <w:rFonts w:hint="eastAsia" w:hAnsi="宋体" w:eastAsia="宋体" w:cs="宋体"/>
          <w:color w:val="000000"/>
          <w:sz w:val="21"/>
          <w:szCs w:val="21"/>
          <w:highlight w:val="none"/>
        </w:rPr>
        <w:t>后，积极配合贵方后续的现场核查、资料原件核对、协助调查等手续，否则同意贵方有权</w:t>
      </w:r>
      <w:r>
        <w:rPr>
          <w:rFonts w:hint="eastAsia" w:hAnsi="宋体" w:eastAsia="宋体" w:cs="宋体"/>
          <w:sz w:val="21"/>
          <w:szCs w:val="21"/>
          <w:highlight w:val="none"/>
          <w:lang w:val="zh-CN"/>
        </w:rPr>
        <w:t>取消我方</w:t>
      </w:r>
      <w:r>
        <w:rPr>
          <w:rFonts w:hint="eastAsia" w:hAnsi="宋体" w:eastAsia="宋体" w:cs="宋体"/>
          <w:sz w:val="21"/>
          <w:szCs w:val="21"/>
          <w:highlight w:val="none"/>
          <w:lang w:val="en-US" w:eastAsia="zh-CN"/>
        </w:rPr>
        <w:t>中标</w:t>
      </w:r>
      <w:r>
        <w:rPr>
          <w:rFonts w:hint="eastAsia" w:ascii="宋体" w:hAnsi="宋体" w:eastAsia="宋体" w:cs="宋体"/>
          <w:sz w:val="21"/>
          <w:szCs w:val="21"/>
          <w:highlight w:val="none"/>
          <w:lang w:val="zh-CN"/>
        </w:rPr>
        <w:t>资格，而无需承担任何责任。若因我方存在提供虚假材料等弄虚作假行为、消极对待贵方后续现场核查、服务期不服从贵方管理等，我方同意在后续东莞市水务环境投资控股集团有限公司（含其</w:t>
      </w:r>
      <w:r>
        <w:rPr>
          <w:rFonts w:hint="eastAsia" w:ascii="宋体" w:hAnsi="宋体" w:eastAsia="宋体" w:cs="宋体"/>
          <w:sz w:val="21"/>
          <w:szCs w:val="21"/>
          <w:highlight w:val="none"/>
          <w:lang w:val="en-US" w:eastAsia="zh-CN"/>
        </w:rPr>
        <w:t>全资公司、</w:t>
      </w:r>
      <w:r>
        <w:rPr>
          <w:rFonts w:hint="eastAsia" w:ascii="宋体" w:hAnsi="宋体" w:eastAsia="宋体" w:cs="宋体"/>
          <w:sz w:val="21"/>
          <w:szCs w:val="21"/>
          <w:highlight w:val="none"/>
        </w:rPr>
        <w:t>控股公司、由其管理的参股公司）招标、采购、征集</w:t>
      </w:r>
      <w:r>
        <w:rPr>
          <w:rFonts w:hint="eastAsia" w:ascii="宋体" w:hAnsi="宋体" w:eastAsia="宋体" w:cs="宋体"/>
          <w:sz w:val="21"/>
          <w:szCs w:val="21"/>
          <w:highlight w:val="none"/>
          <w:lang w:eastAsia="zh-CN"/>
        </w:rPr>
        <w:t>投标人</w:t>
      </w:r>
      <w:r>
        <w:rPr>
          <w:rFonts w:hint="eastAsia" w:ascii="宋体" w:hAnsi="宋体" w:eastAsia="宋体" w:cs="宋体"/>
          <w:sz w:val="21"/>
          <w:szCs w:val="21"/>
          <w:highlight w:val="none"/>
        </w:rPr>
        <w:t>或合作方的过程中拒绝我方参与，我方无任何异议。</w:t>
      </w:r>
      <w:r>
        <w:rPr>
          <w:rFonts w:hint="eastAsia" w:ascii="宋体" w:hAnsi="宋体" w:eastAsia="宋体" w:cs="宋体"/>
          <w:color w:val="000000"/>
          <w:sz w:val="21"/>
          <w:szCs w:val="21"/>
          <w:highlight w:val="none"/>
        </w:rPr>
        <w:t>涉嫌违法</w:t>
      </w:r>
      <w:r>
        <w:rPr>
          <w:rFonts w:hint="eastAsia" w:ascii="宋体" w:hAnsi="宋体" w:eastAsia="宋体" w:cs="宋体"/>
          <w:sz w:val="21"/>
          <w:szCs w:val="21"/>
          <w:highlight w:val="none"/>
          <w:lang w:val="zh-CN"/>
        </w:rPr>
        <w:t>犯罪的，接受贵方将我方移交司法机关处理。</w:t>
      </w:r>
    </w:p>
    <w:p w14:paraId="2D00069D">
      <w:pPr>
        <w:pStyle w:val="207"/>
        <w:spacing w:line="360" w:lineRule="auto"/>
        <w:ind w:firstLine="420"/>
        <w:rPr>
          <w:rFonts w:hint="eastAsia" w:ascii="宋体" w:hAnsi="宋体" w:eastAsia="宋体" w:cs="宋体"/>
          <w:szCs w:val="21"/>
          <w:highlight w:val="none"/>
        </w:rPr>
      </w:pPr>
      <w:r>
        <w:rPr>
          <w:rFonts w:hint="eastAsia" w:ascii="宋体" w:hAnsi="宋体" w:eastAsia="宋体" w:cs="宋体"/>
          <w:szCs w:val="21"/>
          <w:highlight w:val="none"/>
          <w:lang w:val="zh-CN"/>
        </w:rPr>
        <w:t>（</w:t>
      </w:r>
      <w:r>
        <w:rPr>
          <w:rFonts w:hint="eastAsia" w:ascii="宋体" w:hAnsi="宋体" w:cs="宋体"/>
          <w:szCs w:val="21"/>
          <w:highlight w:val="none"/>
          <w:lang w:val="en-US" w:eastAsia="zh-CN"/>
        </w:rPr>
        <w:t>六</w:t>
      </w:r>
      <w:r>
        <w:rPr>
          <w:rFonts w:hint="eastAsia" w:ascii="宋体" w:hAnsi="宋体" w:eastAsia="宋体" w:cs="宋体"/>
          <w:szCs w:val="21"/>
          <w:highlight w:val="none"/>
          <w:lang w:val="zh-CN"/>
        </w:rPr>
        <w:t>）我方承诺，</w:t>
      </w:r>
      <w:r>
        <w:rPr>
          <w:rFonts w:hint="eastAsia" w:ascii="宋体" w:hAnsi="宋体" w:eastAsia="宋体" w:cs="宋体"/>
          <w:szCs w:val="21"/>
          <w:highlight w:val="none"/>
        </w:rPr>
        <w:t>在“污水处理厂</w:t>
      </w:r>
      <w:r>
        <w:rPr>
          <w:rFonts w:hint="eastAsia" w:ascii="宋体" w:hAnsi="宋体" w:eastAsia="宋体" w:cs="宋体"/>
          <w:szCs w:val="21"/>
          <w:highlight w:val="none"/>
          <w:lang w:val="zh-CN"/>
        </w:rPr>
        <w:t>半干化泥粉项目</w:t>
      </w:r>
      <w:r>
        <w:rPr>
          <w:rFonts w:hint="eastAsia" w:ascii="宋体" w:hAnsi="宋体" w:eastAsia="宋体" w:cs="宋体"/>
          <w:szCs w:val="21"/>
          <w:highlight w:val="none"/>
        </w:rPr>
        <w:t>”单项项目服务合同签订之日起，2日内可达到按</w:t>
      </w:r>
      <w:r>
        <w:rPr>
          <w:rFonts w:hint="eastAsia" w:ascii="宋体" w:hAnsi="宋体" w:cs="宋体"/>
          <w:szCs w:val="21"/>
          <w:highlight w:val="none"/>
          <w:lang w:val="en-US" w:eastAsia="zh-CN"/>
        </w:rPr>
        <w:t>招标</w:t>
      </w:r>
      <w:r>
        <w:rPr>
          <w:rFonts w:hint="eastAsia" w:ascii="宋体" w:hAnsi="宋体" w:eastAsia="宋体" w:cs="宋体"/>
          <w:szCs w:val="21"/>
          <w:highlight w:val="none"/>
        </w:rPr>
        <w:t>人要求的泥粉外运处置能力，按</w:t>
      </w:r>
      <w:r>
        <w:rPr>
          <w:rFonts w:hint="eastAsia" w:ascii="宋体" w:hAnsi="宋体" w:cs="宋体"/>
          <w:szCs w:val="21"/>
          <w:highlight w:val="none"/>
          <w:lang w:val="en-US" w:eastAsia="zh-CN"/>
        </w:rPr>
        <w:t>招标</w:t>
      </w:r>
      <w:r>
        <w:rPr>
          <w:rFonts w:hint="eastAsia" w:ascii="宋体" w:hAnsi="宋体" w:eastAsia="宋体" w:cs="宋体"/>
          <w:szCs w:val="21"/>
          <w:highlight w:val="none"/>
        </w:rPr>
        <w:t>人要求开展污水处理厂半干化泥粉外运处置服务。</w:t>
      </w:r>
    </w:p>
    <w:p w14:paraId="69C9BE7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我方对以上承诺内容的真实性负责，如有违诺，同意接受贵方的处置决定，自愿接受行政主管部门对此作出的行政处罚，并且无条件承担由此带来的一切后果和责任。</w:t>
      </w:r>
    </w:p>
    <w:p w14:paraId="1223537B">
      <w:pPr>
        <w:widowControl/>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sz w:val="21"/>
          <w:szCs w:val="21"/>
          <w:highlight w:val="none"/>
        </w:rPr>
        <w:t>特此承诺。</w:t>
      </w:r>
    </w:p>
    <w:p w14:paraId="108E6AF1">
      <w:pPr>
        <w:autoSpaceDE w:val="0"/>
        <w:autoSpaceDN w:val="0"/>
        <w:adjustRightInd w:val="0"/>
        <w:spacing w:line="360" w:lineRule="auto"/>
        <w:ind w:firstLine="420" w:firstLineChars="200"/>
        <w:jc w:val="left"/>
        <w:rPr>
          <w:rFonts w:ascii="宋体" w:hAnsi="宋体" w:eastAsia="宋体" w:cs="Times New Roman"/>
          <w:color w:val="auto"/>
          <w:kern w:val="0"/>
          <w:szCs w:val="21"/>
          <w:highlight w:val="none"/>
        </w:rPr>
      </w:pPr>
    </w:p>
    <w:p w14:paraId="1B062BF4">
      <w:pPr>
        <w:autoSpaceDE w:val="0"/>
        <w:autoSpaceDN w:val="0"/>
        <w:adjustRightInd w:val="0"/>
        <w:spacing w:line="360" w:lineRule="auto"/>
        <w:jc w:val="left"/>
        <w:rPr>
          <w:rFonts w:ascii="宋体" w:hAnsi="宋体" w:eastAsia="宋体" w:cs="Times New Roman"/>
          <w:color w:val="auto"/>
          <w:kern w:val="0"/>
          <w:sz w:val="24"/>
          <w:szCs w:val="24"/>
          <w:highlight w:val="none"/>
        </w:rPr>
      </w:pPr>
    </w:p>
    <w:p w14:paraId="4EDD9504">
      <w:pPr>
        <w:autoSpaceDE w:val="0"/>
        <w:autoSpaceDN w:val="0"/>
        <w:adjustRightInd w:val="0"/>
        <w:spacing w:line="360" w:lineRule="auto"/>
        <w:jc w:val="left"/>
        <w:rPr>
          <w:rFonts w:ascii="宋体" w:hAnsi="宋体" w:eastAsia="宋体" w:cs="Times New Roman"/>
          <w:color w:val="auto"/>
          <w:kern w:val="0"/>
          <w:sz w:val="24"/>
          <w:szCs w:val="24"/>
          <w:highlight w:val="none"/>
        </w:rPr>
      </w:pPr>
    </w:p>
    <w:p w14:paraId="71C61C57">
      <w:pPr>
        <w:autoSpaceDE w:val="0"/>
        <w:autoSpaceDN w:val="0"/>
        <w:adjustRightInd w:val="0"/>
        <w:spacing w:line="360" w:lineRule="auto"/>
        <w:ind w:firstLine="4960" w:firstLineChars="2362"/>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4683543A">
      <w:pPr>
        <w:autoSpaceDE w:val="0"/>
        <w:autoSpaceDN w:val="0"/>
        <w:adjustRightInd w:val="0"/>
        <w:spacing w:line="360" w:lineRule="auto"/>
        <w:ind w:firstLine="4960" w:firstLineChars="2362"/>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法定代表人或其授权代表签名：</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（电子签名）</w:t>
      </w:r>
    </w:p>
    <w:p w14:paraId="5B846837">
      <w:pPr>
        <w:autoSpaceDE w:val="0"/>
        <w:autoSpaceDN w:val="0"/>
        <w:adjustRightInd w:val="0"/>
        <w:spacing w:line="360" w:lineRule="auto"/>
        <w:ind w:firstLine="4960" w:firstLineChars="2362"/>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177686CD">
      <w:pPr>
        <w:autoSpaceDE w:val="0"/>
        <w:autoSpaceDN w:val="0"/>
        <w:adjustRightInd w:val="0"/>
        <w:spacing w:line="360" w:lineRule="auto"/>
        <w:jc w:val="center"/>
        <w:rPr>
          <w:rFonts w:ascii="宋体" w:hAnsi="宋体" w:eastAsia="宋体" w:cs="Times New Roman"/>
          <w:b/>
          <w:bCs/>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说明：由投标人使用投标人的企业数字证书，法定代表人或其授权代表数字证书电子签名。</w:t>
      </w:r>
    </w:p>
    <w:p w14:paraId="17DB9A51">
      <w:pPr>
        <w:autoSpaceDE w:val="0"/>
        <w:autoSpaceDN w:val="0"/>
        <w:adjustRightInd w:val="0"/>
        <w:spacing w:line="360" w:lineRule="auto"/>
        <w:jc w:val="left"/>
        <w:rPr>
          <w:rFonts w:ascii="宋体" w:hAnsi="宋体" w:eastAsia="宋体" w:cs="宋体"/>
          <w:color w:val="auto"/>
          <w:kern w:val="0"/>
          <w:sz w:val="24"/>
          <w:szCs w:val="24"/>
          <w:highlight w:val="none"/>
        </w:rPr>
      </w:pPr>
      <w:bookmarkStart w:id="654" w:name="_Toc326768876"/>
      <w:bookmarkStart w:id="655" w:name="_Toc316896755"/>
      <w:bookmarkStart w:id="656" w:name="_Toc311032584"/>
    </w:p>
    <w:p w14:paraId="61534496">
      <w:pPr>
        <w:autoSpaceDE w:val="0"/>
        <w:autoSpaceDN w:val="0"/>
        <w:adjustRightInd w:val="0"/>
        <w:spacing w:line="360" w:lineRule="auto"/>
        <w:ind w:right="420" w:firstLine="5760" w:firstLineChars="2400"/>
        <w:jc w:val="left"/>
        <w:rPr>
          <w:rFonts w:ascii="宋体" w:hAnsi="宋体" w:eastAsia="宋体" w:cs="宋体"/>
          <w:color w:val="auto"/>
          <w:kern w:val="0"/>
          <w:sz w:val="24"/>
          <w:szCs w:val="24"/>
          <w:highlight w:val="none"/>
        </w:rPr>
      </w:pPr>
      <w:bookmarkStart w:id="657" w:name="_Toc7024_WPSOffice_Level2"/>
      <w:bookmarkStart w:id="658" w:name="_Toc1977723"/>
      <w:bookmarkStart w:id="659" w:name="_Toc486167711"/>
      <w:bookmarkStart w:id="660" w:name="_Toc533708123"/>
    </w:p>
    <w:bookmarkEnd w:id="657"/>
    <w:bookmarkEnd w:id="658"/>
    <w:bookmarkEnd w:id="659"/>
    <w:bookmarkEnd w:id="660"/>
    <w:p w14:paraId="5644C4E8">
      <w:pPr>
        <w:autoSpaceDE/>
        <w:autoSpaceDN/>
        <w:adjustRightInd/>
        <w:spacing w:line="240" w:lineRule="auto"/>
        <w:ind w:left="0" w:firstLine="0" w:firstLineChars="0"/>
        <w:jc w:val="left"/>
        <w:outlineLvl w:val="9"/>
        <w:rPr>
          <w:rFonts w:ascii="宋体" w:hAnsi="宋体" w:eastAsia="宋体" w:cs="宋体"/>
          <w:b/>
          <w:color w:val="auto"/>
          <w:kern w:val="0"/>
          <w:sz w:val="30"/>
          <w:szCs w:val="30"/>
          <w:highlight w:val="none"/>
        </w:rPr>
      </w:pPr>
      <w:bookmarkStart w:id="661" w:name="_Toc30859"/>
      <w:bookmarkStart w:id="662" w:name="_Toc102860073"/>
      <w:bookmarkStart w:id="663" w:name="_Toc94107208"/>
      <w:bookmarkStart w:id="664" w:name="_Toc142508368"/>
      <w:bookmarkStart w:id="665" w:name="_Toc102860417"/>
      <w:bookmarkStart w:id="666" w:name="_Toc27734"/>
      <w:bookmarkStart w:id="667" w:name="_Toc140596927"/>
      <w:bookmarkStart w:id="668" w:name="_Toc104991874"/>
      <w:r>
        <w:rPr>
          <w:rFonts w:hint="eastAsia" w:ascii="宋体" w:hAnsi="宋体" w:eastAsia="宋体" w:cs="宋体"/>
          <w:b/>
          <w:color w:val="auto"/>
          <w:kern w:val="0"/>
          <w:sz w:val="30"/>
          <w:szCs w:val="30"/>
          <w:highlight w:val="none"/>
        </w:rPr>
        <w:br w:type="page"/>
      </w:r>
    </w:p>
    <w:bookmarkEnd w:id="661"/>
    <w:bookmarkEnd w:id="662"/>
    <w:bookmarkEnd w:id="663"/>
    <w:bookmarkEnd w:id="664"/>
    <w:bookmarkEnd w:id="665"/>
    <w:bookmarkEnd w:id="666"/>
    <w:bookmarkEnd w:id="667"/>
    <w:bookmarkEnd w:id="668"/>
    <w:p w14:paraId="306FE537">
      <w:pPr>
        <w:pageBreakBefore w:val="0"/>
        <w:autoSpaceDE w:val="0"/>
        <w:autoSpaceDN w:val="0"/>
        <w:adjustRightInd w:val="0"/>
        <w:spacing w:line="360" w:lineRule="auto"/>
        <w:jc w:val="left"/>
        <w:outlineLvl w:val="3"/>
        <w:rPr>
          <w:rFonts w:hint="eastAsia" w:ascii="宋体" w:hAnsi="宋体" w:eastAsia="宋体" w:cs="宋体"/>
          <w:b/>
          <w:color w:val="auto"/>
          <w:kern w:val="44"/>
          <w:sz w:val="32"/>
          <w:szCs w:val="32"/>
          <w:highlight w:val="none"/>
        </w:rPr>
      </w:pPr>
      <w:bookmarkStart w:id="669" w:name="_Toc102860069"/>
      <w:bookmarkStart w:id="670" w:name="_Toc86764083"/>
      <w:bookmarkStart w:id="671" w:name="_Toc82182546"/>
      <w:bookmarkStart w:id="672" w:name="_Toc5075"/>
      <w:bookmarkStart w:id="673" w:name="_Toc24405"/>
      <w:bookmarkStart w:id="674" w:name="_Toc29910"/>
      <w:bookmarkStart w:id="675" w:name="_Toc7796"/>
      <w:bookmarkStart w:id="676" w:name="_Toc24336"/>
      <w:bookmarkStart w:id="677" w:name="_Toc104991870"/>
      <w:bookmarkStart w:id="678" w:name="_Toc140596923"/>
      <w:bookmarkStart w:id="679" w:name="_Toc14211"/>
      <w:bookmarkStart w:id="680" w:name="_Toc13368"/>
      <w:bookmarkStart w:id="681" w:name="_Toc6108"/>
      <w:bookmarkStart w:id="682" w:name="_Toc94107204"/>
      <w:bookmarkStart w:id="683" w:name="_Toc102860413"/>
      <w:bookmarkStart w:id="684" w:name="_Toc142508364"/>
      <w:bookmarkStart w:id="685" w:name="_Toc94107209"/>
      <w:bookmarkStart w:id="686" w:name="_Toc23083"/>
      <w:bookmarkStart w:id="687" w:name="_Toc25034"/>
      <w:bookmarkStart w:id="688" w:name="_Toc142508369"/>
      <w:bookmarkStart w:id="689" w:name="_Toc26516"/>
      <w:bookmarkStart w:id="690" w:name="_Toc1977725"/>
      <w:bookmarkStart w:id="691" w:name="_Toc102860074"/>
      <w:bookmarkStart w:id="692" w:name="_Toc195714382"/>
      <w:bookmarkStart w:id="693" w:name="_Toc104991875"/>
      <w:bookmarkStart w:id="694" w:name="_Toc6190"/>
      <w:bookmarkStart w:id="695" w:name="_Toc102860418"/>
      <w:bookmarkStart w:id="696" w:name="_Toc140596928"/>
      <w:bookmarkStart w:id="697" w:name="_Toc533708124"/>
      <w:bookmarkStart w:id="698" w:name="_Toc486167712"/>
      <w:bookmarkStart w:id="699" w:name="_Toc20759_WPSOffice_Level2"/>
      <w:r>
        <w:rPr>
          <w:rFonts w:hint="eastAsia" w:ascii="宋体" w:hAnsi="宋体" w:eastAsia="宋体" w:cs="宋体"/>
          <w:b/>
          <w:color w:val="auto"/>
          <w:kern w:val="44"/>
          <w:sz w:val="32"/>
          <w:szCs w:val="32"/>
          <w:highlight w:val="none"/>
        </w:rPr>
        <w:t>三、供货及/或提供服务过程承诺函格式</w:t>
      </w:r>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p>
    <w:p w14:paraId="24E692F1">
      <w:pPr>
        <w:autoSpaceDE w:val="0"/>
        <w:autoSpaceDN w:val="0"/>
        <w:adjustRightInd w:val="0"/>
        <w:spacing w:line="360" w:lineRule="auto"/>
        <w:jc w:val="center"/>
        <w:rPr>
          <w:rFonts w:hint="eastAsia" w:ascii="宋体" w:hAnsi="宋体" w:eastAsia="宋体" w:cs="宋体"/>
          <w:b/>
          <w:color w:val="auto"/>
          <w:kern w:val="44"/>
          <w:sz w:val="30"/>
          <w:szCs w:val="30"/>
          <w:highlight w:val="none"/>
        </w:rPr>
      </w:pPr>
      <w:r>
        <w:rPr>
          <w:rFonts w:hint="eastAsia" w:ascii="宋体" w:hAnsi="宋体" w:eastAsia="宋体" w:cs="宋体"/>
          <w:b/>
          <w:color w:val="auto"/>
          <w:kern w:val="44"/>
          <w:sz w:val="30"/>
          <w:szCs w:val="30"/>
          <w:highlight w:val="none"/>
        </w:rPr>
        <w:t>供货及/或提供服务过程承诺函</w:t>
      </w:r>
    </w:p>
    <w:p w14:paraId="20F9EA47">
      <w:pPr>
        <w:autoSpaceDE w:val="0"/>
        <w:autoSpaceDN w:val="0"/>
        <w:adjustRightInd w:val="0"/>
        <w:spacing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致</w:t>
      </w:r>
      <w:r>
        <w:rPr>
          <w:rFonts w:hint="eastAsia" w:hAnsi="宋体" w:eastAsia="宋体" w:cs="Times New Roman"/>
          <w:sz w:val="21"/>
          <w:szCs w:val="21"/>
          <w:highlight w:val="none"/>
          <w:u w:val="single"/>
          <w:lang w:eastAsia="zh-CN"/>
        </w:rPr>
        <w:t>东莞市众源环境投资有限公司</w:t>
      </w:r>
      <w:r>
        <w:rPr>
          <w:rFonts w:hint="eastAsia" w:ascii="宋体" w:hAnsi="宋体" w:eastAsia="宋体" w:cs="宋体"/>
          <w:color w:val="auto"/>
          <w:kern w:val="0"/>
          <w:szCs w:val="21"/>
          <w:highlight w:val="none"/>
        </w:rPr>
        <w:t>：</w:t>
      </w:r>
    </w:p>
    <w:p w14:paraId="7A7BF6AA">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我方</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（投标人名称）为招标人公开招标的</w:t>
      </w:r>
      <w:r>
        <w:rPr>
          <w:rFonts w:hint="eastAsia" w:hAnsi="宋体" w:eastAsia="宋体" w:cs="Times New Roman"/>
          <w:sz w:val="21"/>
          <w:szCs w:val="21"/>
          <w:highlight w:val="none"/>
          <w:u w:val="single"/>
          <w:lang w:eastAsia="zh-CN"/>
        </w:rPr>
        <w:t>东莞市众源环境投资有限公司半干化泥粉外运资源化处置服务供应商</w:t>
      </w:r>
      <w:r>
        <w:rPr>
          <w:rFonts w:hint="eastAsia" w:ascii="宋体" w:hAnsi="宋体" w:eastAsia="宋体" w:cs="宋体"/>
          <w:sz w:val="21"/>
          <w:szCs w:val="21"/>
          <w:highlight w:val="none"/>
          <w:u w:val="single"/>
          <w:lang w:eastAsia="zh-CN"/>
        </w:rPr>
        <w:t>库 2025 年第二</w:t>
      </w:r>
      <w:r>
        <w:rPr>
          <w:rFonts w:hint="eastAsia" w:hAnsi="宋体" w:eastAsia="宋体" w:cs="Times New Roman"/>
          <w:sz w:val="21"/>
          <w:szCs w:val="21"/>
          <w:highlight w:val="none"/>
          <w:u w:val="single"/>
          <w:lang w:eastAsia="zh-CN"/>
        </w:rPr>
        <w:t>次扩增供应商项目</w:t>
      </w:r>
      <w:r>
        <w:rPr>
          <w:rFonts w:hint="eastAsia" w:ascii="宋体" w:hAnsi="宋体" w:eastAsia="宋体" w:cs="宋体"/>
          <w:color w:val="auto"/>
          <w:kern w:val="0"/>
          <w:szCs w:val="21"/>
          <w:highlight w:val="none"/>
        </w:rPr>
        <w:t>(招标编号：</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)的投标单位，为确保供货及/或提供服务过程中的人身、财产安全，我方承诺，如我方获得中标资格，将严格按照下列要求开展工作。</w:t>
      </w:r>
    </w:p>
    <w:p w14:paraId="52D8156D">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1、我方承诺将严格遵守国家、地方政府有关安全生产及劳动保护的法律法规、标准、规定，贯彻执行招标人的各项安全管理规章制度。</w:t>
      </w:r>
    </w:p>
    <w:p w14:paraId="2DEC4371">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2、我方承诺将依法参加工伤保险，为安排至招标人从事本项目的工作人员缴纳保险费，并为从事危险作业的人员办理意外伤害保险。</w:t>
      </w:r>
    </w:p>
    <w:p w14:paraId="22EAB34D">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我方承诺服从招标人的安全管理，保证作业区域的现场文明安全管理达标，现场临时用电、机器设备、安全防护齐全、完好，并接受和配合招标人的安全监督检查，我方提供到招标人现场作业的所有安全装置、防护设施必须依据经招标人审批后的安全技术方案进行搭设、安装，同时我方无条件保证安全防护设施使用的搭设材料的质量安全，在用于安全防护的物资进场前将有关物资的材质证明报招标人，经招标人确认后方可使用。</w:t>
      </w:r>
    </w:p>
    <w:p w14:paraId="0F133345">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我方承诺携带进场的机器设备、机具必须是合格产品，并对携带进场的机器设备、机具安全负责管理、维护及检查，对招标人和自查发现的安全隐患落实整改措施。如我方使用不合格机器设备、机具造成事故的，由我方自行承担责任。</w:t>
      </w:r>
    </w:p>
    <w:p w14:paraId="2228BFE9">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我方人员未经许可不随意到作业区域以外的其它工作场所活动，我方作业人员擅自到作业区域以外的其它工作场所活动，出现人身损害或财产损失的，由我方自行负责一切责任。我方作业人员如需动用或作业涉及到招标人所属设备、电器、管线及其他设施等，承诺事先征得招标人代表的同意，并采取安全防护措施。</w:t>
      </w:r>
    </w:p>
    <w:p w14:paraId="4FE55865">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我方承诺在进行卸货等工作时，严格遵守相关劳动安全规定，并按要求佩戴相关安全劳动防护用具。我方承诺做好安全防护措施，在工作过程中出现的安全事故由我方自行处理并承担全部责任。我方承诺我方人员在招标人场所遵守招标人的一切规章制度和安全条例，服从招标人的监督。我方在提供服务过程中，如因违反招标人相关规章制度、安全条例，或因不服从招标人监督而发生安全事故的，其结果与责任均由我方负责，招标人无须承担任何结果与责任。</w:t>
      </w:r>
    </w:p>
    <w:p w14:paraId="01030D4E">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7、我方承诺协助和指导招标人进行货物的储存，对招标人的储存方式、方法、储存数量、仓库的安全设施设备、安全生产规章制度等是否符合国家标准或者国家有关规定提出合理的建议，并进行技术指导。</w:t>
      </w:r>
    </w:p>
    <w:p w14:paraId="3839EDA4">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8、我方车辆在招标人场所行驶时，将严格遵守厂区道路限行，限速和限重要求，如因我方未遵守前述要求，对厂区/招标人（含其人员）、我方人员、第三方造成损失的，由我方承担赔偿责任。</w:t>
      </w:r>
    </w:p>
    <w:p w14:paraId="2F3A82F3">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如我方开展服务项目需进行外出调研或现场作业的，由我方派人负责安全保卫工作，按国家有关规定，对作业的现场人员进行安全防护、劳动保护等，并承担相应的费用。若发生工作人员或第三人人身伤害等事故的，由我方全部承担责任。</w:t>
      </w:r>
    </w:p>
    <w:p w14:paraId="34138C7E">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10、因我方原因，造成我方损失，由我方自负，给招标人造成财产损失和人员伤害，我方承担全部责任，并全额赔偿招标人。</w:t>
      </w:r>
    </w:p>
    <w:p w14:paraId="70ABEAB5">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11、非因招标人原因，造成我方损失的，招标人无需承担任何责任，由我方自行承担全部责任。</w:t>
      </w:r>
    </w:p>
    <w:p w14:paraId="3A61297D">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12、我方承诺严格遵守法律法规以及招标人的安全管理要求，并接受招标人的安全生产工作协调和监督，积极消除安全隐患。安全管理的基本要求包括但不限于以下条款：</w:t>
      </w:r>
    </w:p>
    <w:p w14:paraId="77C84105">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①禁火区内严禁吸烟、动火。有火灾危险的作业区域，我方承诺配置足够的灭火设施。</w:t>
      </w:r>
    </w:p>
    <w:p w14:paraId="0C15B8FD">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②我方承诺焊接、气割作业时两瓶距离必须达到5M及以上，气瓶距可能产生火花的电器、设备和其它火源的间距必须达到10M及以上。</w:t>
      </w:r>
    </w:p>
    <w:p w14:paraId="286974ED">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③我方承诺不在厂内道路、消防通道内搭建临时建筑或堆放物资。</w:t>
      </w:r>
    </w:p>
    <w:p w14:paraId="24887A28">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④我方承诺电动工具、电焊机等均具有漏电保护器和相应的安全防护装置。</w:t>
      </w:r>
    </w:p>
    <w:p w14:paraId="7BF68843">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⑤我方承诺用电设施符合要求，杜绝电线乱接、乱拉，刀闸和开关无盖，在电器设施上堆放物品等行为。</w:t>
      </w:r>
    </w:p>
    <w:p w14:paraId="1A2AD8C1">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⑥我方承诺防雷、防静电设施及用电设施有良好接地。</w:t>
      </w:r>
    </w:p>
    <w:p w14:paraId="44D55A2B">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⑦我方承诺为从业人员提供符合国家标准或者行业标准的劳动防护用品，并监督、教育从业人员按照使用规则佩戴、使用，防止工伤事故的发生。我方承诺，如发生各类工伤事故，绝不隐瞒不报。发生重伤及重伤以上事故，应及时组织抢救、保护好现场，并立即报告招标人主管领导。</w:t>
      </w:r>
    </w:p>
    <w:p w14:paraId="3314C316">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13、我方承诺接受招标人的检查与监督，并主动配合，做好安全工作，凡有违反上述条款的即视为我方违约，招标人有权视情况从货物/服务价款中扣除2000元/次作为违约金。</w:t>
      </w:r>
    </w:p>
    <w:p w14:paraId="57AAFD90">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如因我方违反上述条款造成安全生产事故的，我方将承担由此引发的一切责任与后果，如造成招标人损失的，我方将予以足额赔偿，同时，招标人有权没收我方提交的履约担保。</w:t>
      </w:r>
    </w:p>
    <w:p w14:paraId="5B25165E">
      <w:pPr>
        <w:autoSpaceDE w:val="0"/>
        <w:autoSpaceDN w:val="0"/>
        <w:adjustRightInd w:val="0"/>
        <w:spacing w:line="360" w:lineRule="auto"/>
        <w:ind w:firstLine="5040"/>
        <w:rPr>
          <w:rFonts w:hint="eastAsia" w:ascii="宋体" w:hAnsi="宋体" w:eastAsia="宋体" w:cs="宋体"/>
          <w:color w:val="auto"/>
          <w:szCs w:val="24"/>
          <w:highlight w:val="none"/>
          <w:lang w:val="zh-CN"/>
        </w:rPr>
      </w:pPr>
    </w:p>
    <w:p w14:paraId="2A28B238">
      <w:pPr>
        <w:autoSpaceDE w:val="0"/>
        <w:autoSpaceDN w:val="0"/>
        <w:adjustRightInd w:val="0"/>
        <w:spacing w:line="360" w:lineRule="auto"/>
        <w:ind w:firstLine="5040"/>
        <w:rPr>
          <w:rFonts w:hint="eastAsia" w:ascii="宋体" w:hAnsi="宋体" w:eastAsia="宋体" w:cs="宋体"/>
          <w:color w:val="auto"/>
          <w:szCs w:val="24"/>
          <w:highlight w:val="none"/>
          <w:lang w:val="zh-CN"/>
        </w:rPr>
      </w:pPr>
    </w:p>
    <w:p w14:paraId="0F2C181F">
      <w:pPr>
        <w:autoSpaceDE w:val="0"/>
        <w:autoSpaceDN w:val="0"/>
        <w:adjustRightInd w:val="0"/>
        <w:spacing w:line="360" w:lineRule="auto"/>
        <w:ind w:firstLine="5040"/>
        <w:rPr>
          <w:rFonts w:hint="eastAsia" w:ascii="宋体" w:hAnsi="宋体" w:eastAsia="宋体" w:cs="宋体"/>
          <w:color w:val="auto"/>
          <w:szCs w:val="24"/>
          <w:highlight w:val="none"/>
        </w:rPr>
      </w:pPr>
      <w:r>
        <w:rPr>
          <w:rFonts w:hint="eastAsia" w:ascii="宋体" w:hAnsi="宋体" w:eastAsia="宋体" w:cs="宋体"/>
          <w:color w:val="auto"/>
          <w:szCs w:val="24"/>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6B899E9B">
      <w:pPr>
        <w:autoSpaceDE w:val="0"/>
        <w:autoSpaceDN w:val="0"/>
        <w:adjustRightInd w:val="0"/>
        <w:spacing w:line="360" w:lineRule="auto"/>
        <w:ind w:firstLine="5040"/>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法定代表人或其授权代表：</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（电子签名）</w:t>
      </w:r>
    </w:p>
    <w:p w14:paraId="1C0DCB88">
      <w:pPr>
        <w:autoSpaceDE w:val="0"/>
        <w:autoSpaceDN w:val="0"/>
        <w:adjustRightInd w:val="0"/>
        <w:spacing w:line="360" w:lineRule="auto"/>
        <w:ind w:right="420" w:firstLine="5040" w:firstLineChars="2400"/>
        <w:jc w:val="left"/>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日期：   年   月   日</w:t>
      </w:r>
    </w:p>
    <w:p w14:paraId="274DD8B5">
      <w:pPr>
        <w:pStyle w:val="17"/>
        <w:spacing w:line="360" w:lineRule="auto"/>
        <w:rPr>
          <w:rFonts w:hint="eastAsia" w:hAnsi="宋体" w:cs="宋体"/>
          <w:b w:val="0"/>
          <w:bCs w:val="0"/>
          <w:color w:val="auto"/>
          <w:sz w:val="21"/>
          <w:szCs w:val="21"/>
          <w:highlight w:val="none"/>
        </w:rPr>
      </w:pPr>
    </w:p>
    <w:p w14:paraId="69ACB6DD">
      <w:pPr>
        <w:pStyle w:val="50"/>
        <w:spacing w:after="0" w:line="360" w:lineRule="auto"/>
        <w:ind w:firstLine="211"/>
        <w:jc w:val="center"/>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t>说明：由投标人使用投标人的企业数字证书，法定代表人或其授权代表数字证书电子签名。</w:t>
      </w:r>
    </w:p>
    <w:p w14:paraId="09818C0D">
      <w:pPr>
        <w:tabs>
          <w:tab w:val="left" w:pos="567"/>
        </w:tabs>
        <w:autoSpaceDE w:val="0"/>
        <w:autoSpaceDN w:val="0"/>
        <w:adjustRightInd w:val="0"/>
        <w:spacing w:line="360" w:lineRule="auto"/>
        <w:jc w:val="left"/>
        <w:outlineLvl w:val="3"/>
        <w:rPr>
          <w:rFonts w:ascii="宋体" w:hAnsi="宋体" w:eastAsia="宋体" w:cs="宋体"/>
          <w:b/>
          <w:color w:val="auto"/>
          <w:kern w:val="0"/>
          <w:sz w:val="32"/>
          <w:szCs w:val="32"/>
          <w:highlight w:val="none"/>
        </w:rPr>
      </w:pPr>
      <w:r>
        <w:rPr>
          <w:rFonts w:ascii="宋体" w:hAnsi="宋体" w:eastAsia="宋体" w:cs="Times New Roman"/>
          <w:color w:val="auto"/>
          <w:szCs w:val="24"/>
          <w:highlight w:val="none"/>
          <w:lang w:val="zh-CN"/>
        </w:rPr>
        <w:br w:type="page"/>
      </w:r>
      <w:r>
        <w:rPr>
          <w:rFonts w:hint="eastAsia" w:ascii="宋体" w:hAnsi="宋体" w:eastAsia="宋体" w:cs="宋体"/>
          <w:b/>
          <w:color w:val="auto"/>
          <w:kern w:val="0"/>
          <w:sz w:val="32"/>
          <w:szCs w:val="32"/>
          <w:highlight w:val="none"/>
          <w:lang w:val="en-US" w:eastAsia="zh-CN"/>
        </w:rPr>
        <w:t>四</w:t>
      </w:r>
      <w:r>
        <w:rPr>
          <w:rFonts w:hint="eastAsia" w:ascii="宋体" w:hAnsi="宋体" w:eastAsia="宋体" w:cs="宋体"/>
          <w:b/>
          <w:color w:val="auto"/>
          <w:kern w:val="0"/>
          <w:sz w:val="32"/>
          <w:szCs w:val="32"/>
          <w:highlight w:val="none"/>
        </w:rPr>
        <w:t>、</w:t>
      </w:r>
      <w:r>
        <w:rPr>
          <w:rFonts w:hint="eastAsia" w:ascii="宋体" w:hAnsi="宋体" w:eastAsia="宋体" w:cs="宋体"/>
          <w:b/>
          <w:color w:val="auto"/>
          <w:kern w:val="0"/>
          <w:sz w:val="32"/>
          <w:szCs w:val="32"/>
          <w:highlight w:val="none"/>
          <w:lang w:eastAsia="zh-CN"/>
        </w:rPr>
        <w:t>投标人</w:t>
      </w:r>
      <w:r>
        <w:rPr>
          <w:rFonts w:hint="eastAsia" w:ascii="宋体" w:hAnsi="宋体" w:eastAsia="宋体" w:cs="宋体"/>
          <w:b/>
          <w:color w:val="auto"/>
          <w:kern w:val="0"/>
          <w:sz w:val="32"/>
          <w:szCs w:val="32"/>
          <w:highlight w:val="none"/>
        </w:rPr>
        <w:t>资格证明文件</w:t>
      </w:r>
      <w:bookmarkEnd w:id="685"/>
      <w:bookmarkEnd w:id="686"/>
      <w:bookmarkEnd w:id="687"/>
      <w:bookmarkEnd w:id="688"/>
      <w:bookmarkEnd w:id="689"/>
      <w:bookmarkEnd w:id="690"/>
      <w:bookmarkEnd w:id="691"/>
      <w:bookmarkEnd w:id="692"/>
      <w:bookmarkEnd w:id="693"/>
      <w:bookmarkEnd w:id="694"/>
      <w:bookmarkEnd w:id="695"/>
      <w:bookmarkEnd w:id="696"/>
    </w:p>
    <w:p w14:paraId="275B72FD">
      <w:pPr>
        <w:tabs>
          <w:tab w:val="left" w:pos="567"/>
        </w:tabs>
        <w:autoSpaceDE w:val="0"/>
        <w:autoSpaceDN w:val="0"/>
        <w:adjustRightInd w:val="0"/>
        <w:spacing w:line="360" w:lineRule="auto"/>
        <w:jc w:val="left"/>
        <w:outlineLvl w:val="3"/>
        <w:rPr>
          <w:rFonts w:ascii="宋体" w:hAnsi="宋体" w:eastAsia="宋体" w:cs="宋体"/>
          <w:b/>
          <w:color w:val="auto"/>
          <w:kern w:val="0"/>
          <w:sz w:val="30"/>
          <w:szCs w:val="30"/>
          <w:highlight w:val="none"/>
        </w:rPr>
      </w:pPr>
      <w:bookmarkStart w:id="700" w:name="_Toc94107210"/>
      <w:bookmarkStart w:id="701" w:name="_Toc29874"/>
      <w:bookmarkStart w:id="702" w:name="_Toc102860075"/>
      <w:bookmarkStart w:id="703" w:name="_Toc140596929"/>
      <w:bookmarkStart w:id="704" w:name="_Toc195714383"/>
      <w:bookmarkStart w:id="705" w:name="_Toc142508370"/>
      <w:bookmarkStart w:id="706" w:name="_Toc5002"/>
      <w:bookmarkStart w:id="707" w:name="_Toc104991876"/>
      <w:bookmarkStart w:id="708" w:name="_Toc102860419"/>
      <w:bookmarkStart w:id="709" w:name="_Toc17358"/>
      <w:bookmarkStart w:id="710" w:name="_Toc25267"/>
      <w:bookmarkStart w:id="711" w:name="_Toc1977726"/>
      <w:r>
        <w:rPr>
          <w:rFonts w:hint="eastAsia" w:ascii="宋体" w:hAnsi="宋体" w:eastAsia="宋体" w:cs="宋体"/>
          <w:b/>
          <w:color w:val="auto"/>
          <w:kern w:val="0"/>
          <w:sz w:val="30"/>
          <w:szCs w:val="30"/>
          <w:highlight w:val="none"/>
          <w:lang w:val="en-US" w:eastAsia="zh-CN"/>
        </w:rPr>
        <w:t>4</w:t>
      </w:r>
      <w:r>
        <w:rPr>
          <w:rFonts w:hint="eastAsia" w:ascii="宋体" w:hAnsi="宋体" w:eastAsia="宋体" w:cs="宋体"/>
          <w:b/>
          <w:color w:val="auto"/>
          <w:kern w:val="0"/>
          <w:sz w:val="30"/>
          <w:szCs w:val="30"/>
          <w:highlight w:val="none"/>
        </w:rPr>
        <w:t>.1 多证合一营业执照（或事业单位法人证书）原件扫描件</w:t>
      </w:r>
      <w:bookmarkEnd w:id="700"/>
      <w:bookmarkEnd w:id="701"/>
      <w:bookmarkEnd w:id="702"/>
      <w:bookmarkEnd w:id="703"/>
      <w:bookmarkEnd w:id="704"/>
      <w:bookmarkEnd w:id="705"/>
      <w:bookmarkEnd w:id="706"/>
      <w:bookmarkEnd w:id="707"/>
      <w:bookmarkEnd w:id="708"/>
      <w:bookmarkEnd w:id="709"/>
      <w:bookmarkEnd w:id="710"/>
    </w:p>
    <w:p w14:paraId="246F46F6">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0352F307">
      <w:pPr>
        <w:tabs>
          <w:tab w:val="left" w:pos="567"/>
        </w:tabs>
        <w:autoSpaceDE w:val="0"/>
        <w:autoSpaceDN w:val="0"/>
        <w:adjustRightInd w:val="0"/>
        <w:spacing w:line="360" w:lineRule="auto"/>
        <w:ind w:firstLine="316" w:firstLineChars="150"/>
        <w:jc w:val="left"/>
        <w:outlineLvl w:val="3"/>
        <w:rPr>
          <w:rFonts w:ascii="宋体" w:hAnsi="宋体" w:eastAsia="宋体" w:cs="宋体"/>
          <w:b/>
          <w:color w:val="auto"/>
          <w:kern w:val="0"/>
          <w:szCs w:val="21"/>
          <w:highlight w:val="none"/>
        </w:rPr>
        <w:sectPr>
          <w:footerReference r:id="rId6" w:type="first"/>
          <w:footerReference r:id="rId5" w:type="default"/>
          <w:pgSz w:w="12240" w:h="15840"/>
          <w:pgMar w:top="1191" w:right="1043" w:bottom="1191" w:left="1043" w:header="720" w:footer="720" w:gutter="0"/>
          <w:pgNumType w:fmt="decimal"/>
          <w:cols w:space="720" w:num="1"/>
          <w:titlePg/>
          <w:docGrid w:linePitch="326" w:charSpace="0"/>
        </w:sectPr>
      </w:pPr>
    </w:p>
    <w:p w14:paraId="32D72E9B">
      <w:pPr>
        <w:tabs>
          <w:tab w:val="left" w:pos="567"/>
        </w:tabs>
        <w:autoSpaceDE w:val="0"/>
        <w:autoSpaceDN w:val="0"/>
        <w:adjustRightInd w:val="0"/>
        <w:spacing w:line="360" w:lineRule="auto"/>
        <w:jc w:val="left"/>
        <w:outlineLvl w:val="3"/>
        <w:rPr>
          <w:rFonts w:ascii="宋体" w:hAnsi="宋体" w:eastAsia="宋体" w:cs="宋体"/>
          <w:b/>
          <w:color w:val="auto"/>
          <w:kern w:val="0"/>
          <w:sz w:val="30"/>
          <w:szCs w:val="30"/>
          <w:highlight w:val="none"/>
        </w:rPr>
      </w:pPr>
      <w:bookmarkStart w:id="712" w:name="_Toc142508371"/>
      <w:bookmarkStart w:id="713" w:name="_Toc195714384"/>
      <w:bookmarkStart w:id="714" w:name="_Toc140596930"/>
      <w:bookmarkStart w:id="715" w:name="_Toc102860420"/>
      <w:bookmarkStart w:id="716" w:name="_Toc94107211"/>
      <w:bookmarkStart w:id="717" w:name="_Toc7756"/>
      <w:bookmarkStart w:id="718" w:name="_Toc102860076"/>
      <w:bookmarkStart w:id="719" w:name="_Toc27861"/>
      <w:bookmarkStart w:id="720" w:name="_Toc18165"/>
      <w:bookmarkStart w:id="721" w:name="_Toc25013"/>
      <w:bookmarkStart w:id="722" w:name="_Toc104991877"/>
      <w:r>
        <w:rPr>
          <w:rFonts w:hint="eastAsia" w:ascii="宋体" w:hAnsi="宋体" w:eastAsia="宋体" w:cs="宋体"/>
          <w:b/>
          <w:color w:val="auto"/>
          <w:kern w:val="0"/>
          <w:sz w:val="30"/>
          <w:szCs w:val="30"/>
          <w:highlight w:val="none"/>
          <w:lang w:val="en-US" w:eastAsia="zh-CN"/>
        </w:rPr>
        <w:t>4</w:t>
      </w:r>
      <w:r>
        <w:rPr>
          <w:rFonts w:hint="eastAsia" w:ascii="宋体" w:hAnsi="宋体" w:eastAsia="宋体" w:cs="宋体"/>
          <w:b/>
          <w:color w:val="auto"/>
          <w:kern w:val="0"/>
          <w:sz w:val="30"/>
          <w:szCs w:val="30"/>
          <w:highlight w:val="none"/>
        </w:rPr>
        <w:t>.2 开户许可证原件扫描件（基本存款账户），如</w:t>
      </w:r>
      <w:r>
        <w:rPr>
          <w:rFonts w:hint="eastAsia" w:ascii="宋体" w:hAnsi="宋体" w:eastAsia="宋体" w:cs="宋体"/>
          <w:b/>
          <w:color w:val="auto"/>
          <w:kern w:val="0"/>
          <w:sz w:val="30"/>
          <w:szCs w:val="30"/>
          <w:highlight w:val="none"/>
          <w:lang w:eastAsia="zh-CN"/>
        </w:rPr>
        <w:t>投标人</w:t>
      </w:r>
      <w:r>
        <w:rPr>
          <w:rFonts w:hint="eastAsia" w:ascii="宋体" w:hAnsi="宋体" w:eastAsia="宋体" w:cs="宋体"/>
          <w:b/>
          <w:color w:val="auto"/>
          <w:kern w:val="0"/>
          <w:sz w:val="30"/>
          <w:szCs w:val="30"/>
          <w:highlight w:val="none"/>
        </w:rPr>
        <w:t>企业银行账户开户所在地区已取消企业银行账户许可，</w:t>
      </w:r>
      <w:r>
        <w:rPr>
          <w:rFonts w:hint="eastAsia" w:ascii="宋体" w:hAnsi="宋体" w:eastAsia="宋体" w:cs="宋体"/>
          <w:b/>
          <w:color w:val="auto"/>
          <w:kern w:val="0"/>
          <w:sz w:val="30"/>
          <w:szCs w:val="30"/>
          <w:highlight w:val="none"/>
          <w:lang w:eastAsia="zh-CN"/>
        </w:rPr>
        <w:t>投标人</w:t>
      </w:r>
      <w:r>
        <w:rPr>
          <w:rFonts w:hint="eastAsia" w:ascii="宋体" w:hAnsi="宋体" w:eastAsia="宋体" w:cs="宋体"/>
          <w:b/>
          <w:color w:val="auto"/>
          <w:kern w:val="0"/>
          <w:sz w:val="30"/>
          <w:szCs w:val="30"/>
          <w:highlight w:val="none"/>
        </w:rPr>
        <w:t>应提供基本存款账户开户名称、开户银行、账号、编号等信息及相关备案证明（如有）或其他能证明其为基本存款账户的资料原件扫描件</w:t>
      </w:r>
      <w:bookmarkEnd w:id="712"/>
      <w:bookmarkEnd w:id="713"/>
      <w:bookmarkEnd w:id="714"/>
      <w:bookmarkEnd w:id="715"/>
      <w:bookmarkEnd w:id="716"/>
      <w:bookmarkEnd w:id="717"/>
      <w:bookmarkEnd w:id="718"/>
      <w:bookmarkEnd w:id="719"/>
      <w:bookmarkEnd w:id="720"/>
      <w:bookmarkEnd w:id="721"/>
      <w:bookmarkEnd w:id="722"/>
    </w:p>
    <w:p w14:paraId="62A7AAB5">
      <w:pPr>
        <w:tabs>
          <w:tab w:val="left" w:pos="567"/>
        </w:tabs>
        <w:autoSpaceDE w:val="0"/>
        <w:autoSpaceDN w:val="0"/>
        <w:adjustRightInd w:val="0"/>
        <w:spacing w:line="360" w:lineRule="auto"/>
        <w:jc w:val="left"/>
        <w:outlineLvl w:val="3"/>
        <w:rPr>
          <w:rFonts w:ascii="宋体" w:hAnsi="宋体" w:eastAsia="宋体" w:cs="宋体"/>
          <w:b/>
          <w:color w:val="auto"/>
          <w:kern w:val="0"/>
          <w:szCs w:val="21"/>
          <w:highlight w:val="none"/>
        </w:rPr>
      </w:pPr>
      <w:r>
        <w:rPr>
          <w:rFonts w:ascii="宋体" w:hAnsi="宋体" w:eastAsia="宋体" w:cs="宋体"/>
          <w:b/>
          <w:color w:val="auto"/>
          <w:kern w:val="0"/>
          <w:sz w:val="30"/>
          <w:szCs w:val="30"/>
          <w:highlight w:val="none"/>
        </w:rPr>
        <w:br w:type="page"/>
      </w:r>
      <w:bookmarkStart w:id="723" w:name="_Toc104991878"/>
      <w:bookmarkStart w:id="724" w:name="_Toc2018"/>
      <w:bookmarkStart w:id="725" w:name="_Toc195714385"/>
      <w:bookmarkStart w:id="726" w:name="_Toc94107212"/>
      <w:bookmarkStart w:id="727" w:name="_Toc102860077"/>
      <w:bookmarkStart w:id="728" w:name="_Toc9132"/>
      <w:bookmarkStart w:id="729" w:name="_Toc7441"/>
      <w:bookmarkStart w:id="730" w:name="_Toc142508372"/>
      <w:bookmarkStart w:id="731" w:name="_Toc102860421"/>
      <w:bookmarkStart w:id="732" w:name="_Toc17499"/>
      <w:bookmarkStart w:id="733" w:name="_Toc140596931"/>
      <w:r>
        <w:rPr>
          <w:rFonts w:hint="eastAsia" w:ascii="宋体" w:hAnsi="宋体" w:eastAsia="宋体" w:cs="宋体"/>
          <w:b/>
          <w:color w:val="auto"/>
          <w:kern w:val="0"/>
          <w:sz w:val="30"/>
          <w:szCs w:val="30"/>
          <w:highlight w:val="none"/>
          <w:lang w:val="en-US" w:eastAsia="zh-CN"/>
        </w:rPr>
        <w:t>4</w:t>
      </w:r>
      <w:r>
        <w:rPr>
          <w:rFonts w:hint="eastAsia" w:ascii="宋体" w:hAnsi="宋体" w:eastAsia="宋体" w:cs="宋体"/>
          <w:b/>
          <w:color w:val="auto"/>
          <w:kern w:val="0"/>
          <w:sz w:val="30"/>
          <w:szCs w:val="30"/>
          <w:highlight w:val="none"/>
        </w:rPr>
        <w:t>.</w:t>
      </w:r>
      <w:r>
        <w:rPr>
          <w:rFonts w:hint="eastAsia" w:ascii="宋体" w:hAnsi="宋体" w:eastAsia="宋体" w:cs="宋体"/>
          <w:b/>
          <w:color w:val="auto"/>
          <w:kern w:val="0"/>
          <w:sz w:val="30"/>
          <w:szCs w:val="30"/>
          <w:highlight w:val="none"/>
          <w:lang w:val="en-US" w:eastAsia="zh-CN"/>
        </w:rPr>
        <w:t xml:space="preserve">3 </w:t>
      </w:r>
      <w:r>
        <w:rPr>
          <w:rFonts w:hint="eastAsia" w:ascii="宋体" w:hAnsi="宋体" w:eastAsia="宋体" w:cs="宋体"/>
          <w:b/>
          <w:color w:val="auto"/>
          <w:kern w:val="0"/>
          <w:sz w:val="30"/>
          <w:szCs w:val="30"/>
          <w:highlight w:val="none"/>
        </w:rPr>
        <w:t>法定代表人身份证明书、法定代表人授权书格式（法定代表人</w:t>
      </w:r>
      <w:r>
        <w:rPr>
          <w:rFonts w:hint="eastAsia" w:ascii="宋体" w:hAnsi="宋体" w:eastAsia="宋体" w:cs="宋体"/>
          <w:b/>
          <w:color w:val="auto"/>
          <w:kern w:val="0"/>
          <w:sz w:val="30"/>
          <w:szCs w:val="30"/>
          <w:highlight w:val="none"/>
          <w:lang w:val="en-US" w:eastAsia="zh-CN"/>
        </w:rPr>
        <w:t>投标</w:t>
      </w:r>
      <w:r>
        <w:rPr>
          <w:rFonts w:hint="eastAsia" w:ascii="宋体" w:hAnsi="宋体" w:eastAsia="宋体" w:cs="宋体"/>
          <w:b/>
          <w:color w:val="auto"/>
          <w:kern w:val="0"/>
          <w:sz w:val="30"/>
          <w:szCs w:val="30"/>
          <w:highlight w:val="none"/>
        </w:rPr>
        <w:t>时只需提供法定代表人身份证明书，委托他人为</w:t>
      </w:r>
      <w:r>
        <w:rPr>
          <w:rFonts w:hint="eastAsia" w:ascii="宋体" w:hAnsi="宋体" w:eastAsia="宋体" w:cs="宋体"/>
          <w:b/>
          <w:color w:val="auto"/>
          <w:kern w:val="0"/>
          <w:sz w:val="30"/>
          <w:szCs w:val="30"/>
          <w:highlight w:val="none"/>
          <w:lang w:val="en-US" w:eastAsia="zh-CN"/>
        </w:rPr>
        <w:t>投标</w:t>
      </w:r>
      <w:r>
        <w:rPr>
          <w:rFonts w:hint="eastAsia" w:ascii="宋体" w:hAnsi="宋体" w:eastAsia="宋体" w:cs="宋体"/>
          <w:b/>
          <w:color w:val="auto"/>
          <w:kern w:val="0"/>
          <w:sz w:val="30"/>
          <w:szCs w:val="30"/>
          <w:highlight w:val="none"/>
        </w:rPr>
        <w:t>代表或签署</w:t>
      </w:r>
      <w:r>
        <w:rPr>
          <w:rFonts w:hint="eastAsia" w:ascii="宋体" w:hAnsi="宋体" w:eastAsia="宋体" w:cs="宋体"/>
          <w:b/>
          <w:color w:val="auto"/>
          <w:kern w:val="0"/>
          <w:sz w:val="30"/>
          <w:szCs w:val="30"/>
          <w:highlight w:val="none"/>
          <w:lang w:eastAsia="zh-CN"/>
        </w:rPr>
        <w:t>投标文件</w:t>
      </w:r>
      <w:r>
        <w:rPr>
          <w:rFonts w:hint="eastAsia" w:ascii="宋体" w:hAnsi="宋体" w:eastAsia="宋体" w:cs="宋体"/>
          <w:b/>
          <w:color w:val="auto"/>
          <w:kern w:val="0"/>
          <w:sz w:val="30"/>
          <w:szCs w:val="30"/>
          <w:highlight w:val="none"/>
        </w:rPr>
        <w:t>时需同时提供法定代表人授权书）</w:t>
      </w:r>
    </w:p>
    <w:p w14:paraId="6FDC6927">
      <w:pPr>
        <w:spacing w:before="120" w:after="120" w:line="360" w:lineRule="auto"/>
        <w:ind w:firstLine="426" w:firstLineChars="202"/>
        <w:rPr>
          <w:rFonts w:ascii="宋体" w:hAnsi="宋体" w:eastAsia="宋体" w:cs="宋体"/>
          <w:b/>
          <w:color w:val="auto"/>
          <w:szCs w:val="24"/>
          <w:highlight w:val="none"/>
        </w:rPr>
      </w:pPr>
      <w:r>
        <w:rPr>
          <w:rFonts w:hint="eastAsia" w:ascii="宋体" w:hAnsi="宋体" w:eastAsia="宋体" w:cs="宋体"/>
          <w:b/>
          <w:color w:val="auto"/>
          <w:szCs w:val="24"/>
          <w:highlight w:val="none"/>
        </w:rPr>
        <w:t>（1）法定代表人身份证明书格式</w:t>
      </w:r>
    </w:p>
    <w:p w14:paraId="5F1B8CB3">
      <w:pPr>
        <w:spacing w:before="120" w:after="120" w:line="360" w:lineRule="auto"/>
        <w:ind w:firstLine="608" w:firstLineChars="202"/>
        <w:jc w:val="center"/>
        <w:rPr>
          <w:rFonts w:ascii="宋体" w:hAnsi="宋体" w:eastAsia="宋体" w:cs="宋体"/>
          <w:b/>
          <w:bCs/>
          <w:color w:val="auto"/>
          <w:sz w:val="30"/>
          <w:szCs w:val="30"/>
          <w:highlight w:val="none"/>
        </w:rPr>
      </w:pPr>
      <w:r>
        <w:rPr>
          <w:rFonts w:hint="eastAsia" w:ascii="宋体" w:hAnsi="宋体" w:eastAsia="宋体" w:cs="宋体"/>
          <w:b/>
          <w:color w:val="auto"/>
          <w:sz w:val="30"/>
          <w:szCs w:val="30"/>
          <w:highlight w:val="none"/>
        </w:rPr>
        <w:t>法定代表人身份证明书</w:t>
      </w:r>
    </w:p>
    <w:p w14:paraId="00BE0EEB">
      <w:pPr>
        <w:spacing w:before="120" w:after="120" w:line="360" w:lineRule="auto"/>
        <w:ind w:firstLine="420" w:firstLineChars="200"/>
        <w:rPr>
          <w:rFonts w:ascii="宋体" w:hAnsi="宋体" w:eastAsia="宋体" w:cs="宋体"/>
          <w:color w:val="auto"/>
          <w:szCs w:val="24"/>
          <w:highlight w:val="none"/>
        </w:rPr>
      </w:pP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先生／女士：现任我单位</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职务，为法定代表人，特此证明。</w:t>
      </w:r>
    </w:p>
    <w:p w14:paraId="0E8C4278">
      <w:pPr>
        <w:spacing w:before="120" w:after="120" w:line="360" w:lineRule="auto"/>
        <w:ind w:firstLine="424" w:firstLineChars="202"/>
        <w:rPr>
          <w:rFonts w:ascii="宋体" w:hAnsi="宋体" w:eastAsia="宋体" w:cs="宋体"/>
          <w:color w:val="auto"/>
          <w:szCs w:val="24"/>
          <w:highlight w:val="none"/>
        </w:rPr>
      </w:pPr>
      <w:r>
        <w:rPr>
          <w:rFonts w:hint="eastAsia" w:ascii="宋体" w:hAnsi="宋体" w:eastAsia="宋体" w:cs="宋体"/>
          <w:color w:val="auto"/>
          <w:szCs w:val="24"/>
          <w:highlight w:val="none"/>
        </w:rPr>
        <w:t>有效日期：</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签发日期：</w:t>
      </w:r>
      <w:r>
        <w:rPr>
          <w:rFonts w:hint="eastAsia" w:ascii="宋体" w:hAnsi="宋体" w:eastAsia="宋体" w:cs="宋体"/>
          <w:color w:val="auto"/>
          <w:szCs w:val="24"/>
          <w:highlight w:val="none"/>
          <w:u w:val="single"/>
        </w:rPr>
        <w:t xml:space="preserve">           </w:t>
      </w:r>
    </w:p>
    <w:p w14:paraId="0813B216">
      <w:pPr>
        <w:spacing w:before="120" w:after="120" w:line="360" w:lineRule="auto"/>
        <w:ind w:firstLine="424" w:firstLineChars="202"/>
        <w:rPr>
          <w:rFonts w:ascii="宋体" w:hAnsi="宋体" w:eastAsia="宋体" w:cs="宋体"/>
          <w:color w:val="auto"/>
          <w:szCs w:val="24"/>
          <w:highlight w:val="none"/>
          <w:u w:val="single"/>
        </w:rPr>
      </w:pPr>
      <w:r>
        <w:rPr>
          <w:rFonts w:hint="eastAsia" w:ascii="宋体" w:hAnsi="宋体" w:eastAsia="宋体" w:cs="宋体"/>
          <w:color w:val="auto"/>
          <w:szCs w:val="24"/>
          <w:highlight w:val="none"/>
        </w:rPr>
        <w:t>附：代表人性别：</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 xml:space="preserve"> 年龄：</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身份证号码：</w:t>
      </w:r>
      <w:r>
        <w:rPr>
          <w:rFonts w:hint="eastAsia" w:ascii="宋体" w:hAnsi="宋体" w:eastAsia="宋体" w:cs="宋体"/>
          <w:color w:val="auto"/>
          <w:szCs w:val="24"/>
          <w:highlight w:val="none"/>
          <w:u w:val="single"/>
        </w:rPr>
        <w:t xml:space="preserve">            </w:t>
      </w:r>
    </w:p>
    <w:p w14:paraId="501F1F56">
      <w:pPr>
        <w:spacing w:before="120" w:after="120" w:line="360" w:lineRule="auto"/>
        <w:ind w:firstLine="424" w:firstLineChars="202"/>
        <w:rPr>
          <w:rFonts w:ascii="宋体" w:hAnsi="宋体" w:eastAsia="宋体" w:cs="宋体"/>
          <w:color w:val="auto"/>
          <w:szCs w:val="24"/>
          <w:highlight w:val="none"/>
        </w:rPr>
      </w:pPr>
      <w:r>
        <w:rPr>
          <w:rFonts w:hint="eastAsia" w:ascii="宋体" w:hAnsi="宋体" w:eastAsia="宋体" w:cs="宋体"/>
          <w:color w:val="auto"/>
          <w:szCs w:val="24"/>
          <w:highlight w:val="none"/>
        </w:rPr>
        <w:t>营业执照号码：</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 xml:space="preserve">经济性质： </w:t>
      </w:r>
    </w:p>
    <w:p w14:paraId="5A932603">
      <w:pPr>
        <w:spacing w:before="120" w:after="120" w:line="360" w:lineRule="auto"/>
        <w:ind w:firstLine="424" w:firstLineChars="202"/>
        <w:rPr>
          <w:rFonts w:ascii="宋体" w:hAnsi="宋体" w:eastAsia="宋体" w:cs="宋体"/>
          <w:color w:val="auto"/>
          <w:szCs w:val="24"/>
          <w:highlight w:val="none"/>
          <w:u w:val="single"/>
        </w:rPr>
      </w:pPr>
      <w:r>
        <w:rPr>
          <w:rFonts w:hint="eastAsia" w:ascii="宋体" w:hAnsi="宋体" w:eastAsia="宋体" w:cs="宋体"/>
          <w:color w:val="auto"/>
          <w:szCs w:val="24"/>
          <w:highlight w:val="none"/>
        </w:rPr>
        <w:t>主营（产）：</w:t>
      </w:r>
    </w:p>
    <w:p w14:paraId="1FAFEF9F">
      <w:pPr>
        <w:spacing w:before="120" w:after="120" w:line="360" w:lineRule="auto"/>
        <w:ind w:firstLine="424" w:firstLineChars="202"/>
        <w:rPr>
          <w:rFonts w:ascii="宋体" w:hAnsi="宋体" w:eastAsia="宋体" w:cs="宋体"/>
          <w:color w:val="auto"/>
          <w:szCs w:val="24"/>
          <w:highlight w:val="none"/>
          <w:u w:val="single"/>
        </w:rPr>
      </w:pPr>
      <w:r>
        <w:rPr>
          <w:rFonts w:hint="eastAsia" w:ascii="宋体" w:hAnsi="宋体" w:eastAsia="宋体" w:cs="宋体"/>
          <w:color w:val="auto"/>
          <w:szCs w:val="24"/>
          <w:highlight w:val="none"/>
        </w:rPr>
        <w:t>兼营（产）：</w:t>
      </w:r>
    </w:p>
    <w:p w14:paraId="241AFCA2">
      <w:pPr>
        <w:spacing w:before="120" w:after="120" w:line="360" w:lineRule="auto"/>
        <w:ind w:firstLine="424" w:firstLineChars="202"/>
        <w:rPr>
          <w:rFonts w:ascii="宋体" w:hAnsi="宋体" w:eastAsia="宋体" w:cs="宋体"/>
          <w:color w:val="auto"/>
          <w:szCs w:val="24"/>
          <w:highlight w:val="none"/>
        </w:rPr>
      </w:pPr>
      <w:r>
        <w:rPr>
          <w:rFonts w:hint="eastAsia" w:ascii="宋体" w:hAnsi="宋体" w:eastAsia="宋体" w:cs="宋体"/>
          <w:color w:val="auto"/>
          <w:szCs w:val="24"/>
          <w:highlight w:val="none"/>
        </w:rPr>
        <w:t>附 法定代表人身份证原件扫描件</w:t>
      </w:r>
    </w:p>
    <w:p w14:paraId="4FEDF8F7">
      <w:pPr>
        <w:snapToGrid w:val="0"/>
        <w:spacing w:line="360" w:lineRule="auto"/>
        <w:ind w:firstLine="3465" w:firstLineChars="1650"/>
        <w:rPr>
          <w:rFonts w:ascii="宋体" w:hAnsi="宋体" w:eastAsia="宋体" w:cs="Times New Roman"/>
          <w:color w:val="auto"/>
          <w:kern w:val="3"/>
          <w:szCs w:val="24"/>
          <w:highlight w:val="none"/>
        </w:rPr>
      </w:pPr>
    </w:p>
    <w:p w14:paraId="173E9BEB">
      <w:pPr>
        <w:snapToGrid w:val="0"/>
        <w:spacing w:line="360" w:lineRule="auto"/>
        <w:ind w:firstLine="3465" w:firstLineChars="1650"/>
        <w:rPr>
          <w:rFonts w:ascii="宋体" w:hAnsi="宋体" w:eastAsia="宋体" w:cs="Times New Roman"/>
          <w:color w:val="auto"/>
          <w:kern w:val="3"/>
          <w:szCs w:val="24"/>
          <w:highlight w:val="none"/>
          <w:u w:val="single"/>
        </w:rPr>
      </w:pPr>
      <w:r>
        <w:rPr>
          <w:rFonts w:hint="eastAsia" w:ascii="宋体" w:hAnsi="宋体" w:eastAsia="宋体" w:cs="Times New Roman"/>
          <w:color w:val="auto"/>
          <w:kern w:val="3"/>
          <w:szCs w:val="24"/>
          <w:highlight w:val="none"/>
          <w:lang w:val="en-US" w:eastAsia="zh-CN"/>
        </w:rPr>
        <w:t>投标人</w:t>
      </w:r>
      <w:r>
        <w:rPr>
          <w:rFonts w:ascii="宋体" w:hAnsi="宋体" w:eastAsia="宋体" w:cs="Times New Roman"/>
          <w:color w:val="auto"/>
          <w:kern w:val="3"/>
          <w:szCs w:val="24"/>
          <w:highlight w:val="none"/>
        </w:rPr>
        <w:t>：</w:t>
      </w:r>
      <w:r>
        <w:rPr>
          <w:rFonts w:ascii="宋体" w:hAnsi="宋体" w:eastAsia="宋体" w:cs="Times New Roman"/>
          <w:color w:val="auto"/>
          <w:kern w:val="3"/>
          <w:szCs w:val="24"/>
          <w:highlight w:val="none"/>
          <w:u w:val="single"/>
        </w:rPr>
        <w:t xml:space="preserve">             </w:t>
      </w:r>
      <w:r>
        <w:rPr>
          <w:rFonts w:hint="eastAsia" w:ascii="宋体" w:hAnsi="宋体" w:eastAsia="宋体" w:cs="Times New Roman"/>
          <w:color w:val="auto"/>
          <w:szCs w:val="21"/>
          <w:highlight w:val="none"/>
          <w:u w:val="single"/>
        </w:rPr>
        <w:t>（企业数字证书电子签名）</w:t>
      </w:r>
    </w:p>
    <w:p w14:paraId="53DE7ED3">
      <w:pPr>
        <w:spacing w:before="120" w:after="120" w:line="360" w:lineRule="auto"/>
        <w:ind w:left="340" w:leftChars="162" w:firstLine="474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   年   月   日</w:t>
      </w:r>
    </w:p>
    <w:p w14:paraId="74B2F1AF">
      <w:pPr>
        <w:autoSpaceDE w:val="0"/>
        <w:autoSpaceDN w:val="0"/>
        <w:adjustRightInd w:val="0"/>
        <w:jc w:val="left"/>
        <w:rPr>
          <w:rFonts w:ascii="宋体" w:hAnsi="宋体" w:eastAsia="宋体" w:cs="宋体"/>
          <w:color w:val="auto"/>
          <w:kern w:val="0"/>
          <w:sz w:val="24"/>
          <w:szCs w:val="24"/>
          <w:highlight w:val="none"/>
        </w:rPr>
      </w:pPr>
      <w:r>
        <w:rPr>
          <w:rFonts w:ascii="宋体" w:hAnsi="宋体" w:eastAsia="宋体" w:cs="宋体"/>
          <w:color w:val="auto"/>
          <w:kern w:val="0"/>
          <w:sz w:val="24"/>
          <w:szCs w:val="24"/>
          <w:highlight w:val="none"/>
        </w:rPr>
        <mc:AlternateContent>
          <mc:Choice Requires="wps">
            <w:drawing>
              <wp:anchor distT="0" distB="0" distL="114300" distR="114300" simplePos="0" relativeHeight="251661312" behindDoc="0" locked="0" layoutInCell="1" allowOverlap="1">
                <wp:simplePos x="0" y="0"/>
                <wp:positionH relativeFrom="column">
                  <wp:posOffset>61595</wp:posOffset>
                </wp:positionH>
                <wp:positionV relativeFrom="paragraph">
                  <wp:posOffset>109220</wp:posOffset>
                </wp:positionV>
                <wp:extent cx="2790825" cy="1962150"/>
                <wp:effectExtent l="4445" t="5080" r="5080" b="1397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2790825" cy="1962150"/>
                        </a:xfrm>
                        <a:prstGeom prst="rect">
                          <a:avLst/>
                        </a:prstGeom>
                        <a:solidFill>
                          <a:srgbClr val="FFFFFF"/>
                        </a:solidFill>
                        <a:ln w="9525">
                          <a:solidFill>
                            <a:srgbClr val="000000"/>
                          </a:solidFill>
                          <a:miter lim="800000"/>
                        </a:ln>
                      </wps:spPr>
                      <wps:txbx>
                        <w:txbxContent>
                          <w:p w14:paraId="251B2814"/>
                          <w:p w14:paraId="0D9C6D6A"/>
                          <w:p w14:paraId="55DAD550"/>
                          <w:p w14:paraId="7A11F333"/>
                          <w:p w14:paraId="26AEDD03">
                            <w:pPr>
                              <w:jc w:val="center"/>
                              <w:rPr>
                                <w:rFonts w:hint="eastAsia" w:ascii="宋体" w:hAnsi="宋体" w:eastAsia="宋体" w:cs="宋体"/>
                                <w:szCs w:val="21"/>
                              </w:rPr>
                            </w:pPr>
                            <w:r>
                              <w:rPr>
                                <w:rFonts w:hint="eastAsia" w:ascii="宋体" w:hAnsi="宋体" w:eastAsia="宋体" w:cs="宋体"/>
                                <w:szCs w:val="21"/>
                              </w:rPr>
                              <w:t>法定代表人身份证正面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5pt;margin-top:8.6pt;height:154.5pt;width:219.75pt;z-index:251661312;mso-width-relative:page;mso-height-relative:page;" fillcolor="#FFFFFF" filled="t" stroked="t" coordsize="21600,21600" o:gfxdata="UEsDBAoAAAAAAIdO4kAAAAAAAAAAAAAAAAAEAAAAZHJzL1BLAwQUAAAACACHTuJAWPVhZdgAAAAI&#10;AQAADwAAAGRycy9kb3ducmV2LnhtbE2PQU/DMAyF70j8h8hIXBBL11XtWprugASCGxsIrlnjtRWN&#10;U5KsG/8ec4Kb7ff0/L16c7ajmNGHwZGC5SIBgdQ6M1Cn4O314XYNIkRNRo+OUME3Btg0lxe1row7&#10;0RbnXewEh1CotII+xqmSMrQ9Wh0WbkJi7eC81ZFX30nj9YnD7SjTJMml1QPxh15PeN9j+7k7WgXr&#10;7Gn+CM+rl/c2P4xlvCnmxy+v1PXVMrkDEfEc/8zwi8/o0DDT3h3JBDEqKAs28rlIQbCcZSUPewWr&#10;NE9BNrX8X6D5AVBLAwQUAAAACACHTuJAwQwR00ACAACIBAAADgAAAGRycy9lMm9Eb2MueG1srVTN&#10;btswDL4P2DsIuq9OgqRtjDhFl6DDgO4H6PYAiizHwiRRo5TY3QNsb9DTLrvvufIco+U0C7Jh6GE+&#10;GKJJfSS/j/TsqrWGbRUGDa7gw7MBZ8pJKLVbF/zjh5sXl5yFKFwpDDhV8HsV+NX8+bNZ43M1ghpM&#10;qZARiAt54wtex+jzLAuyVlaEM/DKkbMCtCKSieusRNEQujXZaDA4zxrA0iNIFQJ9XfZOvkfEpwBC&#10;VWmpliA3VrnYo6IyIlJLodY+8HmqtqqUjO+qKqjITMGp05jelITOq+6dzWciX6PwtZb7EsRTSjjp&#10;yQrtKOkBaimiYBvUf0BZLRECVPFMgs36RhIj1MVwcMLNXS28Sr0Q1cEfSA//D1a+3b5HpsuCk+xO&#10;WBJ89/Bt9/3n7sdXdtnR0/iQU9Sdp7jYvoSWhia1GvwtyE+BOVjUwq3VNSI0tRIllTfsbmZHV3uc&#10;0IGsmjdQUh6xiZCA2gptxx2xwQidpLk/SKPayCR9HF1MB5ejCWeSfMPp+Wg4SeJlIn+87jHEVwos&#10;6w4FR9I+wYvtbYhdOSJ/DOmyBTC6vNHGJAPXq4VBthU0JzfpSR2chBnHmoJPJ1TIvyEG6fkbhNWR&#10;1sdoS4wfBxm3J6zjqGcrtqt2L8AKynuiDqEfYFpfOtSAXzhraHgLHj5vBCrOzGtH9E+H43E37ckY&#10;Ty5GZOCxZ3XsEU4SVMEjZ/1xEfsN2XjU65oy9YI7uCbJKp3I7LTtq9rXTQOaON4vU7cBx3aK+v0D&#10;mf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WPVhZdgAAAAIAQAADwAAAAAAAAABACAAAAAiAAAA&#10;ZHJzL2Rvd25yZXYueG1sUEsBAhQAFAAAAAgAh07iQMEMEdNAAgAAiAQAAA4AAAAAAAAAAQAgAAAA&#10;JwEAAGRycy9lMm9Eb2MueG1sUEsFBgAAAAAGAAYAWQEAANkFAAAAAA==&#10;">
                <v:fill on="t" focussize="0,0"/>
                <v:stroke color="#000000" miterlimit="8" joinstyle="miter"/>
                <v:imagedata o:title=""/>
                <o:lock v:ext="edit" aspectratio="f"/>
                <v:textbox>
                  <w:txbxContent>
                    <w:p w14:paraId="251B2814"/>
                    <w:p w14:paraId="0D9C6D6A"/>
                    <w:p w14:paraId="55DAD550"/>
                    <w:p w14:paraId="7A11F333"/>
                    <w:p w14:paraId="26AEDD03">
                      <w:pPr>
                        <w:jc w:val="center"/>
                        <w:rPr>
                          <w:rFonts w:hint="eastAsia" w:ascii="宋体" w:hAnsi="宋体" w:eastAsia="宋体" w:cs="宋体"/>
                          <w:szCs w:val="21"/>
                        </w:rPr>
                      </w:pPr>
                      <w:r>
                        <w:rPr>
                          <w:rFonts w:hint="eastAsia" w:ascii="宋体" w:hAnsi="宋体" w:eastAsia="宋体" w:cs="宋体"/>
                          <w:szCs w:val="21"/>
                        </w:rPr>
                        <w:t>法定代表人身份证正面</w:t>
                      </w:r>
                    </w:p>
                  </w:txbxContent>
                </v:textbox>
              </v:shape>
            </w:pict>
          </mc:Fallback>
        </mc:AlternateContent>
      </w:r>
      <w:r>
        <w:rPr>
          <w:rFonts w:ascii="宋体" w:hAnsi="宋体" w:eastAsia="宋体" w:cs="宋体"/>
          <w:color w:val="auto"/>
          <w:kern w:val="0"/>
          <w:sz w:val="24"/>
          <w:szCs w:val="24"/>
          <w:highlight w:val="none"/>
        </w:rPr>
        <mc:AlternateContent>
          <mc:Choice Requires="wps">
            <w:drawing>
              <wp:anchor distT="0" distB="0" distL="114300" distR="114300" simplePos="0" relativeHeight="251660288" behindDoc="0" locked="0" layoutInCell="1" allowOverlap="1">
                <wp:simplePos x="0" y="0"/>
                <wp:positionH relativeFrom="column">
                  <wp:posOffset>3128645</wp:posOffset>
                </wp:positionH>
                <wp:positionV relativeFrom="paragraph">
                  <wp:posOffset>109220</wp:posOffset>
                </wp:positionV>
                <wp:extent cx="2790825" cy="1962150"/>
                <wp:effectExtent l="4445" t="5080" r="5080" b="1397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2790825" cy="1962150"/>
                        </a:xfrm>
                        <a:prstGeom prst="rect">
                          <a:avLst/>
                        </a:prstGeom>
                        <a:solidFill>
                          <a:srgbClr val="FFFFFF"/>
                        </a:solidFill>
                        <a:ln w="9525">
                          <a:solidFill>
                            <a:srgbClr val="000000"/>
                          </a:solidFill>
                          <a:miter lim="800000"/>
                        </a:ln>
                      </wps:spPr>
                      <wps:txbx>
                        <w:txbxContent>
                          <w:p w14:paraId="39B2F337"/>
                          <w:p w14:paraId="68AD3306"/>
                          <w:p w14:paraId="3198CC9B"/>
                          <w:p w14:paraId="4B609FA4"/>
                          <w:p w14:paraId="56FEB892">
                            <w:pPr>
                              <w:jc w:val="center"/>
                              <w:rPr>
                                <w:rFonts w:hint="eastAsia" w:ascii="宋体" w:hAnsi="宋体" w:eastAsia="宋体" w:cs="宋体"/>
                                <w:szCs w:val="21"/>
                              </w:rPr>
                            </w:pPr>
                            <w:r>
                              <w:rPr>
                                <w:rFonts w:hint="eastAsia" w:ascii="宋体" w:hAnsi="宋体" w:eastAsia="宋体" w:cs="宋体"/>
                                <w:szCs w:val="21"/>
                              </w:rPr>
                              <w:t>法定代表人身份证反面</w:t>
                            </w:r>
                          </w:p>
                          <w:p w14:paraId="12D3F48E">
                            <w:pPr>
                              <w:jc w:val="center"/>
                              <w:rPr>
                                <w:szCs w:val="21"/>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46.35pt;margin-top:8.6pt;height:154.5pt;width:219.75pt;z-index:251660288;mso-width-relative:page;mso-height-relative:page;" fillcolor="#FFFFFF" filled="t" stroked="t" coordsize="21600,21600" o:gfxdata="UEsDBAoAAAAAAIdO4kAAAAAAAAAAAAAAAAAEAAAAZHJzL1BLAwQUAAAACACHTuJAlBFk0dkAAAAK&#10;AQAADwAAAGRycy9kb3ducmV2LnhtbE2Py07DMBBF90j8gzVIbBB16lRJE+J0gQSCHS0Itm48TSL8&#10;CLablr9nWMFuRvfozplmc7aGzRji6J2E5SIDhq7zenS9hLfXh9s1sJiU08p4hxK+McKmvbxoVK39&#10;yW1x3qWeUYmLtZIwpDTVnMduQKviwk/oKDv4YFWiNfRcB3Wicmu4yLKCWzU6ujCoCe8H7D53Ryth&#10;vXqaP+Jz/vLeFQdTpZtyfvwKUl5fLbM7YAnP6Q+GX31Sh5ac9v7odGRGwqoSJaEUlAIYAVUuaNhL&#10;yEUhgLcN//9C+wNQSwMEFAAAAAgAh07iQDZarmZAAgAAiAQAAA4AAABkcnMvZTJvRG9jLnhtbK1U&#10;zW7bMAy+D9g7CLqvToKkbYw4RZegw4DuB+j2AIosx8IkUaOU2N0DbG/Q0y6777nyHKPlNAuyYehh&#10;PhiiSX0kv4/07Kq1hm0VBg2u4MOzAWfKSSi1Wxf844ebF5echShcKQw4VfB7FfjV/PmzWeNzNYIa&#10;TKmQEYgLeeMLXsfo8ywLslZWhDPwypGzArQikonrrETRELo12WgwOM8awNIjSBUCfV32Tr5HxKcA&#10;QlVpqZYgN1a52KOiMiJSS6HWPvB5qraqlIzvqiqoyEzBqdOY3pSEzqvunc1nIl+j8LWW+xLEU0o4&#10;6ckK7SjpAWopomAb1H9AWS0RAlTxTILN+kYSI9TFcHDCzV0tvEq9ENXBH0gP/w9Wvt2+R6bLgk85&#10;c8KS4LuHb7vvP3c/vrJpR0/jQ05Rd57iYvsSWhqa1GrwtyA/BeZgUQu3VteI0NRKlFTesLuZHV3t&#10;cUIHsmreQEl5xCZCAmortB13xAYjdJLm/iCNaiOT9HF0MR1cjiacSfINp+ej4SSJl4n88brHEF8p&#10;sKw7FBxJ+wQvtrchduWI/DGkyxbA6PJGG5MMXK8WBtlW0JzcpCd1cBJmHGuIqQkV8m+IQXr+BmF1&#10;pPUx2hb88jjIuD1hHUc9W7FdtXsBVlDeE3UI/QDT+tKhBvzCWUPDW/DweSNQcWZeO6J/OhyPu2lP&#10;xnhyMSIDjz2rY49wkqAKHjnrj4vYb8jGo17XlKkX3ME1SVbpRGanbV/Vvm4a0MTxfpm6DTi2U9Tv&#10;H8j8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JQRZNHZAAAACgEAAA8AAAAAAAAAAQAgAAAAIgAA&#10;AGRycy9kb3ducmV2LnhtbFBLAQIUABQAAAAIAIdO4kA2Wq5mQAIAAIgEAAAOAAAAAAAAAAEAIAAA&#10;ACgBAABkcnMvZTJvRG9jLnhtbFBLBQYAAAAABgAGAFkBAADaBQAAAAA=&#10;">
                <v:fill on="t" focussize="0,0"/>
                <v:stroke color="#000000" miterlimit="8" joinstyle="miter"/>
                <v:imagedata o:title=""/>
                <o:lock v:ext="edit" aspectratio="f"/>
                <v:textbox>
                  <w:txbxContent>
                    <w:p w14:paraId="39B2F337"/>
                    <w:p w14:paraId="68AD3306"/>
                    <w:p w14:paraId="3198CC9B"/>
                    <w:p w14:paraId="4B609FA4"/>
                    <w:p w14:paraId="56FEB892">
                      <w:pPr>
                        <w:jc w:val="center"/>
                        <w:rPr>
                          <w:rFonts w:hint="eastAsia" w:ascii="宋体" w:hAnsi="宋体" w:eastAsia="宋体" w:cs="宋体"/>
                          <w:szCs w:val="21"/>
                        </w:rPr>
                      </w:pPr>
                      <w:r>
                        <w:rPr>
                          <w:rFonts w:hint="eastAsia" w:ascii="宋体" w:hAnsi="宋体" w:eastAsia="宋体" w:cs="宋体"/>
                          <w:szCs w:val="21"/>
                        </w:rPr>
                        <w:t>法定代表人身份证反面</w:t>
                      </w:r>
                    </w:p>
                    <w:p w14:paraId="12D3F48E">
                      <w:pPr>
                        <w:jc w:val="center"/>
                        <w:rPr>
                          <w:szCs w:val="21"/>
                        </w:rPr>
                      </w:pPr>
                    </w:p>
                  </w:txbxContent>
                </v:textbox>
              </v:shape>
            </w:pict>
          </mc:Fallback>
        </mc:AlternateContent>
      </w:r>
      <w:r>
        <w:rPr>
          <w:rFonts w:ascii="宋体" w:hAnsi="宋体" w:eastAsia="宋体" w:cs="宋体"/>
          <w:color w:val="auto"/>
          <w:kern w:val="0"/>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61595</wp:posOffset>
                </wp:positionH>
                <wp:positionV relativeFrom="paragraph">
                  <wp:posOffset>109220</wp:posOffset>
                </wp:positionV>
                <wp:extent cx="2790825" cy="1962150"/>
                <wp:effectExtent l="4445" t="5080" r="5080" b="1397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2790825" cy="1962150"/>
                        </a:xfrm>
                        <a:prstGeom prst="rect">
                          <a:avLst/>
                        </a:prstGeom>
                        <a:solidFill>
                          <a:srgbClr val="FFFFFF"/>
                        </a:solidFill>
                        <a:ln w="9525">
                          <a:solidFill>
                            <a:srgbClr val="000000"/>
                          </a:solidFill>
                          <a:miter lim="800000"/>
                        </a:ln>
                      </wps:spPr>
                      <wps:txbx>
                        <w:txbxContent>
                          <w:p w14:paraId="5DB24A80"/>
                          <w:p w14:paraId="68ACC32C"/>
                          <w:p w14:paraId="67E05B65"/>
                          <w:p w14:paraId="46A2791D"/>
                          <w:p w14:paraId="75D29ACE">
                            <w:pPr>
                              <w:jc w:val="center"/>
                            </w:pPr>
                            <w:r>
                              <w:rPr>
                                <w:rFonts w:hint="eastAsia"/>
                              </w:rPr>
                              <w:t>身份证正面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5pt;margin-top:8.6pt;height:154.5pt;width:219.75pt;z-index:251659264;mso-width-relative:page;mso-height-relative:page;" fillcolor="#FFFFFF" filled="t" stroked="t" coordsize="21600,21600" o:gfxdata="UEsDBAoAAAAAAIdO4kAAAAAAAAAAAAAAAAAEAAAAZHJzL1BLAwQUAAAACACHTuJAWPVhZdgAAAAI&#10;AQAADwAAAGRycy9kb3ducmV2LnhtbE2PQU/DMAyF70j8h8hIXBBL11XtWprugASCGxsIrlnjtRWN&#10;U5KsG/8ec4Kb7ff0/L16c7ajmNGHwZGC5SIBgdQ6M1Cn4O314XYNIkRNRo+OUME3Btg0lxe1row7&#10;0RbnXewEh1CotII+xqmSMrQ9Wh0WbkJi7eC81ZFX30nj9YnD7SjTJMml1QPxh15PeN9j+7k7WgXr&#10;7Gn+CM+rl/c2P4xlvCnmxy+v1PXVMrkDEfEc/8zwi8/o0DDT3h3JBDEqKAs28rlIQbCcZSUPewWr&#10;NE9BNrX8X6D5AVBLAwQUAAAACACHTuJAB2ZIGUACAACKBAAADgAAAGRycy9lMm9Eb2MueG1srVTN&#10;bhMxEL4j8Q6W73STKGmbVTZVSVSEVH6kwgM4Xm/WwvaYsZPd8gDwBj1x4c5z5TmY9aYhCgj1wB4s&#10;jz3+5ptvZnZ21VrDtgqDBlfw4dmAM+UklNqtC/7xw82LS85CFK4UBpwq+L0K/Gr+/Nms8bkaQQ2m&#10;VMgIxIW88QWvY/R5lgVZKyvCGXjl6LICtCKSieusRNEQujXZaDA4zxrA0iNIFQKdLvtLvkfEpwBC&#10;VWmpliA3VrnYo6IyIlJKodY+8HliW1VKxndVFVRkpuCUaUwrBaH9qluz+UzkaxS+1nJPQTyFwklO&#10;VmhHQQ9QSxEF26D+A8pqiRCgimcSbNYnkhShLIaDE23uauFVyoWkDv4gevh/sPLt9j0yXVInkCRO&#10;WKr47uHb7vvP3Y+vjM5IoMaHnPzuPHnG9iW05JySDf4W5KfAHCxq4dbqGhGaWomSCA67l9nR0x4n&#10;dCCr5g2UFEhsIiSgtkLbqUd6MEInJveH4qg2MkmHo4vp4HI04UzS3XB6PhpOErtM5I/PPYb4SoFl&#10;3abgSNVP8GJ7G2JHR+SPLl20AEaXN9qYZOB6tTDItoI65SZ9KYMTN+NYU/DphIj8G2KQvr9BWB1p&#10;gIy2Bb88djJuL1inUa9WbFftvgArKO9JOoS+hWmAaVMDfuGsofYtePi8Eag4M68dyT8djsddvydj&#10;PLkYkYHHN6vjG+EkQRU8ctZvF7GfkY1Hva4pUl9wB9dUskonMbva9qz2vKlFk8b7cepm4NhOXr9/&#10;IfN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WPVhZdgAAAAIAQAADwAAAAAAAAABACAAAAAiAAAA&#10;ZHJzL2Rvd25yZXYueG1sUEsBAhQAFAAAAAgAh07iQAdmSBlAAgAAigQAAA4AAAAAAAAAAQAgAAAA&#10;JwEAAGRycy9lMm9Eb2MueG1sUEsFBgAAAAAGAAYAWQEAANkFAAAAAA==&#10;">
                <v:fill on="t" focussize="0,0"/>
                <v:stroke color="#000000" miterlimit="8" joinstyle="miter"/>
                <v:imagedata o:title=""/>
                <o:lock v:ext="edit" aspectratio="f"/>
                <v:textbox>
                  <w:txbxContent>
                    <w:p w14:paraId="5DB24A80"/>
                    <w:p w14:paraId="68ACC32C"/>
                    <w:p w14:paraId="67E05B65"/>
                    <w:p w14:paraId="46A2791D"/>
                    <w:p w14:paraId="75D29ACE">
                      <w:pPr>
                        <w:jc w:val="center"/>
                      </w:pPr>
                      <w:r>
                        <w:rPr>
                          <w:rFonts w:hint="eastAsia"/>
                        </w:rPr>
                        <w:t>身份证正面</w:t>
                      </w:r>
                    </w:p>
                  </w:txbxContent>
                </v:textbox>
              </v:shape>
            </w:pict>
          </mc:Fallback>
        </mc:AlternateContent>
      </w:r>
    </w:p>
    <w:p w14:paraId="0202A1BF">
      <w:pPr>
        <w:autoSpaceDE w:val="0"/>
        <w:autoSpaceDN w:val="0"/>
        <w:adjustRightInd w:val="0"/>
        <w:jc w:val="left"/>
        <w:rPr>
          <w:rFonts w:ascii="宋体" w:hAnsi="宋体" w:eastAsia="宋体" w:cs="宋体"/>
          <w:color w:val="auto"/>
          <w:kern w:val="0"/>
          <w:sz w:val="24"/>
          <w:szCs w:val="24"/>
          <w:highlight w:val="none"/>
        </w:rPr>
      </w:pPr>
    </w:p>
    <w:p w14:paraId="3E291F51">
      <w:pPr>
        <w:autoSpaceDE w:val="0"/>
        <w:autoSpaceDN w:val="0"/>
        <w:adjustRightInd w:val="0"/>
        <w:jc w:val="left"/>
        <w:rPr>
          <w:rFonts w:ascii="宋体" w:hAnsi="宋体" w:eastAsia="宋体" w:cs="宋体"/>
          <w:color w:val="auto"/>
          <w:kern w:val="0"/>
          <w:sz w:val="24"/>
          <w:szCs w:val="24"/>
          <w:highlight w:val="none"/>
        </w:rPr>
      </w:pPr>
    </w:p>
    <w:p w14:paraId="7B352669">
      <w:pPr>
        <w:autoSpaceDE w:val="0"/>
        <w:autoSpaceDN w:val="0"/>
        <w:adjustRightInd w:val="0"/>
        <w:jc w:val="left"/>
        <w:rPr>
          <w:rFonts w:ascii="宋体" w:hAnsi="宋体" w:eastAsia="宋体" w:cs="宋体"/>
          <w:color w:val="auto"/>
          <w:kern w:val="0"/>
          <w:sz w:val="24"/>
          <w:szCs w:val="24"/>
          <w:highlight w:val="none"/>
        </w:rPr>
      </w:pPr>
    </w:p>
    <w:p w14:paraId="2BE676C2">
      <w:pPr>
        <w:autoSpaceDE w:val="0"/>
        <w:autoSpaceDN w:val="0"/>
        <w:adjustRightInd w:val="0"/>
        <w:jc w:val="left"/>
        <w:rPr>
          <w:rFonts w:ascii="宋体" w:hAnsi="宋体" w:eastAsia="宋体" w:cs="宋体"/>
          <w:color w:val="auto"/>
          <w:kern w:val="0"/>
          <w:sz w:val="24"/>
          <w:szCs w:val="24"/>
          <w:highlight w:val="none"/>
        </w:rPr>
      </w:pPr>
    </w:p>
    <w:p w14:paraId="1AE730F8">
      <w:pPr>
        <w:autoSpaceDE w:val="0"/>
        <w:autoSpaceDN w:val="0"/>
        <w:adjustRightInd w:val="0"/>
        <w:jc w:val="left"/>
        <w:rPr>
          <w:rFonts w:ascii="宋体" w:hAnsi="宋体" w:eastAsia="宋体" w:cs="宋体"/>
          <w:color w:val="auto"/>
          <w:kern w:val="0"/>
          <w:sz w:val="24"/>
          <w:szCs w:val="24"/>
          <w:highlight w:val="none"/>
        </w:rPr>
      </w:pPr>
    </w:p>
    <w:p w14:paraId="1163568A">
      <w:pPr>
        <w:autoSpaceDE w:val="0"/>
        <w:autoSpaceDN w:val="0"/>
        <w:adjustRightInd w:val="0"/>
        <w:jc w:val="left"/>
        <w:rPr>
          <w:rFonts w:ascii="宋体" w:hAnsi="宋体" w:eastAsia="宋体" w:cs="宋体"/>
          <w:color w:val="auto"/>
          <w:kern w:val="0"/>
          <w:sz w:val="24"/>
          <w:szCs w:val="24"/>
          <w:highlight w:val="none"/>
        </w:rPr>
      </w:pPr>
    </w:p>
    <w:p w14:paraId="187C4035">
      <w:pPr>
        <w:autoSpaceDE w:val="0"/>
        <w:autoSpaceDN w:val="0"/>
        <w:adjustRightInd w:val="0"/>
        <w:jc w:val="left"/>
        <w:rPr>
          <w:rFonts w:ascii="宋体" w:hAnsi="宋体" w:eastAsia="宋体" w:cs="宋体"/>
          <w:color w:val="auto"/>
          <w:kern w:val="0"/>
          <w:sz w:val="24"/>
          <w:szCs w:val="24"/>
          <w:highlight w:val="none"/>
        </w:rPr>
      </w:pPr>
    </w:p>
    <w:p w14:paraId="38750103">
      <w:pPr>
        <w:autoSpaceDE w:val="0"/>
        <w:autoSpaceDN w:val="0"/>
        <w:adjustRightInd w:val="0"/>
        <w:jc w:val="left"/>
        <w:rPr>
          <w:rFonts w:ascii="宋体" w:hAnsi="宋体" w:eastAsia="宋体" w:cs="宋体"/>
          <w:color w:val="auto"/>
          <w:kern w:val="0"/>
          <w:sz w:val="24"/>
          <w:szCs w:val="24"/>
          <w:highlight w:val="none"/>
        </w:rPr>
      </w:pPr>
    </w:p>
    <w:p w14:paraId="0E75B9EE">
      <w:pPr>
        <w:autoSpaceDE w:val="0"/>
        <w:autoSpaceDN w:val="0"/>
        <w:adjustRightInd w:val="0"/>
        <w:jc w:val="left"/>
        <w:rPr>
          <w:rFonts w:ascii="宋体" w:hAnsi="宋体" w:eastAsia="宋体" w:cs="宋体"/>
          <w:color w:val="auto"/>
          <w:kern w:val="0"/>
          <w:sz w:val="24"/>
          <w:szCs w:val="24"/>
          <w:highlight w:val="none"/>
        </w:rPr>
      </w:pPr>
    </w:p>
    <w:p w14:paraId="06BD4663">
      <w:pPr>
        <w:autoSpaceDE w:val="0"/>
        <w:autoSpaceDN w:val="0"/>
        <w:adjustRightInd w:val="0"/>
        <w:jc w:val="left"/>
        <w:rPr>
          <w:rFonts w:ascii="宋体" w:hAnsi="宋体" w:eastAsia="宋体" w:cs="宋体"/>
          <w:b/>
          <w:color w:val="auto"/>
          <w:kern w:val="0"/>
          <w:szCs w:val="21"/>
          <w:highlight w:val="none"/>
        </w:rPr>
      </w:pPr>
    </w:p>
    <w:p w14:paraId="41D297FF">
      <w:pPr>
        <w:autoSpaceDE w:val="0"/>
        <w:autoSpaceDN w:val="0"/>
        <w:adjustRightInd w:val="0"/>
        <w:jc w:val="left"/>
        <w:rPr>
          <w:rFonts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注：法定代表人身份证须在有效期限内。</w:t>
      </w:r>
    </w:p>
    <w:p w14:paraId="385EC36D">
      <w:pPr>
        <w:autoSpaceDE w:val="0"/>
        <w:autoSpaceDN w:val="0"/>
        <w:adjustRightInd w:val="0"/>
        <w:jc w:val="left"/>
        <w:rPr>
          <w:rFonts w:ascii="宋体" w:hAnsi="宋体" w:eastAsia="宋体" w:cs="宋体"/>
          <w:color w:val="auto"/>
          <w:kern w:val="0"/>
          <w:szCs w:val="21"/>
          <w:highlight w:val="none"/>
        </w:rPr>
      </w:pPr>
    </w:p>
    <w:p w14:paraId="5BA28605">
      <w:pPr>
        <w:autoSpaceDE w:val="0"/>
        <w:autoSpaceDN w:val="0"/>
        <w:adjustRightInd w:val="0"/>
        <w:jc w:val="left"/>
        <w:rPr>
          <w:rFonts w:ascii="宋体" w:hAnsi="宋体" w:eastAsia="宋体" w:cs="宋体"/>
          <w:b/>
          <w:color w:val="auto"/>
          <w:kern w:val="0"/>
          <w:szCs w:val="21"/>
          <w:highlight w:val="none"/>
        </w:rPr>
      </w:pPr>
      <w:r>
        <w:rPr>
          <w:rFonts w:hint="eastAsia" w:ascii="宋体" w:hAnsi="宋体" w:eastAsia="宋体" w:cs="宋体"/>
          <w:color w:val="auto"/>
          <w:kern w:val="0"/>
          <w:szCs w:val="21"/>
          <w:highlight w:val="none"/>
        </w:rPr>
        <w:t>说明：由</w:t>
      </w:r>
      <w:r>
        <w:rPr>
          <w:rFonts w:hint="eastAsia" w:ascii="宋体" w:hAnsi="宋体" w:eastAsia="宋体" w:cs="宋体"/>
          <w:color w:val="auto"/>
          <w:kern w:val="0"/>
          <w:szCs w:val="21"/>
          <w:highlight w:val="none"/>
          <w:lang w:eastAsia="zh-CN"/>
        </w:rPr>
        <w:t>投标人</w:t>
      </w:r>
      <w:r>
        <w:rPr>
          <w:rFonts w:hint="eastAsia" w:ascii="宋体" w:hAnsi="宋体" w:eastAsia="宋体" w:cs="宋体"/>
          <w:color w:val="auto"/>
          <w:kern w:val="0"/>
          <w:szCs w:val="21"/>
          <w:highlight w:val="none"/>
        </w:rPr>
        <w:t>使用</w:t>
      </w:r>
      <w:r>
        <w:rPr>
          <w:rFonts w:hint="eastAsia" w:ascii="宋体" w:hAnsi="宋体" w:eastAsia="宋体" w:cs="宋体"/>
          <w:color w:val="auto"/>
          <w:kern w:val="0"/>
          <w:szCs w:val="21"/>
          <w:highlight w:val="none"/>
          <w:lang w:eastAsia="zh-CN"/>
        </w:rPr>
        <w:t>投标人</w:t>
      </w:r>
      <w:r>
        <w:rPr>
          <w:rFonts w:hint="eastAsia" w:ascii="宋体" w:hAnsi="宋体" w:eastAsia="宋体" w:cs="宋体"/>
          <w:color w:val="auto"/>
          <w:kern w:val="0"/>
          <w:szCs w:val="21"/>
          <w:highlight w:val="none"/>
        </w:rPr>
        <w:t>的企业数字证书电子签名。</w:t>
      </w:r>
      <w:r>
        <w:rPr>
          <w:rFonts w:hint="eastAsia" w:ascii="宋体" w:hAnsi="宋体" w:eastAsia="宋体" w:cs="宋体"/>
          <w:color w:val="auto"/>
          <w:szCs w:val="24"/>
          <w:highlight w:val="none"/>
          <w:lang w:val="zh-CN"/>
        </w:rPr>
        <w:br w:type="page"/>
      </w:r>
      <w:r>
        <w:rPr>
          <w:rFonts w:hint="eastAsia" w:ascii="宋体" w:hAnsi="宋体" w:eastAsia="宋体" w:cs="宋体"/>
          <w:b/>
          <w:color w:val="auto"/>
          <w:szCs w:val="24"/>
          <w:highlight w:val="none"/>
        </w:rPr>
        <w:t>（2）法定代表人授权书格式</w:t>
      </w:r>
    </w:p>
    <w:p w14:paraId="68D9FFFB">
      <w:pPr>
        <w:autoSpaceDE w:val="0"/>
        <w:autoSpaceDN w:val="0"/>
        <w:adjustRightInd w:val="0"/>
        <w:spacing w:line="360" w:lineRule="auto"/>
        <w:jc w:val="center"/>
        <w:rPr>
          <w:rFonts w:ascii="宋体" w:hAnsi="宋体" w:eastAsia="宋体" w:cs="宋体"/>
          <w:b/>
          <w:bCs/>
          <w:color w:val="auto"/>
          <w:sz w:val="30"/>
          <w:szCs w:val="30"/>
          <w:highlight w:val="none"/>
          <w:lang w:val="zh-CN"/>
        </w:rPr>
      </w:pPr>
    </w:p>
    <w:p w14:paraId="5088ED31">
      <w:pPr>
        <w:autoSpaceDE w:val="0"/>
        <w:autoSpaceDN w:val="0"/>
        <w:adjustRightInd w:val="0"/>
        <w:spacing w:line="360" w:lineRule="auto"/>
        <w:jc w:val="center"/>
        <w:rPr>
          <w:rFonts w:ascii="宋体" w:hAnsi="宋体" w:eastAsia="宋体" w:cs="宋体"/>
          <w:b/>
          <w:bCs/>
          <w:color w:val="auto"/>
          <w:sz w:val="30"/>
          <w:szCs w:val="30"/>
          <w:highlight w:val="none"/>
          <w:lang w:val="zh-CN"/>
        </w:rPr>
      </w:pPr>
      <w:r>
        <w:rPr>
          <w:rFonts w:hint="eastAsia" w:ascii="宋体" w:hAnsi="宋体" w:eastAsia="宋体" w:cs="宋体"/>
          <w:b/>
          <w:bCs/>
          <w:color w:val="auto"/>
          <w:sz w:val="30"/>
          <w:szCs w:val="30"/>
          <w:highlight w:val="none"/>
          <w:lang w:val="zh-CN"/>
        </w:rPr>
        <w:t>法定代表人授权书</w:t>
      </w:r>
    </w:p>
    <w:p w14:paraId="104F15AE">
      <w:pPr>
        <w:spacing w:before="120" w:after="120" w:line="360" w:lineRule="auto"/>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致：东莞市众源环境投资有限公司</w:t>
      </w:r>
    </w:p>
    <w:p w14:paraId="45E344D9">
      <w:pPr>
        <w:spacing w:before="120" w:after="120" w:line="360" w:lineRule="auto"/>
        <w:ind w:firstLine="630" w:firstLineChars="300"/>
        <w:rPr>
          <w:rFonts w:ascii="宋体" w:hAnsi="宋体" w:eastAsia="宋体" w:cs="宋体"/>
          <w:color w:val="auto"/>
          <w:szCs w:val="21"/>
          <w:highlight w:val="none"/>
        </w:rPr>
      </w:pPr>
      <w:r>
        <w:rPr>
          <w:rFonts w:hint="eastAsia" w:ascii="宋体" w:hAnsi="宋体" w:eastAsia="宋体" w:cs="宋体"/>
          <w:color w:val="auto"/>
          <w:szCs w:val="24"/>
          <w:highlight w:val="none"/>
          <w:lang w:val="zh-CN"/>
        </w:rPr>
        <w:t>本授权书声明：注册于</w:t>
      </w:r>
      <w:r>
        <w:rPr>
          <w:rFonts w:hint="eastAsia" w:ascii="宋体" w:hAnsi="宋体" w:eastAsia="宋体" w:cs="宋体"/>
          <w:color w:val="auto"/>
          <w:szCs w:val="24"/>
          <w:highlight w:val="none"/>
          <w:u w:val="single"/>
          <w:lang w:val="zh-CN"/>
        </w:rPr>
        <w:t xml:space="preserve">       （投标人地址）</w:t>
      </w:r>
      <w:r>
        <w:rPr>
          <w:rFonts w:hint="eastAsia" w:ascii="宋体" w:hAnsi="宋体" w:eastAsia="宋体" w:cs="宋体"/>
          <w:color w:val="auto"/>
          <w:szCs w:val="24"/>
          <w:highlight w:val="none"/>
          <w:lang w:val="zh-CN"/>
        </w:rPr>
        <w:t>的</w:t>
      </w:r>
      <w:r>
        <w:rPr>
          <w:rFonts w:hint="eastAsia" w:ascii="宋体" w:hAnsi="宋体" w:eastAsia="宋体" w:cs="宋体"/>
          <w:color w:val="auto"/>
          <w:szCs w:val="24"/>
          <w:highlight w:val="none"/>
          <w:u w:val="single"/>
          <w:lang w:val="zh-CN"/>
        </w:rPr>
        <w:t xml:space="preserve">           （投标人名称）</w:t>
      </w:r>
      <w:r>
        <w:rPr>
          <w:rFonts w:hint="eastAsia" w:ascii="宋体" w:hAnsi="宋体" w:eastAsia="宋体" w:cs="宋体"/>
          <w:color w:val="auto"/>
          <w:szCs w:val="24"/>
          <w:highlight w:val="none"/>
          <w:lang w:val="zh-CN"/>
        </w:rPr>
        <w:t>在下面签字或盖私章的</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（法定代表人姓名、职务、身份证号码）代表本公司授权在下面签字或盖私章的</w:t>
      </w:r>
      <w:r>
        <w:rPr>
          <w:rFonts w:hint="eastAsia" w:ascii="宋体" w:hAnsi="宋体" w:eastAsia="宋体" w:cs="宋体"/>
          <w:color w:val="auto"/>
          <w:szCs w:val="24"/>
          <w:highlight w:val="none"/>
          <w:u w:val="single"/>
          <w:lang w:val="zh-CN"/>
        </w:rPr>
        <w:t xml:space="preserve">        （被授权人的姓名、职务、身份证号码</w:t>
      </w:r>
      <w:r>
        <w:rPr>
          <w:rFonts w:hint="eastAsia" w:ascii="宋体" w:hAnsi="宋体" w:eastAsia="宋体" w:cs="宋体"/>
          <w:color w:val="auto"/>
          <w:szCs w:val="24"/>
          <w:highlight w:val="none"/>
          <w:lang w:val="zh-CN"/>
        </w:rPr>
        <w:t>）为本公司的合法代表人，签署</w:t>
      </w:r>
      <w:r>
        <w:rPr>
          <w:rFonts w:hint="eastAsia" w:ascii="宋体" w:hAnsi="宋体" w:eastAsia="宋体" w:cs="宋体"/>
          <w:color w:val="auto"/>
          <w:szCs w:val="21"/>
          <w:highlight w:val="none"/>
          <w:u w:val="single"/>
          <w:lang w:eastAsia="zh-CN"/>
        </w:rPr>
        <w:t>东莞市众源环境投资有限公司半干化泥粉外运资源化处置服务供应商202</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u w:val="single"/>
          <w:lang w:eastAsia="zh-CN"/>
        </w:rPr>
        <w:t>年第二次扩增供应商项目</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招标</w:t>
      </w:r>
      <w:r>
        <w:rPr>
          <w:rFonts w:hint="eastAsia" w:ascii="宋体" w:hAnsi="宋体" w:eastAsia="宋体" w:cs="宋体"/>
          <w:color w:val="auto"/>
          <w:szCs w:val="21"/>
          <w:highlight w:val="none"/>
          <w:lang w:val="zh-CN"/>
        </w:rPr>
        <w:t>编号：</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lang w:val="zh-CN"/>
        </w:rPr>
        <w:t>）的投标文件，</w:t>
      </w:r>
      <w:r>
        <w:rPr>
          <w:rFonts w:hint="eastAsia" w:ascii="宋体" w:hAnsi="宋体" w:eastAsia="宋体" w:cs="宋体"/>
          <w:color w:val="auto"/>
          <w:szCs w:val="21"/>
          <w:highlight w:val="none"/>
        </w:rPr>
        <w:t>代表我公司</w:t>
      </w:r>
      <w:r>
        <w:rPr>
          <w:rFonts w:hint="eastAsia" w:ascii="宋体" w:hAnsi="宋体" w:eastAsia="宋体" w:cs="宋体"/>
          <w:color w:val="auto"/>
          <w:szCs w:val="24"/>
          <w:highlight w:val="none"/>
          <w:lang w:val="zh-CN"/>
        </w:rPr>
        <w:t>应评标委员会的要求对投标文件进行澄清、进行合同谈判和签署合同，以我公司的名义处理一切与本次</w:t>
      </w:r>
      <w:r>
        <w:rPr>
          <w:rFonts w:hint="eastAsia" w:ascii="宋体" w:hAnsi="宋体" w:eastAsia="宋体" w:cs="宋体"/>
          <w:color w:val="auto"/>
          <w:szCs w:val="24"/>
          <w:highlight w:val="none"/>
        </w:rPr>
        <w:t>投标</w:t>
      </w:r>
      <w:r>
        <w:rPr>
          <w:rFonts w:hint="eastAsia" w:ascii="宋体" w:hAnsi="宋体" w:eastAsia="宋体" w:cs="宋体"/>
          <w:color w:val="auto"/>
          <w:szCs w:val="24"/>
          <w:highlight w:val="none"/>
          <w:lang w:val="zh-CN"/>
        </w:rPr>
        <w:t>有关的事宜，</w:t>
      </w:r>
      <w:r>
        <w:rPr>
          <w:rFonts w:hint="eastAsia" w:ascii="宋体" w:hAnsi="宋体" w:eastAsia="宋体" w:cs="宋体"/>
          <w:color w:val="auto"/>
          <w:szCs w:val="21"/>
          <w:highlight w:val="none"/>
        </w:rPr>
        <w:t>我承认代理人全权代表我所签署的本项目</w:t>
      </w:r>
      <w:r>
        <w:rPr>
          <w:rFonts w:hint="eastAsia" w:ascii="宋体" w:hAnsi="宋体" w:eastAsia="宋体" w:cs="宋体"/>
          <w:color w:val="auto"/>
          <w:szCs w:val="21"/>
          <w:highlight w:val="none"/>
          <w:lang w:eastAsia="zh-CN"/>
        </w:rPr>
        <w:t>投标文件</w:t>
      </w:r>
      <w:r>
        <w:rPr>
          <w:rFonts w:hint="eastAsia" w:ascii="宋体" w:hAnsi="宋体" w:eastAsia="宋体" w:cs="宋体"/>
          <w:color w:val="auto"/>
          <w:szCs w:val="21"/>
          <w:highlight w:val="none"/>
        </w:rPr>
        <w:t>的内容及</w:t>
      </w:r>
      <w:r>
        <w:rPr>
          <w:rFonts w:hint="eastAsia" w:ascii="宋体" w:hAnsi="宋体" w:eastAsia="宋体" w:cs="宋体"/>
          <w:color w:val="auto"/>
          <w:szCs w:val="24"/>
          <w:highlight w:val="none"/>
          <w:lang w:val="zh-CN"/>
        </w:rPr>
        <w:t>所进行的上述活动。</w:t>
      </w:r>
    </w:p>
    <w:p w14:paraId="5900DB5A">
      <w:pPr>
        <w:spacing w:before="120" w:after="120" w:line="360" w:lineRule="auto"/>
        <w:ind w:firstLine="420" w:firstLineChars="200"/>
        <w:rPr>
          <w:rFonts w:ascii="宋体" w:hAnsi="宋体" w:eastAsia="宋体" w:cs="宋体"/>
          <w:color w:val="auto"/>
          <w:szCs w:val="21"/>
          <w:highlight w:val="none"/>
        </w:rPr>
      </w:pPr>
      <w:r>
        <w:rPr>
          <w:rFonts w:hint="eastAsia" w:ascii="宋体" w:hAnsi="宋体" w:eastAsia="宋体" w:cs="宋体"/>
          <w:color w:val="auto"/>
          <w:szCs w:val="24"/>
          <w:highlight w:val="none"/>
          <w:lang w:val="zh-CN"/>
        </w:rPr>
        <w:t>本授权书于</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年</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月</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日签字生效，有效期至投标文件失效期止，</w:t>
      </w:r>
      <w:r>
        <w:rPr>
          <w:rFonts w:hint="eastAsia" w:ascii="宋体" w:hAnsi="宋体" w:eastAsia="宋体" w:cs="宋体"/>
          <w:color w:val="auto"/>
          <w:szCs w:val="21"/>
          <w:highlight w:val="none"/>
        </w:rPr>
        <w:t>代理人无转委托权，</w:t>
      </w:r>
      <w:r>
        <w:rPr>
          <w:rFonts w:hint="eastAsia" w:ascii="宋体" w:hAnsi="宋体" w:eastAsia="宋体" w:cs="宋体"/>
          <w:color w:val="auto"/>
          <w:szCs w:val="24"/>
          <w:highlight w:val="none"/>
          <w:lang w:val="zh-CN"/>
        </w:rPr>
        <w:t>特此声明。</w:t>
      </w:r>
    </w:p>
    <w:p w14:paraId="4DB88FEC">
      <w:pPr>
        <w:spacing w:before="120" w:after="120" w:line="360" w:lineRule="auto"/>
        <w:ind w:left="348" w:leftChars="136" w:hanging="62"/>
        <w:rPr>
          <w:rFonts w:ascii="宋体" w:hAnsi="宋体" w:eastAsia="宋体" w:cs="宋体"/>
          <w:color w:val="auto"/>
          <w:szCs w:val="24"/>
          <w:highlight w:val="none"/>
        </w:rPr>
      </w:pPr>
    </w:p>
    <w:p w14:paraId="7A63C94A">
      <w:pPr>
        <w:spacing w:before="120" w:after="120" w:line="360" w:lineRule="auto"/>
        <w:ind w:left="4200" w:leftChars="2000" w:firstLine="425"/>
        <w:rPr>
          <w:rFonts w:hint="eastAsia" w:ascii="宋体" w:hAnsi="宋体" w:eastAsia="宋体" w:cs="宋体"/>
          <w:color w:val="auto"/>
          <w:szCs w:val="24"/>
          <w:highlight w:val="none"/>
          <w:u w:val="single"/>
          <w:lang w:val="en-US" w:eastAsia="zh-CN"/>
        </w:rPr>
      </w:pPr>
    </w:p>
    <w:p w14:paraId="79B15D35">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u w:val="none"/>
          <w:lang w:val="en-US" w:eastAsia="zh-CN"/>
        </w:rPr>
        <w:t>投  标  人：</w:t>
      </w:r>
      <w:r>
        <w:rPr>
          <w:rFonts w:hint="eastAsia" w:ascii="宋体" w:hAnsi="宋体" w:eastAsia="宋体" w:cs="宋体"/>
          <w:color w:val="auto"/>
          <w:szCs w:val="24"/>
          <w:highlight w:val="none"/>
          <w:u w:val="single"/>
          <w:lang w:val="en-US" w:eastAsia="zh-CN"/>
        </w:rPr>
        <w:t xml:space="preserve">        </w:t>
      </w:r>
      <w:r>
        <w:rPr>
          <w:rFonts w:hint="eastAsia" w:ascii="宋体" w:hAnsi="宋体" w:eastAsia="宋体" w:cs="宋体"/>
          <w:color w:val="auto"/>
          <w:szCs w:val="24"/>
          <w:highlight w:val="none"/>
          <w:lang w:val="zh-CN"/>
        </w:rPr>
        <w:t>（企业数字证书电子签名）</w:t>
      </w:r>
    </w:p>
    <w:p w14:paraId="05E66C1D">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投标人地址：</w:t>
      </w:r>
    </w:p>
    <w:p w14:paraId="79166197">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法定代表人：</w:t>
      </w:r>
      <w:r>
        <w:rPr>
          <w:rFonts w:hint="eastAsia" w:ascii="宋体" w:hAnsi="宋体" w:eastAsia="宋体" w:cs="宋体"/>
          <w:color w:val="auto"/>
          <w:szCs w:val="24"/>
          <w:highlight w:val="none"/>
          <w:u w:val="single"/>
          <w:lang w:val="en-US" w:eastAsia="zh-CN"/>
        </w:rPr>
        <w:t xml:space="preserve">       </w:t>
      </w:r>
      <w:r>
        <w:rPr>
          <w:rFonts w:hint="eastAsia" w:ascii="宋体" w:hAnsi="宋体" w:eastAsia="宋体" w:cs="宋体"/>
          <w:color w:val="auto"/>
          <w:szCs w:val="24"/>
          <w:highlight w:val="none"/>
          <w:lang w:val="zh-CN"/>
        </w:rPr>
        <w:t>（电子签名）</w:t>
      </w:r>
    </w:p>
    <w:p w14:paraId="797DEA07">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职　　　务：</w:t>
      </w:r>
    </w:p>
    <w:p w14:paraId="7B49F34C">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被授权人：</w:t>
      </w:r>
      <w:r>
        <w:rPr>
          <w:rFonts w:hint="eastAsia" w:ascii="宋体" w:hAnsi="宋体" w:eastAsia="宋体" w:cs="宋体"/>
          <w:color w:val="auto"/>
          <w:szCs w:val="24"/>
          <w:highlight w:val="none"/>
          <w:u w:val="single"/>
          <w:lang w:val="en-US" w:eastAsia="zh-CN"/>
        </w:rPr>
        <w:t xml:space="preserve">         </w:t>
      </w:r>
      <w:r>
        <w:rPr>
          <w:rFonts w:hint="eastAsia" w:ascii="宋体" w:hAnsi="宋体" w:eastAsia="宋体" w:cs="宋体"/>
          <w:color w:val="auto"/>
          <w:szCs w:val="24"/>
          <w:highlight w:val="none"/>
          <w:lang w:val="zh-CN"/>
        </w:rPr>
        <w:t>（电子签名）</w:t>
      </w:r>
    </w:p>
    <w:p w14:paraId="08589170">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职　　　务：</w:t>
      </w:r>
    </w:p>
    <w:p w14:paraId="2EB470AD">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被授权人联系手机：</w:t>
      </w:r>
    </w:p>
    <w:p w14:paraId="22DF2F3E">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电 子 邮 箱：</w:t>
      </w:r>
    </w:p>
    <w:p w14:paraId="64C63A30">
      <w:pPr>
        <w:pStyle w:val="47"/>
        <w:widowControl w:val="0"/>
        <w:snapToGrid w:val="0"/>
        <w:spacing w:before="0" w:beforeAutospacing="0" w:after="0" w:afterAutospacing="0" w:line="360" w:lineRule="auto"/>
        <w:jc w:val="center"/>
        <w:rPr>
          <w:rFonts w:eastAsia="宋体" w:cs="宋体"/>
          <w:b/>
          <w:color w:val="auto"/>
          <w:sz w:val="21"/>
          <w:szCs w:val="21"/>
          <w:highlight w:val="none"/>
          <w:lang w:bidi="ar"/>
        </w:rPr>
      </w:pPr>
    </w:p>
    <w:p w14:paraId="01DD1CBE">
      <w:pPr>
        <w:widowControl/>
        <w:autoSpaceDE w:val="0"/>
        <w:autoSpaceDN w:val="0"/>
        <w:spacing w:before="120" w:after="120" w:line="360" w:lineRule="auto"/>
        <w:ind w:right="781" w:rightChars="372" w:firstLine="422" w:firstLineChars="200"/>
        <w:textAlignment w:val="bottom"/>
        <w:rPr>
          <w:rFonts w:ascii="宋体" w:hAnsi="宋体" w:eastAsia="宋体" w:cs="宋体"/>
          <w:color w:val="auto"/>
          <w:szCs w:val="24"/>
          <w:highlight w:val="none"/>
        </w:rPr>
      </w:pPr>
      <w:r>
        <w:rPr>
          <w:rFonts w:hint="eastAsia" w:ascii="宋体" w:hAnsi="宋体" w:eastAsia="宋体" w:cs="宋体"/>
          <w:b/>
          <w:bCs/>
          <w:color w:val="auto"/>
          <w:sz w:val="21"/>
          <w:szCs w:val="21"/>
          <w:highlight w:val="none"/>
          <w:u w:val="single"/>
          <w:lang w:bidi="ar"/>
        </w:rPr>
        <w:t>说明：由</w:t>
      </w:r>
      <w:r>
        <w:rPr>
          <w:rFonts w:hint="eastAsia" w:ascii="宋体" w:hAnsi="宋体" w:eastAsia="宋体" w:cs="宋体"/>
          <w:b/>
          <w:bCs/>
          <w:color w:val="auto"/>
          <w:sz w:val="21"/>
          <w:szCs w:val="21"/>
          <w:highlight w:val="none"/>
          <w:u w:val="single"/>
          <w:lang w:eastAsia="zh-CN" w:bidi="ar"/>
        </w:rPr>
        <w:t>投标人</w:t>
      </w:r>
      <w:r>
        <w:rPr>
          <w:rFonts w:hint="eastAsia" w:ascii="宋体" w:hAnsi="宋体" w:eastAsia="宋体" w:cs="宋体"/>
          <w:b/>
          <w:bCs/>
          <w:color w:val="auto"/>
          <w:sz w:val="21"/>
          <w:szCs w:val="21"/>
          <w:highlight w:val="none"/>
          <w:u w:val="single"/>
          <w:lang w:bidi="ar"/>
        </w:rPr>
        <w:t>使用</w:t>
      </w:r>
      <w:r>
        <w:rPr>
          <w:rFonts w:hint="eastAsia" w:ascii="宋体" w:hAnsi="宋体" w:eastAsia="宋体" w:cs="宋体"/>
          <w:b/>
          <w:bCs/>
          <w:color w:val="auto"/>
          <w:sz w:val="21"/>
          <w:szCs w:val="21"/>
          <w:highlight w:val="none"/>
          <w:u w:val="single"/>
          <w:lang w:eastAsia="zh-CN" w:bidi="ar"/>
        </w:rPr>
        <w:t>投标人</w:t>
      </w:r>
      <w:r>
        <w:rPr>
          <w:rFonts w:hint="eastAsia" w:ascii="宋体" w:hAnsi="宋体" w:eastAsia="宋体" w:cs="宋体"/>
          <w:b/>
          <w:bCs/>
          <w:color w:val="auto"/>
          <w:sz w:val="21"/>
          <w:szCs w:val="21"/>
          <w:highlight w:val="none"/>
          <w:u w:val="single"/>
          <w:lang w:bidi="ar"/>
        </w:rPr>
        <w:t>的企业数字证书，法定代表人</w:t>
      </w:r>
      <w:r>
        <w:rPr>
          <w:rFonts w:hint="eastAsia" w:ascii="宋体" w:hAnsi="宋体" w:eastAsia="宋体" w:cs="宋体"/>
          <w:b/>
          <w:bCs/>
          <w:color w:val="auto"/>
          <w:sz w:val="21"/>
          <w:szCs w:val="21"/>
          <w:highlight w:val="none"/>
          <w:u w:val="single"/>
          <w:lang w:eastAsia="zh-CN" w:bidi="ar"/>
        </w:rPr>
        <w:t>、</w:t>
      </w:r>
      <w:r>
        <w:rPr>
          <w:rFonts w:hint="eastAsia" w:ascii="宋体" w:hAnsi="宋体" w:eastAsia="宋体" w:cs="宋体"/>
          <w:b/>
          <w:bCs/>
          <w:color w:val="auto"/>
          <w:sz w:val="21"/>
          <w:szCs w:val="21"/>
          <w:highlight w:val="none"/>
          <w:u w:val="single"/>
          <w:lang w:bidi="ar"/>
        </w:rPr>
        <w:t>其授权代表数字证书电子签名。</w:t>
      </w:r>
      <w:r>
        <w:rPr>
          <w:rFonts w:hint="eastAsia" w:ascii="宋体" w:hAnsi="宋体" w:eastAsia="宋体" w:cs="宋体"/>
          <w:color w:val="auto"/>
          <w:szCs w:val="24"/>
          <w:highlight w:val="none"/>
          <w:lang w:val="zh-CN"/>
        </w:rPr>
        <w:br w:type="page"/>
      </w:r>
      <w:r>
        <w:rPr>
          <w:rFonts w:hint="eastAsia" w:ascii="宋体" w:hAnsi="宋体" w:eastAsia="宋体" w:cs="宋体"/>
          <w:color w:val="auto"/>
          <w:szCs w:val="24"/>
          <w:highlight w:val="none"/>
        </w:rPr>
        <w:t>附 法定代表人、被授权人身份证原件扫描件</w:t>
      </w:r>
    </w:p>
    <w:p w14:paraId="1748AA3B">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r>
        <w:rPr>
          <w:rFonts w:ascii="宋体" w:hAnsi="宋体" w:eastAsia="宋体" w:cs="宋体"/>
          <w:color w:val="auto"/>
          <w:szCs w:val="21"/>
          <w:highlight w:val="none"/>
        </w:rPr>
        <mc:AlternateContent>
          <mc:Choice Requires="wps">
            <w:drawing>
              <wp:anchor distT="0" distB="0" distL="114300" distR="114300" simplePos="0" relativeHeight="251664384" behindDoc="0" locked="0" layoutInCell="1" allowOverlap="1">
                <wp:simplePos x="0" y="0"/>
                <wp:positionH relativeFrom="column">
                  <wp:posOffset>3366770</wp:posOffset>
                </wp:positionH>
                <wp:positionV relativeFrom="paragraph">
                  <wp:posOffset>69850</wp:posOffset>
                </wp:positionV>
                <wp:extent cx="2790825" cy="1762125"/>
                <wp:effectExtent l="4445" t="4445" r="5080" b="508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2790825" cy="1762125"/>
                        </a:xfrm>
                        <a:prstGeom prst="rect">
                          <a:avLst/>
                        </a:prstGeom>
                        <a:solidFill>
                          <a:srgbClr val="FFFFFF"/>
                        </a:solidFill>
                        <a:ln w="9525">
                          <a:solidFill>
                            <a:srgbClr val="000000"/>
                          </a:solidFill>
                          <a:miter lim="800000"/>
                        </a:ln>
                      </wps:spPr>
                      <wps:txbx>
                        <w:txbxContent>
                          <w:p w14:paraId="408F1D55"/>
                          <w:p w14:paraId="0F9C6FFB"/>
                          <w:p w14:paraId="141ADE81"/>
                          <w:p w14:paraId="0F6EA431"/>
                          <w:p w14:paraId="6E7AF51C">
                            <w:pPr>
                              <w:jc w:val="center"/>
                              <w:rPr>
                                <w:rFonts w:hint="eastAsia" w:ascii="宋体" w:hAnsi="宋体" w:eastAsia="宋体" w:cs="宋体"/>
                              </w:rPr>
                            </w:pPr>
                            <w:r>
                              <w:rPr>
                                <w:rFonts w:hint="eastAsia" w:ascii="宋体" w:hAnsi="宋体" w:eastAsia="宋体" w:cs="宋体"/>
                              </w:rPr>
                              <w:t>法定代表人身份证反面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65.1pt;margin-top:5.5pt;height:138.75pt;width:219.75pt;z-index:251664384;mso-width-relative:page;mso-height-relative:page;" fillcolor="#FFFFFF" filled="t" stroked="t" coordsize="21600,21600" o:gfxdata="UEsDBAoAAAAAAIdO4kAAAAAAAAAAAAAAAAAEAAAAZHJzL1BLAwQUAAAACACHTuJAaEQPedkAAAAK&#10;AQAADwAAAGRycy9kb3ducmV2LnhtbE2PwU7DMBBE70j8g7VIXBC1k9I0CXF6QALBDQqCqxu7SYS9&#10;Drablr9nOcFxNU+zb5rNyVk2mxBHjxKyhQBmsPN6xF7C2+v9dQksJoVaWY9GwreJsGnPzxpVa3/E&#10;FzNvU8+oBGOtJAwpTTXnsRuMU3HhJ4OU7X1wKtEZeq6DOlK5szwXouBOjUgfBjWZu8F0n9uDk1De&#10;PM4f8Wn5/N4Ve1ulq/X88BWkvLzIxC2wZE7pD4ZffVKHlpx2/oA6MithtRQ5oRRktImAqqjWwHYS&#10;8rJcAW8b/n9C+wNQSwMEFAAAAAgAh07iQKHZzu1AAgAAigQAAA4AAABkcnMvZTJvRG9jLnhtbK1U&#10;zW7bMAy+D9g7CLqvdoKkP0GdokvQYUD3A3R7AFmWbWGSqFFK7O4BtjfYaZfd91x5jtFy2mXdMPQw&#10;HwRSpD6SH0mfX/TWsK3CoMEVfHKUc6achEq7puDv3109O+UsROEqYcCpgt+qwC+WT5+cd36hptCC&#10;qRQyAnFh0fmCtzH6RZYF2SorwhF45chYA1oRScUmq1B0hG5NNs3z46wDrDyCVCHQ7Xo08j0iPgYQ&#10;6lpLtQa5scrFERWVEZFKCq32gS9TtnWtZHxT10FFZgpOlcZ0UhCSy+HMludi0aDwrZb7FMRjUnhQ&#10;kxXaUdB7qLWIgm1Q/wFltUQIUMcjCTYbC0mMUBWT/AE3N63wKtVCVAd/T3r4f7Dy9fYtMl3RJEw4&#10;c8JSx3dfv+y+/dh9/8zojgjqfFiQ340nz9g/h56cU7HBX4P8EJiDVStcoy4RoWuVqCjB9DI7eDri&#10;hAGk7F5BRYHEJkIC6mu0A3vEByN0as7tfXNUH5mky+nJWX46nXMmyTY5OZ5OSKHsMrG4e+4xxBcK&#10;LBuEgiN1P8GL7XWIo+udyxAtgNHVlTYmKdiUK4NsK2hSrtK3R//NzTjWFfxsTrH/DZGn728QVkda&#10;IKNtwU8PnYyjYgbCBo5GtmJf9vsGlFDdEnUI4wjTApPQAn7irKPxLXj4uBGoODMvHdF/NpnNhnlP&#10;ymx+MiUFDy3loUU4SVAFj5yN4iqOO7LxqJuWIo0Nd3BJLat1InNIdcxqnzeNaGrHfp2GHTjUk9ev&#10;X8jy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GhED3nZAAAACgEAAA8AAAAAAAAAAQAgAAAAIgAA&#10;AGRycy9kb3ducmV2LnhtbFBLAQIUABQAAAAIAIdO4kCh2c7tQAIAAIoEAAAOAAAAAAAAAAEAIAAA&#10;ACgBAABkcnMvZTJvRG9jLnhtbFBLBQYAAAAABgAGAFkBAADaBQAAAAA=&#10;">
                <v:fill on="t" focussize="0,0"/>
                <v:stroke color="#000000" miterlimit="8" joinstyle="miter"/>
                <v:imagedata o:title=""/>
                <o:lock v:ext="edit" aspectratio="f"/>
                <v:textbox>
                  <w:txbxContent>
                    <w:p w14:paraId="408F1D55"/>
                    <w:p w14:paraId="0F9C6FFB"/>
                    <w:p w14:paraId="141ADE81"/>
                    <w:p w14:paraId="0F6EA431"/>
                    <w:p w14:paraId="6E7AF51C">
                      <w:pPr>
                        <w:jc w:val="center"/>
                        <w:rPr>
                          <w:rFonts w:hint="eastAsia" w:ascii="宋体" w:hAnsi="宋体" w:eastAsia="宋体" w:cs="宋体"/>
                        </w:rPr>
                      </w:pPr>
                      <w:r>
                        <w:rPr>
                          <w:rFonts w:hint="eastAsia" w:ascii="宋体" w:hAnsi="宋体" w:eastAsia="宋体" w:cs="宋体"/>
                        </w:rPr>
                        <w:t>法定代表人身份证反面</w:t>
                      </w:r>
                    </w:p>
                  </w:txbxContent>
                </v:textbox>
              </v:shape>
            </w:pict>
          </mc:Fallback>
        </mc:AlternateContent>
      </w:r>
      <w:r>
        <w:rPr>
          <w:rFonts w:ascii="宋体" w:hAnsi="宋体" w:eastAsia="宋体" w:cs="宋体"/>
          <w:color w:val="auto"/>
          <w:szCs w:val="21"/>
          <w:highlight w:val="none"/>
        </w:rPr>
        <mc:AlternateContent>
          <mc:Choice Requires="wps">
            <w:drawing>
              <wp:anchor distT="0" distB="0" distL="114300" distR="114300" simplePos="0" relativeHeight="251662336" behindDoc="0" locked="0" layoutInCell="1" allowOverlap="1">
                <wp:simplePos x="0" y="0"/>
                <wp:positionH relativeFrom="column">
                  <wp:posOffset>309245</wp:posOffset>
                </wp:positionH>
                <wp:positionV relativeFrom="paragraph">
                  <wp:posOffset>69850</wp:posOffset>
                </wp:positionV>
                <wp:extent cx="2790825" cy="1762125"/>
                <wp:effectExtent l="4445" t="4445" r="5080" b="508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2790825" cy="1762125"/>
                        </a:xfrm>
                        <a:prstGeom prst="rect">
                          <a:avLst/>
                        </a:prstGeom>
                        <a:solidFill>
                          <a:srgbClr val="FFFFFF"/>
                        </a:solidFill>
                        <a:ln w="9525">
                          <a:solidFill>
                            <a:srgbClr val="000000"/>
                          </a:solidFill>
                          <a:miter lim="800000"/>
                        </a:ln>
                      </wps:spPr>
                      <wps:txbx>
                        <w:txbxContent>
                          <w:p w14:paraId="057368EB"/>
                          <w:p w14:paraId="3ADCA4B4"/>
                          <w:p w14:paraId="5DFF74DF"/>
                          <w:p w14:paraId="4892D05E"/>
                          <w:p w14:paraId="3038068C">
                            <w:pPr>
                              <w:jc w:val="center"/>
                              <w:rPr>
                                <w:rFonts w:hint="eastAsia" w:ascii="宋体" w:hAnsi="宋体" w:eastAsia="宋体" w:cs="宋体"/>
                              </w:rPr>
                            </w:pPr>
                            <w:r>
                              <w:rPr>
                                <w:rFonts w:hint="eastAsia" w:ascii="宋体" w:hAnsi="宋体" w:eastAsia="宋体" w:cs="宋体"/>
                              </w:rPr>
                              <w:t>法定代表人身份证正面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4.35pt;margin-top:5.5pt;height:138.75pt;width:219.75pt;z-index:251662336;mso-width-relative:page;mso-height-relative:page;" fillcolor="#FFFFFF" filled="t" stroked="t" coordsize="21600,21600" o:gfxdata="UEsDBAoAAAAAAIdO4kAAAAAAAAAAAAAAAAAEAAAAZHJzL1BLAwQUAAAACACHTuJAorvl2NgAAAAJ&#10;AQAADwAAAGRycy9kb3ducmV2LnhtbE2PwU7DMBBE70j8g7VIXBB1EkJrQpwekEBwg4Lg6sbbJCJe&#10;B9tNy9+znOC4M6PZN/X66EYxY4iDJw35IgOB1Ho7UKfh7fX+UoGIyZA1oyfU8I0R1s3pSW0q6w/0&#10;gvMmdYJLKFZGQ5/SVEkZ2x6diQs/IbG388GZxGfopA3mwOVulEWWLaUzA/GH3kx412P7udk7Dap8&#10;nD/i09Xze7vcjTfpYjU/fAWtz8/y7BZEwmP6C8MvPqNDw0xbvycbxaihVCtOsp7zJPZLpQoQWw2F&#10;Utcgm1r+X9D8AFBLAwQUAAAACACHTuJAuZQGVz8CAACKBAAADgAAAGRycy9lMm9Eb2MueG1srVTN&#10;btswDL4P2DsIui9OjLRpgzpFlyLDgO4H6PYAiizHwiRRo5TY2QNsb7DTLrvvufIco2W3y7ph6GE+&#10;CKRIfSQ/kr64bK1hO4VBgyv4ZDTmTDkJpXabgr9/t3p2xlmIwpXCgFMF36vALxdPn1w0fq5yqMGU&#10;ChmBuDBvfMHrGP08y4KslRVhBF45MlaAVkRScZOVKBpCtybLx+PTrAEsPYJUIdDtdW/kAyI+BhCq&#10;Skt1DXJrlYs9KiojIpUUau0DX6Rsq0rJ+KaqgorMFJwqjemkICSvuzNbXIj5BoWvtRxSEI9J4UFN&#10;VmhHQe+hrkUUbIv6DyirJUKAKo4k2KwvJDFCVUzGD7i5rYVXqRaiOvh70sP/g5Wvd2+R6ZImIefM&#10;CUsdP3z9cvj24/D9M6M7IqjxYU5+t548Y/scWnJOxQZ/A/JDYA6WtXAbdYUITa1ESQlOupfZ0dMe&#10;J3Qg6+YVlBRIbCMkoLZC27FHfDBCp+bs75uj2sgkXeaz8/FZfsKZJNtkdppPSOliiPndc48hvlBg&#10;WScUHKn7CV7sbkLsXe9cumgBjC5X2pik4Ga9NMh2giZllb4B/Tc341hT8PMTiv1viHH6/gZhdaQF&#10;MtoW/OzYybiBsI6jnq3YrtuhAWso90QdQj/CtMAk1ICfOGtofAsePm4FKs7MS0f0n0+m027ekzI9&#10;meWk4LFlfWwRThJUwSNnvbiM/Y5sPepNTZH6hju4opZVOpHZ9bbPasibRjS1Y1inbgeO9eT16xey&#10;+A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iu+XY2AAAAAkBAAAPAAAAAAAAAAEAIAAAACIAAABk&#10;cnMvZG93bnJldi54bWxQSwECFAAUAAAACACHTuJAuZQGVz8CAACKBAAADgAAAAAAAAABACAAAAAn&#10;AQAAZHJzL2Uyb0RvYy54bWxQSwUGAAAAAAYABgBZAQAA2AUAAAAA&#10;">
                <v:fill on="t" focussize="0,0"/>
                <v:stroke color="#000000" miterlimit="8" joinstyle="miter"/>
                <v:imagedata o:title=""/>
                <o:lock v:ext="edit" aspectratio="f"/>
                <v:textbox>
                  <w:txbxContent>
                    <w:p w14:paraId="057368EB"/>
                    <w:p w14:paraId="3ADCA4B4"/>
                    <w:p w14:paraId="5DFF74DF"/>
                    <w:p w14:paraId="4892D05E"/>
                    <w:p w14:paraId="3038068C">
                      <w:pPr>
                        <w:jc w:val="center"/>
                        <w:rPr>
                          <w:rFonts w:hint="eastAsia" w:ascii="宋体" w:hAnsi="宋体" w:eastAsia="宋体" w:cs="宋体"/>
                        </w:rPr>
                      </w:pPr>
                      <w:r>
                        <w:rPr>
                          <w:rFonts w:hint="eastAsia" w:ascii="宋体" w:hAnsi="宋体" w:eastAsia="宋体" w:cs="宋体"/>
                        </w:rPr>
                        <w:t>法定代表人身份证正面</w:t>
                      </w:r>
                    </w:p>
                  </w:txbxContent>
                </v:textbox>
              </v:shape>
            </w:pict>
          </mc:Fallback>
        </mc:AlternateContent>
      </w:r>
    </w:p>
    <w:p w14:paraId="1A003B69">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27B02858">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336F2331">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3C027E6A">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410DB99D">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18462655">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23FF8261">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0F250854">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3D072A47">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r>
        <w:rPr>
          <w:rFonts w:ascii="宋体" w:hAnsi="宋体" w:eastAsia="宋体" w:cs="宋体"/>
          <w:color w:val="auto"/>
          <w:szCs w:val="21"/>
          <w:highlight w:val="none"/>
        </w:rPr>
        <mc:AlternateContent>
          <mc:Choice Requires="wps">
            <w:drawing>
              <wp:anchor distT="0" distB="0" distL="114300" distR="114300" simplePos="0" relativeHeight="251665408" behindDoc="0" locked="0" layoutInCell="1" allowOverlap="1">
                <wp:simplePos x="0" y="0"/>
                <wp:positionH relativeFrom="column">
                  <wp:posOffset>3366770</wp:posOffset>
                </wp:positionH>
                <wp:positionV relativeFrom="paragraph">
                  <wp:posOffset>102235</wp:posOffset>
                </wp:positionV>
                <wp:extent cx="2743200" cy="1771650"/>
                <wp:effectExtent l="5080" t="4445" r="13970" b="14605"/>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2743200" cy="1771650"/>
                        </a:xfrm>
                        <a:prstGeom prst="rect">
                          <a:avLst/>
                        </a:prstGeom>
                        <a:solidFill>
                          <a:srgbClr val="FFFFFF"/>
                        </a:solidFill>
                        <a:ln w="9525">
                          <a:solidFill>
                            <a:srgbClr val="000000"/>
                          </a:solidFill>
                          <a:miter lim="800000"/>
                        </a:ln>
                      </wps:spPr>
                      <wps:txbx>
                        <w:txbxContent>
                          <w:p w14:paraId="03D509D9"/>
                          <w:p w14:paraId="17051E66">
                            <w:pPr>
                              <w:jc w:val="center"/>
                              <w:rPr>
                                <w:rFonts w:hAnsi="宋体"/>
                                <w:color w:val="FF0000"/>
                              </w:rPr>
                            </w:pPr>
                          </w:p>
                          <w:p w14:paraId="6D84C3D9">
                            <w:pPr>
                              <w:jc w:val="center"/>
                              <w:rPr>
                                <w:rFonts w:hAnsi="宋体"/>
                                <w:color w:val="FF0000"/>
                              </w:rPr>
                            </w:pPr>
                          </w:p>
                          <w:p w14:paraId="57E2F389">
                            <w:pPr>
                              <w:jc w:val="center"/>
                              <w:rPr>
                                <w:rFonts w:hAnsi="宋体"/>
                                <w:color w:val="FF0000"/>
                              </w:rPr>
                            </w:pPr>
                          </w:p>
                          <w:p w14:paraId="014B6BBE">
                            <w:pPr>
                              <w:jc w:val="center"/>
                              <w:rPr>
                                <w:rFonts w:hint="eastAsia" w:ascii="宋体" w:hAnsi="宋体" w:eastAsia="宋体" w:cs="宋体"/>
                              </w:rPr>
                            </w:pPr>
                            <w:r>
                              <w:rPr>
                                <w:rFonts w:hint="eastAsia" w:ascii="宋体" w:hAnsi="宋体" w:eastAsia="宋体" w:cs="宋体"/>
                              </w:rPr>
                              <w:t>被授权人身份证反面</w:t>
                            </w:r>
                          </w:p>
                          <w:p w14:paraId="6D911547"/>
                          <w:p w14:paraId="5AEE6DCB"/>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65.1pt;margin-top:8.05pt;height:139.5pt;width:216pt;z-index:251665408;mso-width-relative:page;mso-height-relative:page;" fillcolor="#FFFFFF" filled="t" stroked="t" coordsize="21600,21600" o:gfxdata="UEsDBAoAAAAAAIdO4kAAAAAAAAAAAAAAAAAEAAAAZHJzL1BLAwQUAAAACACHTuJALYHyI9kAAAAK&#10;AQAADwAAAGRycy9kb3ducmV2LnhtbE2Py07DMBBF90j8gzVIbBC1k9LQhDhdIIFgV0pVtm48TSL8&#10;CLablr9nWMFy5h7dOVOvztawCUMcvJOQzQQwdK3Xg+skbN+fbpfAYlJOK+MdSvjGCKvm8qJWlfYn&#10;94bTJnWMSlyslIQ+pbHiPLY9WhVnfkRH2cEHqxKNoeM6qBOVW8NzIQpu1eDoQq9GfOyx/dwcrYTl&#10;3cv0EV/n611bHEyZbu6n568g5fVVJh6AJTynPxh+9UkdGnLa+6PTkRkJi7nICaWgyIARUBY5LfYS&#10;8nKRAW9q/v+F5gdQSwMEFAAAAAgAh07iQDU8hQhDAgAAigQAAA4AAABkcnMvZTJvRG9jLnhtbK1U&#10;zW7bMAy+D9g7CLovTtKkaY06Rdcgw4DuB+j2AIosx8IkUaOU2NkDrG+w0y6777nyHKPltAu6Dehh&#10;PgikSH0kP5K+uGytYVuFQYMr+Ggw5Ew5CaV264J//LB8ccZZiMKVwoBTBd+pwC/nz59dND5XY6jB&#10;lAoZgbiQN77gdYw+z7Iga2VFGIBXjowVoBWRVFxnJYqG0K3JxsPhadYAlh5BqhDodtEb+QERnwII&#10;VaWlWoDcWOVij4rKiEglhVr7wOcp26pSMr6rqqAiMwWnSmM6KQjJq+7M5hciX6PwtZaHFMRTUnhU&#10;kxXaUdAHqIWIgm1Q/wFltUQIUMWBBJv1hSRGqIrR8BE3t7XwKtVCVAf/QHr4f7Dy7fY9Ml3SJJxw&#10;5oSlju+/3e2//9z/+MrojghqfMjJ79aTZ2xfQkvOqdjgb0B+CszBdS3cWl0hQlMrUVKCo+5ldvS0&#10;xwkdyKp5AyUFEpsICait0HbsER+M0Kk5u4fmqDYySZfj2eSE5oczSbbRbDY6nab2ZSK/f+4xxFcK&#10;LOuEgiN1P8GL7U2IXToiv3fpogUwulxqY5KC69W1QbYVNCnL9KUKHrkZx5qCn0/H056Bf0IM0/c3&#10;CKsjLZDRtuBnx07GHQjrOOrZiu2qPTRgBeWOqEPoR5gWmIQa8AtnDY1vwcPnjUDFmXntiP7z0WTS&#10;zXtSJtPZmBQ8tqyOLcJJgip45KwXr2O/IxuPel1TpL7hDq6oZZVOZHa97bM65E0jmjg+rFO3A8d6&#10;8vr9C5n/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C2B8iPZAAAACgEAAA8AAAAAAAAAAQAgAAAA&#10;IgAAAGRycy9kb3ducmV2LnhtbFBLAQIUABQAAAAIAIdO4kA1PIUIQwIAAIoEAAAOAAAAAAAAAAEA&#10;IAAAACgBAABkcnMvZTJvRG9jLnhtbFBLBQYAAAAABgAGAFkBAADdBQAAAAA=&#10;">
                <v:fill on="t" focussize="0,0"/>
                <v:stroke color="#000000" miterlimit="8" joinstyle="miter"/>
                <v:imagedata o:title=""/>
                <o:lock v:ext="edit" aspectratio="f"/>
                <v:textbox>
                  <w:txbxContent>
                    <w:p w14:paraId="03D509D9"/>
                    <w:p w14:paraId="17051E66">
                      <w:pPr>
                        <w:jc w:val="center"/>
                        <w:rPr>
                          <w:rFonts w:hAnsi="宋体"/>
                          <w:color w:val="FF0000"/>
                        </w:rPr>
                      </w:pPr>
                    </w:p>
                    <w:p w14:paraId="6D84C3D9">
                      <w:pPr>
                        <w:jc w:val="center"/>
                        <w:rPr>
                          <w:rFonts w:hAnsi="宋体"/>
                          <w:color w:val="FF0000"/>
                        </w:rPr>
                      </w:pPr>
                    </w:p>
                    <w:p w14:paraId="57E2F389">
                      <w:pPr>
                        <w:jc w:val="center"/>
                        <w:rPr>
                          <w:rFonts w:hAnsi="宋体"/>
                          <w:color w:val="FF0000"/>
                        </w:rPr>
                      </w:pPr>
                    </w:p>
                    <w:p w14:paraId="014B6BBE">
                      <w:pPr>
                        <w:jc w:val="center"/>
                        <w:rPr>
                          <w:rFonts w:hint="eastAsia" w:ascii="宋体" w:hAnsi="宋体" w:eastAsia="宋体" w:cs="宋体"/>
                        </w:rPr>
                      </w:pPr>
                      <w:r>
                        <w:rPr>
                          <w:rFonts w:hint="eastAsia" w:ascii="宋体" w:hAnsi="宋体" w:eastAsia="宋体" w:cs="宋体"/>
                        </w:rPr>
                        <w:t>被授权人身份证反面</w:t>
                      </w:r>
                    </w:p>
                    <w:p w14:paraId="6D911547"/>
                    <w:p w14:paraId="5AEE6DCB"/>
                  </w:txbxContent>
                </v:textbox>
              </v:shape>
            </w:pict>
          </mc:Fallback>
        </mc:AlternateContent>
      </w:r>
      <w:r>
        <w:rPr>
          <w:rFonts w:ascii="宋体" w:hAnsi="宋体" w:eastAsia="宋体" w:cs="宋体"/>
          <w:color w:val="auto"/>
          <w:szCs w:val="21"/>
          <w:highlight w:val="none"/>
        </w:rPr>
        <mc:AlternateContent>
          <mc:Choice Requires="wps">
            <w:drawing>
              <wp:anchor distT="0" distB="0" distL="114300" distR="114300" simplePos="0" relativeHeight="251663360" behindDoc="0" locked="0" layoutInCell="1" allowOverlap="1">
                <wp:simplePos x="0" y="0"/>
                <wp:positionH relativeFrom="column">
                  <wp:posOffset>309245</wp:posOffset>
                </wp:positionH>
                <wp:positionV relativeFrom="paragraph">
                  <wp:posOffset>102235</wp:posOffset>
                </wp:positionV>
                <wp:extent cx="2743200" cy="1771650"/>
                <wp:effectExtent l="5080" t="4445" r="13970" b="14605"/>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2743200" cy="1771650"/>
                        </a:xfrm>
                        <a:prstGeom prst="rect">
                          <a:avLst/>
                        </a:prstGeom>
                        <a:solidFill>
                          <a:srgbClr val="FFFFFF"/>
                        </a:solidFill>
                        <a:ln w="9525">
                          <a:solidFill>
                            <a:srgbClr val="000000"/>
                          </a:solidFill>
                          <a:miter lim="800000"/>
                        </a:ln>
                      </wps:spPr>
                      <wps:txbx>
                        <w:txbxContent>
                          <w:p w14:paraId="72948B9B"/>
                          <w:p w14:paraId="1F927A14">
                            <w:pPr>
                              <w:jc w:val="center"/>
                              <w:rPr>
                                <w:rFonts w:hAnsi="宋体"/>
                                <w:color w:val="FF0000"/>
                              </w:rPr>
                            </w:pPr>
                          </w:p>
                          <w:p w14:paraId="49CC5D37">
                            <w:pPr>
                              <w:jc w:val="center"/>
                              <w:rPr>
                                <w:rFonts w:hAnsi="宋体"/>
                                <w:color w:val="FF0000"/>
                              </w:rPr>
                            </w:pPr>
                          </w:p>
                          <w:p w14:paraId="6DC415B6">
                            <w:pPr>
                              <w:jc w:val="center"/>
                              <w:rPr>
                                <w:rFonts w:hint="eastAsia" w:ascii="宋体" w:hAnsi="宋体" w:eastAsia="宋体" w:cs="宋体"/>
                                <w:color w:val="FF0000"/>
                              </w:rPr>
                            </w:pPr>
                          </w:p>
                          <w:p w14:paraId="745599C7">
                            <w:pPr>
                              <w:jc w:val="center"/>
                              <w:rPr>
                                <w:rFonts w:hint="eastAsia" w:ascii="宋体" w:hAnsi="宋体" w:eastAsia="宋体" w:cs="宋体"/>
                              </w:rPr>
                            </w:pPr>
                            <w:r>
                              <w:rPr>
                                <w:rFonts w:hint="eastAsia" w:ascii="宋体" w:hAnsi="宋体" w:eastAsia="宋体" w:cs="宋体"/>
                              </w:rPr>
                              <w:t>被授权人身份证正面</w:t>
                            </w:r>
                          </w:p>
                          <w:p w14:paraId="5453DC18"/>
                          <w:p w14:paraId="1A2D3261"/>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4.35pt;margin-top:8.05pt;height:139.5pt;width:216pt;z-index:251663360;mso-width-relative:page;mso-height-relative:page;" fillcolor="#FFFFFF" filled="t" stroked="t" coordsize="21600,21600" o:gfxdata="UEsDBAoAAAAAAIdO4kAAAAAAAAAAAAAAAAAEAAAAZHJzL1BLAwQUAAAACACHTuJAixUQJ9gAAAAJ&#10;AQAADwAAAGRycy9kb3ducmV2LnhtbE2PzU7DMBCE70i8g7VIXBC1U0Kahjg9IIHgVkpVrm68TSL8&#10;E2w3LW/PcoLjzoxmv6lXZ2vYhCEO3knIZgIYutbrwXUStu9PtyWwmJTTyniHEr4xwqq5vKhVpf3J&#10;veG0SR2jEhcrJaFPaaw4j22PVsWZH9GRd/DBqkRn6LgO6kTl1vC5EAW3anD0oVcjPvbYfm6OVkKZ&#10;v0wf8fVuvWuLg1mmm8X0/BWkvL7KxAOwhOf0F4ZffEKHhpj2/uh0ZEZCXi4oSXqRASM/LwUJewnz&#10;5X0GvKn5/wXND1BLAwQUAAAACACHTuJATJvcz0ICAACKBAAADgAAAGRycy9lMm9Eb2MueG1srVTN&#10;jhMxDL4j8Q5R7nTa0m53R52ullZFSMuPtPAAaSbTiUji4KSdWR4A3oATF+481z4Hnkx3qQpIe2AO&#10;kR07n+3P9swvW2vYXmHQ4Ao+Ggw5U05Cqd224B/er5+dcxaicKUw4FTBb1Xgl4unT+aNz9UYajCl&#10;QkYgLuSNL3gdo8+zLMhaWREG4JUjYwVoRSQVt1mJoiF0a7LxcHiWNYClR5AqBLpd9UZ+QMTHAEJV&#10;aalWIHdWudijojIiUkmh1j7wRcq2qpSMb6sqqMhMwanSmE4KQvKmO7PFXORbFL7W8pCCeEwKJzVZ&#10;oR0FfYBaiSjYDvUfUFZLhABVHEiwWV9IYoSqGA1PuLmphVepFqI6+AfSw/+DlW/275DpkiZhwpkT&#10;ljp+9+3r3fefdz++MLojghofcvK78eQZ2xfQknMqNvhrkB8Dc7CshduqK0RoaiVKSnDUvcyOnvY4&#10;oQPZNK+hpEBiFyEBtRXajj3igxE6Nef2oTmqjUzS5Xg2eU7zw5kk22g2G51NU/sykd8/9xjiSwWW&#10;dULBkbqf4MX+OsQuHZHfu3TRAhhdrrUxScHtZmmQ7QVNyjp9qYITN+NYU/CL6XjaM/BPiGH6/gZh&#10;daQFMtoW/PzYybgDYR1HPVux3bSHBmygvCXqEPoRpgUmoQb8zFlD41vw8GknUHFmXjmi/2I0mXTz&#10;npTJdDYmBY8tm2OLcJKgCh4568Vl7Hdk51Fva4rUN9zBFbWs0onMrrd9Voe8aUQTx4d16nbgWE9e&#10;v38hi1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LFRAn2AAAAAkBAAAPAAAAAAAAAAEAIAAAACIA&#10;AABkcnMvZG93bnJldi54bWxQSwECFAAUAAAACACHTuJATJvcz0ICAACKBAAADgAAAAAAAAABACAA&#10;AAAnAQAAZHJzL2Uyb0RvYy54bWxQSwUGAAAAAAYABgBZAQAA2wUAAAAA&#10;">
                <v:fill on="t" focussize="0,0"/>
                <v:stroke color="#000000" miterlimit="8" joinstyle="miter"/>
                <v:imagedata o:title=""/>
                <o:lock v:ext="edit" aspectratio="f"/>
                <v:textbox>
                  <w:txbxContent>
                    <w:p w14:paraId="72948B9B"/>
                    <w:p w14:paraId="1F927A14">
                      <w:pPr>
                        <w:jc w:val="center"/>
                        <w:rPr>
                          <w:rFonts w:hAnsi="宋体"/>
                          <w:color w:val="FF0000"/>
                        </w:rPr>
                      </w:pPr>
                    </w:p>
                    <w:p w14:paraId="49CC5D37">
                      <w:pPr>
                        <w:jc w:val="center"/>
                        <w:rPr>
                          <w:rFonts w:hAnsi="宋体"/>
                          <w:color w:val="FF0000"/>
                        </w:rPr>
                      </w:pPr>
                    </w:p>
                    <w:p w14:paraId="6DC415B6">
                      <w:pPr>
                        <w:jc w:val="center"/>
                        <w:rPr>
                          <w:rFonts w:hint="eastAsia" w:ascii="宋体" w:hAnsi="宋体" w:eastAsia="宋体" w:cs="宋体"/>
                          <w:color w:val="FF0000"/>
                        </w:rPr>
                      </w:pPr>
                    </w:p>
                    <w:p w14:paraId="745599C7">
                      <w:pPr>
                        <w:jc w:val="center"/>
                        <w:rPr>
                          <w:rFonts w:hint="eastAsia" w:ascii="宋体" w:hAnsi="宋体" w:eastAsia="宋体" w:cs="宋体"/>
                        </w:rPr>
                      </w:pPr>
                      <w:r>
                        <w:rPr>
                          <w:rFonts w:hint="eastAsia" w:ascii="宋体" w:hAnsi="宋体" w:eastAsia="宋体" w:cs="宋体"/>
                        </w:rPr>
                        <w:t>被授权人身份证正面</w:t>
                      </w:r>
                    </w:p>
                    <w:p w14:paraId="5453DC18"/>
                    <w:p w14:paraId="1A2D3261"/>
                  </w:txbxContent>
                </v:textbox>
              </v:shape>
            </w:pict>
          </mc:Fallback>
        </mc:AlternateContent>
      </w:r>
    </w:p>
    <w:p w14:paraId="53D71B8F">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78ED4D0B">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780627BF">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7D6204F9">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4F3F5FF0">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6139F232">
      <w:pPr>
        <w:widowControl/>
        <w:autoSpaceDE w:val="0"/>
        <w:autoSpaceDN w:val="0"/>
        <w:spacing w:before="120" w:after="120" w:line="360" w:lineRule="auto"/>
        <w:ind w:right="781" w:rightChars="372" w:firstLine="422" w:firstLineChars="200"/>
        <w:textAlignment w:val="bottom"/>
        <w:rPr>
          <w:rFonts w:ascii="宋体" w:hAnsi="宋体" w:eastAsia="宋体" w:cs="宋体"/>
          <w:b/>
          <w:color w:val="auto"/>
          <w:szCs w:val="24"/>
          <w:highlight w:val="none"/>
        </w:rPr>
        <w:sectPr>
          <w:footerReference r:id="rId8" w:type="first"/>
          <w:footerReference r:id="rId7" w:type="default"/>
          <w:pgSz w:w="12240" w:h="15840"/>
          <w:pgMar w:top="1191" w:right="1043" w:bottom="1191" w:left="1043" w:header="720" w:footer="720" w:gutter="0"/>
          <w:pgNumType w:fmt="decimal"/>
          <w:cols w:space="720" w:num="1"/>
          <w:titlePg/>
          <w:docGrid w:linePitch="326" w:charSpace="0"/>
        </w:sectPr>
      </w:pPr>
      <w:r>
        <w:rPr>
          <w:rFonts w:hint="eastAsia" w:ascii="宋体" w:hAnsi="宋体" w:eastAsia="宋体" w:cs="宋体"/>
          <w:b/>
          <w:color w:val="auto"/>
          <w:szCs w:val="24"/>
          <w:highlight w:val="none"/>
        </w:rPr>
        <w:t>注：上述所附身份证应在有效期限内。</w:t>
      </w:r>
    </w:p>
    <w:p w14:paraId="003396CB">
      <w:pPr>
        <w:autoSpaceDE/>
        <w:autoSpaceDN/>
        <w:adjustRightInd/>
        <w:spacing w:line="360" w:lineRule="auto"/>
        <w:jc w:val="left"/>
        <w:outlineLvl w:val="3"/>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lang w:val="en-US" w:eastAsia="zh-CN"/>
        </w:rPr>
        <w:t>4.4 投标人</w:t>
      </w:r>
      <w:r>
        <w:rPr>
          <w:rFonts w:hint="default" w:ascii="宋体" w:hAnsi="宋体" w:eastAsia="宋体" w:cs="宋体"/>
          <w:b/>
          <w:color w:val="auto"/>
          <w:kern w:val="0"/>
          <w:sz w:val="30"/>
          <w:szCs w:val="30"/>
          <w:highlight w:val="none"/>
          <w:lang w:val="en-US" w:eastAsia="zh-CN"/>
        </w:rPr>
        <w:t>提供其</w:t>
      </w:r>
      <w:r>
        <w:rPr>
          <w:rFonts w:hint="eastAsia" w:ascii="宋体" w:hAnsi="宋体" w:eastAsia="宋体" w:cs="宋体"/>
          <w:b/>
          <w:color w:val="auto"/>
          <w:kern w:val="0"/>
          <w:sz w:val="30"/>
          <w:szCs w:val="30"/>
          <w:highlight w:val="none"/>
          <w:lang w:val="en-US" w:eastAsia="zh-CN"/>
        </w:rPr>
        <w:t>泥粉/污泥处置场所已取得的生态环境主管部门环境影响评价文件[场所包含市政（生活/城市/城镇污水处理厂、净水厂）泥粉/污泥处理或处置相关内容]的批复文件原件扫描件或该场所已取得地级市（或以上）生态环境主管部门同意其处置泥粉/污泥的批复文件原件扫描件，且提供前述泥粉/污泥处置场所环境保护（设施）验收合格证明材料原件扫描件或已取得生态环境主管部门的环保验收批复原件扫描件</w:t>
      </w:r>
    </w:p>
    <w:p w14:paraId="6DCBB0D0">
      <w:pPr>
        <w:tabs>
          <w:tab w:val="left" w:pos="567"/>
        </w:tabs>
        <w:spacing w:line="360" w:lineRule="auto"/>
        <w:ind w:left="630" w:hanging="630" w:hangingChars="300"/>
        <w:rPr>
          <w:rFonts w:hint="eastAsia" w:ascii="宋体" w:hAnsi="宋体" w:eastAsia="宋体" w:cs="宋体"/>
          <w:bCs/>
          <w:sz w:val="21"/>
          <w:szCs w:val="21"/>
          <w:highlight w:val="none"/>
        </w:rPr>
      </w:pPr>
    </w:p>
    <w:p w14:paraId="3FB4C250">
      <w:pPr>
        <w:tabs>
          <w:tab w:val="left" w:pos="567"/>
        </w:tabs>
        <w:spacing w:line="360" w:lineRule="auto"/>
        <w:ind w:left="630" w:hanging="630" w:hangingChars="300"/>
        <w:rPr>
          <w:rFonts w:hint="eastAsia" w:ascii="宋体" w:hAnsi="宋体" w:eastAsia="宋体" w:cs="宋体"/>
          <w:bCs/>
          <w:sz w:val="21"/>
          <w:szCs w:val="21"/>
          <w:highlight w:val="none"/>
        </w:rPr>
      </w:pPr>
      <w:r>
        <w:rPr>
          <w:rFonts w:hint="eastAsia" w:ascii="宋体" w:hAnsi="宋体" w:eastAsia="宋体" w:cs="宋体"/>
          <w:bCs/>
          <w:sz w:val="21"/>
          <w:szCs w:val="21"/>
          <w:highlight w:val="none"/>
        </w:rPr>
        <w:t>备注：</w:t>
      </w:r>
    </w:p>
    <w:p w14:paraId="37682F4E">
      <w:pPr>
        <w:tabs>
          <w:tab w:val="left" w:pos="567"/>
        </w:tabs>
        <w:spacing w:line="360" w:lineRule="auto"/>
        <w:ind w:left="504" w:leftChars="0" w:hanging="504" w:hangingChars="240"/>
        <w:rPr>
          <w:rFonts w:hint="eastAsia" w:ascii="宋体" w:hAnsi="宋体" w:eastAsia="宋体" w:cs="宋体"/>
          <w:bCs/>
          <w:sz w:val="21"/>
          <w:szCs w:val="21"/>
          <w:highlight w:val="none"/>
        </w:rPr>
      </w:pPr>
      <w:r>
        <w:rPr>
          <w:rFonts w:hint="eastAsia" w:ascii="宋体" w:hAnsi="宋体" w:eastAsia="宋体" w:cs="宋体"/>
          <w:bCs/>
          <w:sz w:val="21"/>
          <w:szCs w:val="21"/>
          <w:highlight w:val="none"/>
        </w:rPr>
        <w:t>（1）“污水处理厂半干化泥粉项目”不接受填埋、污泥未经高温处理的建材利用类和土地利用（肥料生产制造）类的处置方式</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lang w:val="en-US" w:eastAsia="zh-CN"/>
        </w:rPr>
        <w:t>如投标人提供的资格证明文件反映的处置方式为上述方式时，将被视为无效投标</w:t>
      </w:r>
      <w:r>
        <w:rPr>
          <w:rFonts w:hint="eastAsia" w:ascii="宋体" w:hAnsi="宋体" w:eastAsia="宋体" w:cs="宋体"/>
          <w:bCs/>
          <w:sz w:val="21"/>
          <w:szCs w:val="21"/>
          <w:highlight w:val="none"/>
        </w:rPr>
        <w:t>。</w:t>
      </w:r>
    </w:p>
    <w:p w14:paraId="171B0E73">
      <w:pPr>
        <w:tabs>
          <w:tab w:val="left" w:pos="567"/>
        </w:tabs>
        <w:spacing w:line="360" w:lineRule="auto"/>
        <w:ind w:left="504" w:leftChars="0" w:hanging="504" w:hangingChars="240"/>
        <w:rPr>
          <w:rFonts w:hint="eastAsia" w:ascii="宋体" w:hAnsi="宋体" w:eastAsia="宋体" w:cs="宋体"/>
          <w:bCs/>
          <w:sz w:val="21"/>
          <w:szCs w:val="21"/>
          <w:highlight w:val="none"/>
        </w:rPr>
      </w:pPr>
      <w:r>
        <w:rPr>
          <w:rFonts w:hint="eastAsia" w:ascii="宋体" w:hAnsi="宋体" w:eastAsia="宋体" w:cs="宋体"/>
          <w:bCs/>
          <w:sz w:val="21"/>
          <w:szCs w:val="21"/>
          <w:highlight w:val="none"/>
        </w:rPr>
        <w:t>（</w:t>
      </w:r>
      <w:r>
        <w:rPr>
          <w:rFonts w:hint="eastAsia" w:ascii="宋体" w:hAnsi="宋体" w:eastAsia="宋体" w:cs="宋体"/>
          <w:bCs/>
          <w:sz w:val="21"/>
          <w:szCs w:val="21"/>
          <w:highlight w:val="none"/>
          <w:lang w:val="en-US"/>
        </w:rPr>
        <w:t>2</w:t>
      </w:r>
      <w:r>
        <w:rPr>
          <w:rFonts w:hint="eastAsia" w:ascii="宋体" w:hAnsi="宋体" w:eastAsia="宋体" w:cs="宋体"/>
          <w:bCs/>
          <w:sz w:val="21"/>
          <w:szCs w:val="21"/>
          <w:highlight w:val="none"/>
        </w:rPr>
        <w:t>）</w:t>
      </w:r>
      <w:r>
        <w:rPr>
          <w:rFonts w:hint="eastAsia" w:ascii="宋体" w:hAnsi="宋体" w:eastAsia="宋体" w:cs="宋体"/>
          <w:bCs/>
          <w:sz w:val="21"/>
          <w:szCs w:val="21"/>
          <w:highlight w:val="none"/>
          <w:lang w:eastAsia="zh-CN"/>
        </w:rPr>
        <w:t>投标人</w:t>
      </w:r>
      <w:r>
        <w:rPr>
          <w:rFonts w:hint="eastAsia" w:ascii="宋体" w:hAnsi="宋体" w:eastAsia="宋体" w:cs="宋体"/>
          <w:bCs/>
          <w:sz w:val="21"/>
          <w:szCs w:val="21"/>
          <w:highlight w:val="none"/>
        </w:rPr>
        <w:t>提供的文件或证明材料中需包含</w:t>
      </w:r>
      <w:r>
        <w:rPr>
          <w:rFonts w:hint="eastAsia" w:ascii="宋体" w:hAnsi="宋体" w:eastAsia="宋体" w:cs="宋体"/>
          <w:bCs/>
          <w:sz w:val="21"/>
          <w:szCs w:val="21"/>
          <w:highlight w:val="none"/>
          <w:lang w:eastAsia="zh-CN"/>
        </w:rPr>
        <w:t>投标人</w:t>
      </w:r>
      <w:r>
        <w:rPr>
          <w:rFonts w:hint="eastAsia" w:ascii="宋体" w:hAnsi="宋体" w:eastAsia="宋体" w:cs="宋体"/>
          <w:bCs/>
          <w:sz w:val="21"/>
          <w:szCs w:val="21"/>
          <w:highlight w:val="none"/>
        </w:rPr>
        <w:t>名称，若</w:t>
      </w:r>
      <w:r>
        <w:rPr>
          <w:rFonts w:hint="eastAsia" w:ascii="宋体" w:hAnsi="宋体" w:eastAsia="宋体" w:cs="宋体"/>
          <w:bCs/>
          <w:sz w:val="21"/>
          <w:szCs w:val="21"/>
          <w:highlight w:val="none"/>
          <w:lang w:eastAsia="zh-CN"/>
        </w:rPr>
        <w:t>投标人</w:t>
      </w:r>
      <w:r>
        <w:rPr>
          <w:rFonts w:hint="eastAsia" w:ascii="宋体" w:hAnsi="宋体" w:eastAsia="宋体" w:cs="宋体"/>
          <w:bCs/>
          <w:sz w:val="21"/>
          <w:szCs w:val="21"/>
          <w:highlight w:val="none"/>
        </w:rPr>
        <w:t>因公司名称变更导致文件或证明材料中名称和</w:t>
      </w:r>
      <w:r>
        <w:rPr>
          <w:rFonts w:hint="eastAsia" w:ascii="宋体" w:hAnsi="宋体" w:eastAsia="宋体" w:cs="宋体"/>
          <w:bCs/>
          <w:sz w:val="21"/>
          <w:szCs w:val="21"/>
          <w:highlight w:val="none"/>
          <w:lang w:eastAsia="zh-CN"/>
        </w:rPr>
        <w:t>投标人</w:t>
      </w:r>
      <w:r>
        <w:rPr>
          <w:rFonts w:hint="eastAsia" w:ascii="宋体" w:hAnsi="宋体" w:eastAsia="宋体" w:cs="宋体"/>
          <w:bCs/>
          <w:sz w:val="21"/>
          <w:szCs w:val="21"/>
          <w:highlight w:val="none"/>
        </w:rPr>
        <w:t>名称不一致，需提供公司名称变更登记通知书</w:t>
      </w:r>
      <w:r>
        <w:rPr>
          <w:rFonts w:hint="eastAsia" w:ascii="宋体" w:hAnsi="宋体" w:eastAsia="宋体" w:cs="宋体"/>
          <w:bCs/>
          <w:sz w:val="21"/>
          <w:szCs w:val="21"/>
          <w:highlight w:val="none"/>
          <w:lang w:val="en-US" w:eastAsia="zh-CN"/>
        </w:rPr>
        <w:t>扫描</w:t>
      </w:r>
      <w:r>
        <w:rPr>
          <w:rFonts w:hint="eastAsia" w:ascii="宋体" w:hAnsi="宋体" w:eastAsia="宋体" w:cs="宋体"/>
          <w:bCs/>
          <w:sz w:val="21"/>
          <w:szCs w:val="21"/>
          <w:highlight w:val="none"/>
        </w:rPr>
        <w:t>件。</w:t>
      </w:r>
    </w:p>
    <w:p w14:paraId="74B26BAB">
      <w:pPr>
        <w:tabs>
          <w:tab w:val="left" w:pos="567"/>
        </w:tabs>
        <w:spacing w:line="360" w:lineRule="auto"/>
        <w:ind w:left="504" w:hanging="506" w:hangingChars="240"/>
        <w:rPr>
          <w:rFonts w:hint="eastAsia" w:ascii="宋体" w:hAnsi="宋体" w:eastAsia="宋体" w:cs="宋体"/>
          <w:b/>
          <w:color w:val="auto"/>
          <w:kern w:val="2"/>
          <w:sz w:val="21"/>
          <w:szCs w:val="21"/>
          <w:highlight w:val="none"/>
        </w:rPr>
      </w:pPr>
      <w:r>
        <w:rPr>
          <w:rFonts w:hint="eastAsia" w:ascii="宋体" w:hAnsi="宋体" w:eastAsia="宋体" w:cs="宋体"/>
          <w:b/>
          <w:color w:val="auto"/>
          <w:kern w:val="2"/>
          <w:sz w:val="21"/>
          <w:szCs w:val="21"/>
          <w:highlight w:val="none"/>
        </w:rPr>
        <w:br w:type="page"/>
      </w:r>
    </w:p>
    <w:bookmarkEnd w:id="654"/>
    <w:bookmarkEnd w:id="655"/>
    <w:bookmarkEnd w:id="656"/>
    <w:bookmarkEnd w:id="697"/>
    <w:bookmarkEnd w:id="698"/>
    <w:bookmarkEnd w:id="699"/>
    <w:bookmarkEnd w:id="711"/>
    <w:bookmarkEnd w:id="723"/>
    <w:bookmarkEnd w:id="724"/>
    <w:bookmarkEnd w:id="725"/>
    <w:bookmarkEnd w:id="726"/>
    <w:bookmarkEnd w:id="727"/>
    <w:bookmarkEnd w:id="728"/>
    <w:bookmarkEnd w:id="729"/>
    <w:bookmarkEnd w:id="730"/>
    <w:bookmarkEnd w:id="731"/>
    <w:bookmarkEnd w:id="732"/>
    <w:bookmarkEnd w:id="733"/>
    <w:p w14:paraId="3AFA1B0A">
      <w:pPr>
        <w:pageBreakBefore w:val="0"/>
        <w:spacing w:line="360" w:lineRule="auto"/>
        <w:jc w:val="left"/>
        <w:outlineLvl w:val="3"/>
        <w:rPr>
          <w:rFonts w:hAnsiTheme="minorHAnsi"/>
          <w:b w:val="0"/>
          <w:color w:val="auto"/>
          <w:sz w:val="21"/>
          <w:szCs w:val="22"/>
          <w:highlight w:val="none"/>
          <w:lang w:val="zh-CN"/>
        </w:rPr>
      </w:pPr>
      <w:bookmarkStart w:id="734" w:name="_Toc195714386"/>
      <w:bookmarkStart w:id="735" w:name="_Toc12400"/>
      <w:bookmarkStart w:id="736" w:name="_Toc15716"/>
      <w:bookmarkStart w:id="737" w:name="_Toc32328"/>
      <w:bookmarkStart w:id="738" w:name="_Toc21507"/>
      <w:bookmarkStart w:id="739" w:name="_Toc1977730"/>
      <w:bookmarkStart w:id="740" w:name="_Toc104991880"/>
      <w:bookmarkStart w:id="741" w:name="_Toc94107214"/>
      <w:bookmarkStart w:id="742" w:name="_Toc142508373"/>
      <w:bookmarkStart w:id="743" w:name="_Toc140596933"/>
      <w:r>
        <w:rPr>
          <w:rFonts w:hint="eastAsia" w:ascii="宋体" w:hAnsi="宋体" w:eastAsia="宋体" w:cs="宋体"/>
          <w:b/>
          <w:color w:val="auto"/>
          <w:kern w:val="0"/>
          <w:sz w:val="30"/>
          <w:szCs w:val="30"/>
          <w:highlight w:val="none"/>
          <w:lang w:val="en-US" w:eastAsia="zh-CN"/>
        </w:rPr>
        <w:t>4</w:t>
      </w:r>
      <w:r>
        <w:rPr>
          <w:rFonts w:hint="default" w:ascii="宋体" w:hAnsi="宋体" w:eastAsia="宋体" w:cs="宋体"/>
          <w:b/>
          <w:color w:val="auto"/>
          <w:kern w:val="0"/>
          <w:sz w:val="30"/>
          <w:szCs w:val="30"/>
          <w:highlight w:val="none"/>
        </w:rPr>
        <w:t>.</w:t>
      </w:r>
      <w:r>
        <w:rPr>
          <w:rFonts w:hint="eastAsia" w:ascii="宋体" w:hAnsi="宋体" w:eastAsia="宋体" w:cs="宋体"/>
          <w:b/>
          <w:color w:val="auto"/>
          <w:kern w:val="0"/>
          <w:sz w:val="30"/>
          <w:szCs w:val="30"/>
          <w:highlight w:val="none"/>
          <w:lang w:val="en-US" w:eastAsia="zh-CN"/>
        </w:rPr>
        <w:t>5</w:t>
      </w:r>
      <w:r>
        <w:rPr>
          <w:rFonts w:hint="eastAsia" w:ascii="宋体" w:hAnsi="宋体" w:eastAsia="宋体" w:cs="宋体"/>
          <w:b/>
          <w:color w:val="auto"/>
          <w:kern w:val="0"/>
          <w:sz w:val="30"/>
          <w:szCs w:val="30"/>
          <w:highlight w:val="none"/>
        </w:rPr>
        <w:t xml:space="preserve"> </w:t>
      </w:r>
      <w:r>
        <w:rPr>
          <w:rFonts w:hint="eastAsia" w:ascii="宋体" w:hAnsi="宋体" w:eastAsia="宋体" w:cs="宋体"/>
          <w:b/>
          <w:color w:val="auto"/>
          <w:kern w:val="0"/>
          <w:sz w:val="30"/>
          <w:szCs w:val="30"/>
          <w:highlight w:val="none"/>
          <w:lang w:eastAsia="zh-CN"/>
        </w:rPr>
        <w:t>投标人</w:t>
      </w:r>
      <w:r>
        <w:rPr>
          <w:rFonts w:hint="default" w:ascii="宋体" w:hAnsi="宋体" w:eastAsia="宋体" w:cs="宋体"/>
          <w:b/>
          <w:color w:val="auto"/>
          <w:kern w:val="0"/>
          <w:sz w:val="30"/>
          <w:szCs w:val="30"/>
          <w:highlight w:val="none"/>
        </w:rPr>
        <w:t>的泥粉/污泥处置</w:t>
      </w:r>
      <w:r>
        <w:rPr>
          <w:rFonts w:hint="eastAsia" w:ascii="宋体" w:hAnsi="宋体" w:eastAsia="宋体" w:cs="宋体"/>
          <w:b/>
          <w:color w:val="auto"/>
          <w:kern w:val="0"/>
          <w:sz w:val="30"/>
          <w:szCs w:val="30"/>
          <w:highlight w:val="none"/>
          <w:lang w:val="en-US" w:eastAsia="zh-CN"/>
        </w:rPr>
        <w:t>场所</w:t>
      </w:r>
      <w:r>
        <w:rPr>
          <w:rFonts w:hint="eastAsia" w:ascii="宋体" w:hAnsi="宋体" w:eastAsia="宋体" w:cs="宋体"/>
          <w:b/>
          <w:color w:val="auto"/>
          <w:kern w:val="0"/>
          <w:sz w:val="30"/>
          <w:szCs w:val="30"/>
          <w:highlight w:val="none"/>
          <w:lang w:eastAsia="zh-CN"/>
        </w:rPr>
        <w:t>生产的产品</w:t>
      </w:r>
      <w:r>
        <w:rPr>
          <w:rFonts w:hint="default" w:ascii="宋体" w:hAnsi="宋体" w:eastAsia="宋体" w:cs="宋体"/>
          <w:b/>
          <w:color w:val="auto"/>
          <w:kern w:val="0"/>
          <w:sz w:val="30"/>
          <w:szCs w:val="30"/>
          <w:highlight w:val="none"/>
        </w:rPr>
        <w:t>属于主管部门规定需取得生产许可资质要求的，提供已取得所属行业主管部门的生产许可资质证明</w:t>
      </w:r>
      <w:r>
        <w:rPr>
          <w:rFonts w:hint="default" w:ascii="宋体" w:hAnsi="宋体" w:eastAsia="宋体" w:cs="宋体"/>
          <w:b/>
          <w:color w:val="auto"/>
          <w:kern w:val="0"/>
          <w:sz w:val="30"/>
          <w:szCs w:val="30"/>
          <w:highlight w:val="none"/>
          <w:lang w:val="en-US" w:eastAsia="zh-CN"/>
        </w:rPr>
        <w:t>原件扫描件</w:t>
      </w:r>
      <w:r>
        <w:rPr>
          <w:rFonts w:hint="default" w:ascii="宋体" w:hAnsi="宋体" w:eastAsia="宋体" w:cs="宋体"/>
          <w:b/>
          <w:color w:val="auto"/>
          <w:kern w:val="0"/>
          <w:sz w:val="30"/>
          <w:szCs w:val="30"/>
          <w:highlight w:val="none"/>
        </w:rPr>
        <w:t>，或</w:t>
      </w:r>
      <w:r>
        <w:rPr>
          <w:rFonts w:hint="eastAsia" w:ascii="宋体" w:hAnsi="宋体" w:eastAsia="宋体" w:cs="宋体"/>
          <w:b/>
          <w:color w:val="auto"/>
          <w:kern w:val="0"/>
          <w:sz w:val="30"/>
          <w:szCs w:val="30"/>
          <w:highlight w:val="none"/>
          <w:lang w:eastAsia="zh-CN"/>
        </w:rPr>
        <w:t>投标人</w:t>
      </w:r>
      <w:r>
        <w:rPr>
          <w:rFonts w:hint="default" w:ascii="宋体" w:hAnsi="宋体" w:eastAsia="宋体" w:cs="宋体"/>
          <w:b/>
          <w:color w:val="auto"/>
          <w:kern w:val="0"/>
          <w:sz w:val="30"/>
          <w:szCs w:val="30"/>
          <w:highlight w:val="none"/>
        </w:rPr>
        <w:t>泥粉/污泥处置</w:t>
      </w:r>
      <w:r>
        <w:rPr>
          <w:rFonts w:hint="eastAsia" w:ascii="宋体" w:hAnsi="宋体" w:eastAsia="宋体" w:cs="宋体"/>
          <w:b/>
          <w:color w:val="auto"/>
          <w:kern w:val="0"/>
          <w:sz w:val="30"/>
          <w:szCs w:val="30"/>
          <w:highlight w:val="none"/>
          <w:lang w:val="en-US" w:eastAsia="zh-CN"/>
        </w:rPr>
        <w:t>场所</w:t>
      </w:r>
      <w:r>
        <w:rPr>
          <w:rFonts w:hint="eastAsia" w:ascii="宋体" w:hAnsi="宋体" w:eastAsia="宋体" w:cs="宋体"/>
          <w:b/>
          <w:color w:val="auto"/>
          <w:kern w:val="0"/>
          <w:sz w:val="30"/>
          <w:szCs w:val="30"/>
          <w:highlight w:val="none"/>
          <w:lang w:eastAsia="zh-CN"/>
        </w:rPr>
        <w:t>生产的产品</w:t>
      </w:r>
      <w:r>
        <w:rPr>
          <w:rFonts w:hint="default" w:ascii="宋体" w:hAnsi="宋体" w:eastAsia="宋体" w:cs="宋体"/>
          <w:b/>
          <w:color w:val="auto"/>
          <w:kern w:val="0"/>
          <w:sz w:val="30"/>
          <w:szCs w:val="30"/>
          <w:highlight w:val="none"/>
        </w:rPr>
        <w:t>不属于主管部门规定需取得生产许可资质要求的，提供“关于泥粉/污泥</w:t>
      </w:r>
      <w:r>
        <w:rPr>
          <w:rFonts w:hint="eastAsia" w:ascii="宋体" w:hAnsi="宋体" w:eastAsia="宋体" w:cs="宋体"/>
          <w:b/>
          <w:color w:val="auto"/>
          <w:kern w:val="0"/>
          <w:sz w:val="30"/>
          <w:szCs w:val="30"/>
          <w:highlight w:val="none"/>
          <w:lang w:eastAsia="zh-CN"/>
        </w:rPr>
        <w:t>处置场所</w:t>
      </w:r>
      <w:r>
        <w:rPr>
          <w:rFonts w:hint="eastAsia" w:hAnsi="宋体" w:eastAsia="宋体" w:cs="宋体"/>
          <w:b/>
          <w:sz w:val="32"/>
          <w:szCs w:val="32"/>
          <w:highlight w:val="none"/>
          <w:lang w:val="en-US" w:eastAsia="zh-CN"/>
        </w:rPr>
        <w:t>生产的产品</w:t>
      </w:r>
      <w:r>
        <w:rPr>
          <w:rFonts w:hint="default" w:ascii="宋体" w:hAnsi="宋体" w:eastAsia="宋体" w:cs="宋体"/>
          <w:b/>
          <w:color w:val="auto"/>
          <w:kern w:val="0"/>
          <w:sz w:val="30"/>
          <w:szCs w:val="30"/>
          <w:highlight w:val="none"/>
        </w:rPr>
        <w:t>无需生产许可资质的承诺函”</w:t>
      </w:r>
      <w:bookmarkEnd w:id="734"/>
      <w:bookmarkEnd w:id="735"/>
      <w:bookmarkEnd w:id="736"/>
      <w:bookmarkEnd w:id="737"/>
      <w:bookmarkEnd w:id="738"/>
    </w:p>
    <w:p w14:paraId="7DCD2F1F">
      <w:pPr>
        <w:tabs>
          <w:tab w:val="left" w:pos="567"/>
        </w:tabs>
        <w:spacing w:line="360" w:lineRule="auto"/>
        <w:ind w:left="630" w:hanging="630" w:hangingChars="300"/>
        <w:rPr>
          <w:rFonts w:hint="eastAsia" w:hAnsi="宋体" w:eastAsia="宋体" w:cs="宋体"/>
          <w:bCs/>
          <w:sz w:val="21"/>
          <w:szCs w:val="21"/>
          <w:highlight w:val="none"/>
        </w:rPr>
      </w:pPr>
    </w:p>
    <w:p w14:paraId="0FF2D841">
      <w:pPr>
        <w:spacing w:line="360" w:lineRule="auto"/>
        <w:rPr>
          <w:rFonts w:ascii="宋体" w:hAnsi="宋体" w:eastAsia="宋体" w:cs="宋体"/>
          <w:b/>
          <w:color w:val="auto"/>
          <w:szCs w:val="21"/>
          <w:highlight w:val="none"/>
          <w:lang w:val="zh-CN"/>
        </w:rPr>
      </w:pPr>
    </w:p>
    <w:p w14:paraId="41B1907C">
      <w:pPr>
        <w:rPr>
          <w:rFonts w:asciiTheme="minorHAnsi" w:hAnsiTheme="minorHAnsi" w:eastAsiaTheme="minorEastAsia" w:cstheme="minorBidi"/>
          <w:b w:val="0"/>
          <w:kern w:val="2"/>
          <w:sz w:val="21"/>
          <w:szCs w:val="22"/>
          <w:highlight w:val="none"/>
        </w:rPr>
      </w:pPr>
      <w:r>
        <w:rPr>
          <w:rFonts w:asciiTheme="minorHAnsi" w:hAnsiTheme="minorHAnsi" w:eastAsiaTheme="minorEastAsia" w:cstheme="minorBidi"/>
          <w:b w:val="0"/>
          <w:kern w:val="2"/>
          <w:sz w:val="21"/>
          <w:szCs w:val="22"/>
          <w:highlight w:val="none"/>
        </w:rPr>
        <w:br w:type="page"/>
      </w:r>
    </w:p>
    <w:p w14:paraId="58A61AB4">
      <w:pPr>
        <w:pageBreakBefore/>
        <w:tabs>
          <w:tab w:val="left" w:pos="567"/>
        </w:tabs>
        <w:spacing w:line="360" w:lineRule="auto"/>
        <w:jc w:val="center"/>
        <w:rPr>
          <w:rFonts w:hint="eastAsia" w:hAnsi="宋体" w:eastAsia="宋体" w:cs="宋体"/>
          <w:b/>
          <w:sz w:val="32"/>
          <w:szCs w:val="32"/>
          <w:highlight w:val="none"/>
        </w:rPr>
      </w:pPr>
      <w:r>
        <w:rPr>
          <w:rFonts w:hint="eastAsia" w:hAnsi="宋体" w:eastAsia="宋体" w:cs="宋体"/>
          <w:b/>
          <w:sz w:val="32"/>
          <w:szCs w:val="32"/>
          <w:highlight w:val="none"/>
        </w:rPr>
        <w:t>关于泥粉/污泥处置</w:t>
      </w:r>
      <w:r>
        <w:rPr>
          <w:rFonts w:hint="eastAsia" w:hAnsi="宋体" w:eastAsia="宋体" w:cs="宋体"/>
          <w:b/>
          <w:sz w:val="32"/>
          <w:szCs w:val="32"/>
          <w:highlight w:val="none"/>
          <w:lang w:val="en-US" w:eastAsia="zh-CN"/>
        </w:rPr>
        <w:t>场所生产的产品</w:t>
      </w:r>
      <w:r>
        <w:rPr>
          <w:rFonts w:hint="eastAsia" w:hAnsi="宋体" w:eastAsia="宋体" w:cs="宋体"/>
          <w:b/>
          <w:sz w:val="32"/>
          <w:szCs w:val="32"/>
          <w:highlight w:val="none"/>
        </w:rPr>
        <w:t>无需生产许可资质的承诺函</w:t>
      </w:r>
    </w:p>
    <w:p w14:paraId="38458579">
      <w:pPr>
        <w:tabs>
          <w:tab w:val="left" w:pos="567"/>
        </w:tabs>
        <w:spacing w:line="360" w:lineRule="auto"/>
        <w:ind w:left="633"/>
        <w:rPr>
          <w:rFonts w:hint="eastAsia" w:hAnsi="宋体" w:eastAsia="宋体" w:cs="宋体"/>
          <w:bCs/>
          <w:sz w:val="21"/>
          <w:szCs w:val="21"/>
          <w:highlight w:val="none"/>
        </w:rPr>
      </w:pPr>
    </w:p>
    <w:p w14:paraId="63D89E6F">
      <w:pPr>
        <w:tabs>
          <w:tab w:val="left" w:pos="567"/>
        </w:tabs>
        <w:spacing w:line="360" w:lineRule="auto"/>
        <w:rPr>
          <w:rFonts w:hint="eastAsia" w:hAnsi="宋体" w:eastAsia="宋体" w:cs="宋体"/>
          <w:bCs/>
          <w:sz w:val="21"/>
          <w:szCs w:val="21"/>
          <w:highlight w:val="none"/>
        </w:rPr>
      </w:pPr>
      <w:r>
        <w:rPr>
          <w:rFonts w:hint="eastAsia" w:hAnsi="宋体" w:eastAsia="宋体" w:cs="宋体"/>
          <w:bCs/>
          <w:sz w:val="21"/>
          <w:szCs w:val="21"/>
          <w:highlight w:val="none"/>
        </w:rPr>
        <w:t>致：东莞市众源环境投资有限公司</w:t>
      </w:r>
    </w:p>
    <w:p w14:paraId="71FBDD83">
      <w:pPr>
        <w:tabs>
          <w:tab w:val="left" w:pos="567"/>
        </w:tabs>
        <w:spacing w:line="360" w:lineRule="auto"/>
        <w:ind w:firstLine="420" w:firstLineChars="200"/>
        <w:rPr>
          <w:rFonts w:hint="eastAsia" w:hAnsi="宋体" w:eastAsia="宋体" w:cs="宋体"/>
          <w:bCs/>
          <w:sz w:val="21"/>
          <w:szCs w:val="21"/>
          <w:highlight w:val="none"/>
        </w:rPr>
      </w:pPr>
      <w:r>
        <w:rPr>
          <w:rFonts w:hint="eastAsia" w:hAnsi="宋体" w:eastAsia="宋体" w:cs="宋体"/>
          <w:bCs/>
          <w:sz w:val="21"/>
          <w:szCs w:val="21"/>
          <w:highlight w:val="none"/>
        </w:rPr>
        <w:t>我方</w:t>
      </w:r>
      <w:r>
        <w:rPr>
          <w:rFonts w:hint="eastAsia" w:hAnsi="宋体" w:eastAsia="宋体" w:cs="宋体"/>
          <w:bCs/>
          <w:sz w:val="21"/>
          <w:szCs w:val="21"/>
          <w:highlight w:val="none"/>
          <w:u w:val="single"/>
        </w:rPr>
        <w:t xml:space="preserve">  （</w:t>
      </w:r>
      <w:r>
        <w:rPr>
          <w:rFonts w:hint="eastAsia" w:hAnsi="宋体" w:eastAsia="宋体" w:cs="宋体"/>
          <w:bCs/>
          <w:sz w:val="21"/>
          <w:szCs w:val="21"/>
          <w:highlight w:val="none"/>
          <w:u w:val="single"/>
          <w:lang w:eastAsia="zh-CN"/>
        </w:rPr>
        <w:t>投标人</w:t>
      </w:r>
      <w:r>
        <w:rPr>
          <w:rFonts w:hint="eastAsia" w:hAnsi="宋体" w:eastAsia="宋体" w:cs="宋体"/>
          <w:bCs/>
          <w:sz w:val="21"/>
          <w:szCs w:val="21"/>
          <w:highlight w:val="none"/>
          <w:u w:val="single"/>
        </w:rPr>
        <w:t xml:space="preserve">名称）  </w:t>
      </w:r>
      <w:r>
        <w:rPr>
          <w:rFonts w:hint="eastAsia" w:hAnsi="宋体" w:eastAsia="宋体" w:cs="宋体"/>
          <w:bCs/>
          <w:sz w:val="21"/>
          <w:szCs w:val="21"/>
          <w:highlight w:val="none"/>
        </w:rPr>
        <w:t>参加</w:t>
      </w:r>
      <w:r>
        <w:rPr>
          <w:rFonts w:hint="eastAsia" w:ascii="宋体" w:hAnsi="宋体" w:eastAsia="宋体" w:cs="Times New Roman"/>
          <w:color w:val="auto"/>
          <w:kern w:val="0"/>
          <w:szCs w:val="21"/>
          <w:highlight w:val="none"/>
          <w:lang w:eastAsia="zh-CN"/>
        </w:rPr>
        <w:t>东莞市众源环境投资有限公司半干化泥粉外运资源化处置服务供应商库202</w:t>
      </w:r>
      <w:r>
        <w:rPr>
          <w:rFonts w:hint="eastAsia" w:ascii="宋体" w:hAnsi="宋体" w:eastAsia="宋体" w:cs="Times New Roman"/>
          <w:color w:val="auto"/>
          <w:kern w:val="0"/>
          <w:szCs w:val="21"/>
          <w:highlight w:val="none"/>
          <w:lang w:val="en-US" w:eastAsia="zh-CN"/>
        </w:rPr>
        <w:t>5</w:t>
      </w:r>
      <w:r>
        <w:rPr>
          <w:rFonts w:hint="eastAsia" w:ascii="宋体" w:hAnsi="宋体" w:eastAsia="宋体" w:cs="Times New Roman"/>
          <w:color w:val="auto"/>
          <w:kern w:val="0"/>
          <w:szCs w:val="21"/>
          <w:highlight w:val="none"/>
          <w:lang w:eastAsia="zh-CN"/>
        </w:rPr>
        <w:t>年第二次扩增供应商项目</w:t>
      </w:r>
      <w:r>
        <w:rPr>
          <w:rFonts w:hint="eastAsia" w:hAnsi="宋体" w:eastAsia="宋体" w:cs="宋体"/>
          <w:bCs/>
          <w:sz w:val="21"/>
          <w:szCs w:val="21"/>
          <w:highlight w:val="none"/>
        </w:rPr>
        <w:t>的</w:t>
      </w:r>
      <w:r>
        <w:rPr>
          <w:rFonts w:hint="eastAsia" w:hAnsi="宋体" w:eastAsia="宋体" w:cs="宋体"/>
          <w:bCs/>
          <w:sz w:val="21"/>
          <w:szCs w:val="21"/>
          <w:highlight w:val="none"/>
          <w:lang w:val="en-US" w:eastAsia="zh-CN"/>
        </w:rPr>
        <w:t>投标</w:t>
      </w:r>
      <w:r>
        <w:rPr>
          <w:rFonts w:hint="eastAsia" w:hAnsi="宋体" w:eastAsia="宋体" w:cs="宋体"/>
          <w:bCs/>
          <w:sz w:val="21"/>
          <w:szCs w:val="21"/>
          <w:highlight w:val="none"/>
        </w:rPr>
        <w:t>，我公司泥粉/污泥</w:t>
      </w:r>
      <w:r>
        <w:rPr>
          <w:rFonts w:hint="eastAsia" w:hAnsi="宋体" w:eastAsia="宋体" w:cs="宋体"/>
          <w:bCs/>
          <w:sz w:val="21"/>
          <w:szCs w:val="21"/>
          <w:highlight w:val="none"/>
          <w:lang w:eastAsia="zh-CN"/>
        </w:rPr>
        <w:t>处置场所</w:t>
      </w:r>
      <w:r>
        <w:rPr>
          <w:rFonts w:hint="eastAsia" w:hAnsi="宋体" w:eastAsia="宋体" w:cs="宋体"/>
          <w:bCs/>
          <w:sz w:val="21"/>
          <w:szCs w:val="21"/>
          <w:highlight w:val="none"/>
        </w:rPr>
        <w:t>位于</w:t>
      </w:r>
      <w:r>
        <w:rPr>
          <w:rFonts w:hint="eastAsia" w:hAnsi="宋体" w:eastAsia="宋体" w:cs="宋体"/>
          <w:bCs/>
          <w:sz w:val="21"/>
          <w:szCs w:val="21"/>
          <w:highlight w:val="none"/>
          <w:u w:val="single"/>
        </w:rPr>
        <w:t xml:space="preserve">  （</w:t>
      </w:r>
      <w:r>
        <w:rPr>
          <w:rFonts w:hint="eastAsia" w:hAnsi="宋体" w:eastAsia="宋体" w:cs="宋体"/>
          <w:bCs/>
          <w:sz w:val="21"/>
          <w:szCs w:val="21"/>
          <w:highlight w:val="none"/>
          <w:u w:val="single"/>
          <w:lang w:eastAsia="zh-CN"/>
        </w:rPr>
        <w:t>处置场所</w:t>
      </w:r>
      <w:r>
        <w:rPr>
          <w:rFonts w:hint="eastAsia" w:hAnsi="宋体" w:eastAsia="宋体" w:cs="宋体"/>
          <w:bCs/>
          <w:sz w:val="21"/>
          <w:szCs w:val="21"/>
          <w:highlight w:val="none"/>
          <w:u w:val="single"/>
        </w:rPr>
        <w:t xml:space="preserve">地址）  </w:t>
      </w:r>
      <w:r>
        <w:rPr>
          <w:rFonts w:hint="eastAsia" w:hAnsi="宋体" w:eastAsia="宋体" w:cs="宋体"/>
          <w:bCs/>
          <w:sz w:val="21"/>
          <w:szCs w:val="21"/>
          <w:highlight w:val="none"/>
        </w:rPr>
        <w:t>，泥粉/污泥</w:t>
      </w:r>
      <w:r>
        <w:rPr>
          <w:rFonts w:hint="eastAsia" w:hAnsi="宋体" w:eastAsia="宋体" w:cs="宋体"/>
          <w:bCs/>
          <w:sz w:val="21"/>
          <w:szCs w:val="21"/>
          <w:highlight w:val="none"/>
          <w:lang w:eastAsia="zh-CN"/>
        </w:rPr>
        <w:t>处置场所生产的产品</w:t>
      </w:r>
      <w:r>
        <w:rPr>
          <w:rFonts w:hint="eastAsia" w:hAnsi="宋体" w:eastAsia="宋体" w:cs="宋体"/>
          <w:bCs/>
          <w:sz w:val="21"/>
          <w:szCs w:val="21"/>
          <w:highlight w:val="none"/>
        </w:rPr>
        <w:t>为</w:t>
      </w:r>
      <w:r>
        <w:rPr>
          <w:rFonts w:hint="eastAsia" w:hAnsi="宋体" w:eastAsia="宋体" w:cs="宋体"/>
          <w:bCs/>
          <w:sz w:val="21"/>
          <w:szCs w:val="21"/>
          <w:highlight w:val="none"/>
          <w:u w:val="single"/>
        </w:rPr>
        <w:t xml:space="preserve">  （产品名称）  </w:t>
      </w:r>
      <w:r>
        <w:rPr>
          <w:rFonts w:hint="eastAsia" w:hAnsi="宋体" w:eastAsia="宋体" w:cs="宋体"/>
          <w:bCs/>
          <w:sz w:val="21"/>
          <w:szCs w:val="21"/>
          <w:highlight w:val="none"/>
        </w:rPr>
        <w:t>，泥粉/污泥</w:t>
      </w:r>
      <w:r>
        <w:rPr>
          <w:rFonts w:hint="eastAsia" w:hAnsi="宋体" w:eastAsia="宋体" w:cs="宋体"/>
          <w:bCs/>
          <w:sz w:val="21"/>
          <w:szCs w:val="21"/>
          <w:highlight w:val="none"/>
          <w:lang w:eastAsia="zh-CN"/>
        </w:rPr>
        <w:t>处置场所生产的产品</w:t>
      </w:r>
      <w:r>
        <w:rPr>
          <w:rFonts w:hint="eastAsia" w:hAnsi="宋体" w:eastAsia="宋体" w:cs="宋体"/>
          <w:bCs/>
          <w:sz w:val="21"/>
          <w:szCs w:val="21"/>
          <w:highlight w:val="none"/>
        </w:rPr>
        <w:t>不属于主管部门要求必须取得生产许可资质，</w:t>
      </w:r>
      <w:r>
        <w:rPr>
          <w:rFonts w:hint="eastAsia" w:hAnsi="宋体" w:eastAsia="宋体" w:cs="宋体"/>
          <w:b/>
          <w:sz w:val="21"/>
          <w:szCs w:val="21"/>
          <w:highlight w:val="none"/>
          <w:u w:val="single"/>
        </w:rPr>
        <w:t>我方承诺，我方泥粉/污泥处置</w:t>
      </w:r>
      <w:r>
        <w:rPr>
          <w:rFonts w:hint="eastAsia" w:hAnsi="宋体" w:eastAsia="宋体" w:cs="宋体"/>
          <w:b/>
          <w:sz w:val="21"/>
          <w:szCs w:val="21"/>
          <w:highlight w:val="none"/>
          <w:u w:val="single"/>
          <w:lang w:val="en-US" w:eastAsia="zh-CN"/>
        </w:rPr>
        <w:t>场所</w:t>
      </w:r>
      <w:r>
        <w:rPr>
          <w:rFonts w:hint="eastAsia" w:hAnsi="宋体" w:eastAsia="宋体" w:cs="宋体"/>
          <w:b/>
          <w:sz w:val="21"/>
          <w:szCs w:val="21"/>
          <w:highlight w:val="none"/>
          <w:u w:val="single"/>
        </w:rPr>
        <w:t>合法、合规，具备国家、省、市相关规定要求的各项资质资格。如后期贵方核查时发现我方泥粉/污泥处置</w:t>
      </w:r>
      <w:r>
        <w:rPr>
          <w:rFonts w:hint="eastAsia" w:hAnsi="宋体" w:eastAsia="宋体" w:cs="宋体"/>
          <w:b/>
          <w:sz w:val="21"/>
          <w:szCs w:val="21"/>
          <w:highlight w:val="none"/>
          <w:u w:val="single"/>
          <w:lang w:val="en-US" w:eastAsia="zh-CN"/>
        </w:rPr>
        <w:t>场所</w:t>
      </w:r>
      <w:r>
        <w:rPr>
          <w:rFonts w:hint="eastAsia" w:hAnsi="宋体" w:eastAsia="宋体" w:cs="宋体"/>
          <w:b/>
          <w:sz w:val="21"/>
          <w:szCs w:val="21"/>
          <w:highlight w:val="none"/>
          <w:u w:val="single"/>
          <w:lang w:eastAsia="zh-CN"/>
        </w:rPr>
        <w:t>生产的产品</w:t>
      </w:r>
      <w:r>
        <w:rPr>
          <w:rFonts w:hint="eastAsia" w:hAnsi="宋体" w:eastAsia="宋体" w:cs="宋体"/>
          <w:b/>
          <w:sz w:val="21"/>
          <w:szCs w:val="21"/>
          <w:highlight w:val="none"/>
          <w:u w:val="single"/>
        </w:rPr>
        <w:t>属于主管部门要求取得生产许可资质要求而我方未取得对应资质的，贵方有权按弄虚作假骗取入库的有关规定对我方进行处理，贵方有权取消我方</w:t>
      </w:r>
      <w:r>
        <w:rPr>
          <w:rFonts w:hint="eastAsia" w:hAnsi="宋体" w:eastAsia="宋体" w:cs="宋体"/>
          <w:b/>
          <w:sz w:val="21"/>
          <w:szCs w:val="21"/>
          <w:highlight w:val="none"/>
          <w:u w:val="single"/>
          <w:lang w:val="en-US" w:eastAsia="zh-CN"/>
        </w:rPr>
        <w:t>中标</w:t>
      </w:r>
      <w:r>
        <w:rPr>
          <w:rFonts w:hint="eastAsia" w:hAnsi="宋体" w:eastAsia="宋体" w:cs="宋体"/>
          <w:b/>
          <w:sz w:val="21"/>
          <w:szCs w:val="21"/>
          <w:highlight w:val="none"/>
          <w:u w:val="single"/>
        </w:rPr>
        <w:t>资格，不予退还我方入库履约保证金，解除与我方的相关合同，由我方承担相应的违约责任</w:t>
      </w:r>
      <w:r>
        <w:rPr>
          <w:rFonts w:hint="eastAsia" w:hAnsi="宋体" w:eastAsia="宋体" w:cs="宋体"/>
          <w:b/>
          <w:sz w:val="21"/>
          <w:szCs w:val="21"/>
          <w:highlight w:val="none"/>
          <w:u w:val="single"/>
          <w:lang w:eastAsia="zh-CN"/>
        </w:rPr>
        <w:t>，</w:t>
      </w:r>
      <w:r>
        <w:rPr>
          <w:rFonts w:hint="eastAsia" w:hAnsi="宋体" w:eastAsia="宋体" w:cs="宋体"/>
          <w:b/>
          <w:sz w:val="21"/>
          <w:szCs w:val="21"/>
          <w:highlight w:val="none"/>
          <w:u w:val="single"/>
        </w:rPr>
        <w:t>并赔偿由此给贵方造成的损失。</w:t>
      </w:r>
      <w:r>
        <w:rPr>
          <w:rFonts w:hint="eastAsia" w:hAnsi="宋体" w:eastAsia="宋体" w:cs="宋体"/>
          <w:bCs/>
          <w:sz w:val="21"/>
          <w:szCs w:val="21"/>
          <w:highlight w:val="none"/>
        </w:rPr>
        <w:t>贵方有权将我方纳入</w:t>
      </w:r>
      <w:r>
        <w:rPr>
          <w:rFonts w:hint="eastAsia" w:hAnsi="宋体" w:eastAsia="宋体" w:cs="宋体"/>
          <w:bCs/>
          <w:sz w:val="21"/>
          <w:szCs w:val="21"/>
          <w:highlight w:val="none"/>
          <w:lang w:eastAsia="zh-CN"/>
        </w:rPr>
        <w:t>东莞市水务环境投资控股集团有限公司</w:t>
      </w:r>
      <w:r>
        <w:rPr>
          <w:rFonts w:hint="eastAsia" w:hAnsi="宋体" w:eastAsia="宋体" w:cs="宋体"/>
          <w:bCs/>
          <w:sz w:val="21"/>
          <w:szCs w:val="21"/>
          <w:highlight w:val="none"/>
        </w:rPr>
        <w:t>（含其全资公司、控股公司、由其管理的参股公司）招标、采购、征集</w:t>
      </w:r>
      <w:r>
        <w:rPr>
          <w:rFonts w:hint="eastAsia" w:hAnsi="宋体" w:eastAsia="宋体" w:cs="宋体"/>
          <w:bCs/>
          <w:sz w:val="21"/>
          <w:szCs w:val="21"/>
          <w:highlight w:val="none"/>
          <w:lang w:eastAsia="zh-CN"/>
        </w:rPr>
        <w:t>投标人</w:t>
      </w:r>
      <w:r>
        <w:rPr>
          <w:rFonts w:hint="eastAsia" w:hAnsi="宋体" w:eastAsia="宋体" w:cs="宋体"/>
          <w:bCs/>
          <w:sz w:val="21"/>
          <w:szCs w:val="21"/>
          <w:highlight w:val="none"/>
        </w:rPr>
        <w:t>或合作方采购‘黑名单’中，因此导致我方无法参与</w:t>
      </w:r>
      <w:r>
        <w:rPr>
          <w:rFonts w:hint="eastAsia" w:hAnsi="宋体" w:eastAsia="宋体" w:cs="宋体"/>
          <w:bCs/>
          <w:sz w:val="21"/>
          <w:szCs w:val="21"/>
          <w:highlight w:val="none"/>
          <w:lang w:eastAsia="zh-CN"/>
        </w:rPr>
        <w:t>东莞市水务环境投资控股集团有限公司（含其全资公司、控股公司、由其管理的参股公司）</w:t>
      </w:r>
      <w:r>
        <w:rPr>
          <w:rFonts w:hint="eastAsia" w:hAnsi="宋体" w:eastAsia="宋体" w:cs="宋体"/>
          <w:bCs/>
          <w:sz w:val="21"/>
          <w:szCs w:val="21"/>
          <w:highlight w:val="none"/>
        </w:rPr>
        <w:t>相关招标采购活动的，由我方自行承担全部后果。贵方有权或协助主管部门认定我方严重失信的不良行为，纳入相关企业信用“黑名单”，限制我方参与依法必须招标项目的投标，并向行政主管部门报送结果。同时，</w:t>
      </w:r>
      <w:r>
        <w:rPr>
          <w:rFonts w:hint="eastAsia" w:hAnsi="宋体" w:eastAsia="宋体" w:cs="宋体"/>
          <w:bCs/>
          <w:sz w:val="21"/>
          <w:szCs w:val="21"/>
          <w:highlight w:val="none"/>
          <w:lang w:val="en-US" w:eastAsia="zh-CN"/>
        </w:rPr>
        <w:t>招标</w:t>
      </w:r>
      <w:r>
        <w:rPr>
          <w:rFonts w:hint="eastAsia" w:hAnsi="宋体" w:eastAsia="宋体" w:cs="宋体"/>
          <w:bCs/>
          <w:sz w:val="21"/>
          <w:szCs w:val="21"/>
          <w:highlight w:val="none"/>
        </w:rPr>
        <w:t>人有权根据《关于对环境保护领域失信生产经营单位及其有关人员开展联合惩戒的合作备忘录》等规定，通过“信用中国”网站向社会公示我方的失信行为，实现“一处失信、处处受限”。</w:t>
      </w:r>
    </w:p>
    <w:p w14:paraId="165CDA2E">
      <w:pPr>
        <w:tabs>
          <w:tab w:val="left" w:pos="567"/>
        </w:tabs>
        <w:spacing w:line="360" w:lineRule="auto"/>
        <w:ind w:left="633"/>
        <w:jc w:val="right"/>
        <w:rPr>
          <w:rFonts w:hint="eastAsia" w:hAnsi="宋体" w:eastAsia="宋体" w:cs="宋体"/>
          <w:bCs/>
          <w:sz w:val="21"/>
          <w:szCs w:val="21"/>
          <w:highlight w:val="none"/>
        </w:rPr>
      </w:pPr>
    </w:p>
    <w:p w14:paraId="71769DA5">
      <w:pPr>
        <w:tabs>
          <w:tab w:val="left" w:pos="567"/>
        </w:tabs>
        <w:spacing w:line="360" w:lineRule="auto"/>
        <w:ind w:left="633"/>
        <w:jc w:val="right"/>
        <w:rPr>
          <w:rFonts w:hint="eastAsia" w:hAnsi="宋体" w:eastAsia="宋体" w:cs="宋体"/>
          <w:bCs/>
          <w:sz w:val="21"/>
          <w:szCs w:val="21"/>
          <w:highlight w:val="none"/>
        </w:rPr>
      </w:pPr>
    </w:p>
    <w:p w14:paraId="1C0C5227">
      <w:pPr>
        <w:spacing w:line="360" w:lineRule="auto"/>
        <w:ind w:firstLine="494" w:firstLineChars="206"/>
        <w:rPr>
          <w:rFonts w:ascii="宋体" w:hAnsi="宋体" w:eastAsia="宋体" w:cs="宋体"/>
          <w:color w:val="auto"/>
          <w:kern w:val="0"/>
          <w:sz w:val="24"/>
          <w:szCs w:val="24"/>
          <w:highlight w:val="none"/>
        </w:rPr>
      </w:pPr>
    </w:p>
    <w:p w14:paraId="2C385A41">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11D6EF84">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1669D5B8">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5A7F27DA">
      <w:pPr>
        <w:autoSpaceDE w:val="0"/>
        <w:autoSpaceDN w:val="0"/>
        <w:adjustRightInd w:val="0"/>
        <w:spacing w:line="360" w:lineRule="auto"/>
        <w:jc w:val="center"/>
        <w:rPr>
          <w:rFonts w:ascii="宋体" w:hAnsi="宋体" w:eastAsia="宋体" w:cs="Times New Roman"/>
          <w:b/>
          <w:bCs/>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说明：由投标人使用投标人的企业数字证书电子签名。</w:t>
      </w:r>
    </w:p>
    <w:p w14:paraId="1A19293E">
      <w:pPr>
        <w:autoSpaceDE/>
        <w:autoSpaceDN/>
        <w:adjustRightInd/>
        <w:spacing w:line="360" w:lineRule="auto"/>
        <w:jc w:val="left"/>
        <w:outlineLvl w:val="3"/>
        <w:rPr>
          <w:rFonts w:hint="eastAsia" w:ascii="宋体" w:hAnsi="宋体" w:eastAsia="宋体" w:cs="宋体"/>
          <w:b/>
          <w:bCs w:val="0"/>
          <w:color w:val="auto"/>
          <w:kern w:val="0"/>
          <w:sz w:val="30"/>
          <w:szCs w:val="30"/>
          <w:highlight w:val="none"/>
          <w:lang w:val="en-US"/>
        </w:rPr>
      </w:pPr>
      <w:r>
        <w:rPr>
          <w:rFonts w:asciiTheme="minorHAnsi" w:hAnsiTheme="minorHAnsi" w:eastAsiaTheme="minorEastAsia" w:cstheme="minorBidi"/>
          <w:b w:val="0"/>
          <w:color w:val="auto"/>
          <w:kern w:val="2"/>
          <w:sz w:val="21"/>
          <w:szCs w:val="22"/>
          <w:highlight w:val="none"/>
        </w:rPr>
        <w:br w:type="page"/>
      </w:r>
      <w:bookmarkStart w:id="744" w:name="_Toc21843"/>
      <w:bookmarkStart w:id="745" w:name="_Toc7508"/>
      <w:bookmarkStart w:id="746" w:name="_Toc195714387"/>
      <w:bookmarkStart w:id="747" w:name="_Toc8121"/>
      <w:bookmarkStart w:id="748" w:name="_Toc8599"/>
      <w:r>
        <w:rPr>
          <w:rFonts w:hint="eastAsia" w:ascii="宋体" w:hAnsi="宋体" w:eastAsia="宋体" w:cs="宋体"/>
          <w:b/>
          <w:color w:val="auto"/>
          <w:kern w:val="0"/>
          <w:sz w:val="30"/>
          <w:szCs w:val="30"/>
          <w:highlight w:val="none"/>
          <w:lang w:val="en-US" w:eastAsia="zh-CN"/>
        </w:rPr>
        <w:t>4</w:t>
      </w:r>
      <w:r>
        <w:rPr>
          <w:rFonts w:hint="eastAsia" w:ascii="宋体" w:hAnsi="宋体" w:eastAsia="宋体" w:cs="宋体"/>
          <w:b/>
          <w:color w:val="auto"/>
          <w:kern w:val="0"/>
          <w:sz w:val="30"/>
          <w:szCs w:val="30"/>
          <w:highlight w:val="none"/>
        </w:rPr>
        <w:t>.</w:t>
      </w:r>
      <w:r>
        <w:rPr>
          <w:rFonts w:hint="eastAsia" w:ascii="宋体" w:hAnsi="宋体" w:eastAsia="宋体" w:cs="宋体"/>
          <w:b/>
          <w:color w:val="auto"/>
          <w:kern w:val="0"/>
          <w:sz w:val="30"/>
          <w:szCs w:val="30"/>
          <w:highlight w:val="none"/>
          <w:lang w:val="en-US" w:eastAsia="zh-CN"/>
        </w:rPr>
        <w:t xml:space="preserve">6 </w:t>
      </w:r>
      <w:r>
        <w:rPr>
          <w:rFonts w:hint="eastAsia" w:ascii="宋体" w:hAnsi="宋体" w:eastAsia="宋体" w:cs="宋体"/>
          <w:b/>
          <w:color w:val="auto"/>
          <w:kern w:val="0"/>
          <w:sz w:val="30"/>
          <w:szCs w:val="30"/>
          <w:highlight w:val="none"/>
        </w:rPr>
        <w:t>最近3年</w:t>
      </w:r>
      <w:r>
        <w:rPr>
          <w:rFonts w:hint="eastAsia" w:ascii="宋体" w:hAnsi="宋体" w:eastAsia="宋体" w:cs="宋体"/>
          <w:b/>
          <w:color w:val="auto"/>
          <w:kern w:val="0"/>
          <w:sz w:val="30"/>
          <w:szCs w:val="30"/>
          <w:highlight w:val="none"/>
          <w:lang w:eastAsia="zh-CN"/>
        </w:rPr>
        <w:t>投标人</w:t>
      </w:r>
      <w:r>
        <w:rPr>
          <w:rFonts w:hint="eastAsia" w:ascii="宋体" w:hAnsi="宋体" w:eastAsia="宋体" w:cs="宋体"/>
          <w:b/>
          <w:color w:val="auto"/>
          <w:kern w:val="0"/>
          <w:sz w:val="30"/>
          <w:szCs w:val="30"/>
          <w:highlight w:val="none"/>
        </w:rPr>
        <w:t>牵涉的其他（失信和违法）处罚说明格式</w:t>
      </w:r>
      <w:bookmarkEnd w:id="739"/>
      <w:bookmarkEnd w:id="740"/>
      <w:bookmarkEnd w:id="741"/>
      <w:bookmarkEnd w:id="742"/>
      <w:bookmarkEnd w:id="743"/>
      <w:bookmarkEnd w:id="744"/>
      <w:bookmarkEnd w:id="745"/>
      <w:bookmarkEnd w:id="746"/>
      <w:bookmarkEnd w:id="747"/>
      <w:bookmarkEnd w:id="748"/>
    </w:p>
    <w:p w14:paraId="3665F969">
      <w:pPr>
        <w:autoSpaceDE w:val="0"/>
        <w:autoSpaceDN w:val="0"/>
        <w:adjustRightInd w:val="0"/>
        <w:spacing w:line="360" w:lineRule="auto"/>
        <w:jc w:val="center"/>
        <w:rPr>
          <w:rFonts w:ascii="宋体" w:hAnsi="宋体" w:eastAsia="宋体" w:cs="宋体"/>
          <w:color w:val="auto"/>
          <w:kern w:val="0"/>
          <w:sz w:val="24"/>
          <w:szCs w:val="24"/>
          <w:highlight w:val="none"/>
        </w:rPr>
      </w:pPr>
      <w:r>
        <w:rPr>
          <w:rFonts w:hint="eastAsia" w:ascii="宋体" w:hAnsi="宋体" w:eastAsia="宋体" w:cs="宋体"/>
          <w:b/>
          <w:color w:val="auto"/>
          <w:kern w:val="0"/>
          <w:sz w:val="30"/>
          <w:szCs w:val="30"/>
          <w:highlight w:val="none"/>
        </w:rPr>
        <w:t>最近3年</w:t>
      </w:r>
      <w:r>
        <w:rPr>
          <w:rFonts w:hint="eastAsia" w:ascii="宋体" w:hAnsi="宋体" w:eastAsia="宋体" w:cs="宋体"/>
          <w:b/>
          <w:color w:val="auto"/>
          <w:kern w:val="0"/>
          <w:sz w:val="30"/>
          <w:szCs w:val="30"/>
          <w:highlight w:val="none"/>
          <w:lang w:eastAsia="zh-CN"/>
        </w:rPr>
        <w:t>投标人</w:t>
      </w:r>
      <w:r>
        <w:rPr>
          <w:rFonts w:hint="eastAsia" w:ascii="宋体" w:hAnsi="宋体" w:eastAsia="宋体" w:cs="宋体"/>
          <w:b/>
          <w:color w:val="auto"/>
          <w:kern w:val="0"/>
          <w:sz w:val="30"/>
          <w:szCs w:val="30"/>
          <w:highlight w:val="none"/>
        </w:rPr>
        <w:t>牵涉的其他（失信和违法）</w:t>
      </w:r>
      <w:r>
        <w:rPr>
          <w:rFonts w:hint="eastAsia" w:ascii="宋体" w:hAnsi="宋体" w:eastAsia="宋体" w:cs="宋体"/>
          <w:b/>
          <w:bCs/>
          <w:color w:val="auto"/>
          <w:sz w:val="32"/>
          <w:szCs w:val="32"/>
          <w:highlight w:val="none"/>
          <w:lang w:val="zh-CN"/>
        </w:rPr>
        <w:t>处罚说明</w:t>
      </w:r>
    </w:p>
    <w:tbl>
      <w:tblPr>
        <w:tblStyle w:val="5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3"/>
        <w:gridCol w:w="1417"/>
        <w:gridCol w:w="2268"/>
        <w:gridCol w:w="1276"/>
      </w:tblGrid>
      <w:tr w14:paraId="1530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253" w:type="dxa"/>
            <w:vAlign w:val="center"/>
          </w:tcPr>
          <w:p w14:paraId="4EC46B72">
            <w:pPr>
              <w:autoSpaceDE w:val="0"/>
              <w:autoSpaceDN w:val="0"/>
              <w:adjustRightInd w:val="0"/>
              <w:spacing w:line="360" w:lineRule="auto"/>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         事项名称</w:t>
            </w:r>
          </w:p>
        </w:tc>
        <w:tc>
          <w:tcPr>
            <w:tcW w:w="1417" w:type="dxa"/>
            <w:vAlign w:val="center"/>
          </w:tcPr>
          <w:p w14:paraId="40FEFCD5">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认定时间</w:t>
            </w:r>
          </w:p>
        </w:tc>
        <w:tc>
          <w:tcPr>
            <w:tcW w:w="2268" w:type="dxa"/>
          </w:tcPr>
          <w:p w14:paraId="42AB5711">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处罚期届满异常名录信息失效时间</w:t>
            </w:r>
          </w:p>
        </w:tc>
        <w:tc>
          <w:tcPr>
            <w:tcW w:w="1276" w:type="dxa"/>
            <w:vAlign w:val="center"/>
          </w:tcPr>
          <w:p w14:paraId="7D62CDB5">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备注</w:t>
            </w:r>
          </w:p>
        </w:tc>
      </w:tr>
      <w:tr w14:paraId="4614F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4253" w:type="dxa"/>
            <w:vAlign w:val="center"/>
          </w:tcPr>
          <w:p w14:paraId="15491B74">
            <w:pPr>
              <w:autoSpaceDE w:val="0"/>
              <w:autoSpaceDN w:val="0"/>
              <w:adjustRightInd w:val="0"/>
              <w:spacing w:line="360" w:lineRule="auto"/>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是否被认定为失信被执行人</w:t>
            </w:r>
          </w:p>
        </w:tc>
        <w:tc>
          <w:tcPr>
            <w:tcW w:w="1417" w:type="dxa"/>
            <w:vAlign w:val="center"/>
          </w:tcPr>
          <w:p w14:paraId="47E6D8AD">
            <w:pPr>
              <w:autoSpaceDE w:val="0"/>
              <w:autoSpaceDN w:val="0"/>
              <w:adjustRightInd w:val="0"/>
              <w:spacing w:line="360" w:lineRule="auto"/>
              <w:jc w:val="center"/>
              <w:rPr>
                <w:rFonts w:ascii="宋体" w:hAnsi="宋体" w:eastAsia="宋体" w:cs="宋体"/>
                <w:color w:val="auto"/>
                <w:kern w:val="0"/>
                <w:szCs w:val="21"/>
                <w:highlight w:val="none"/>
              </w:rPr>
            </w:pPr>
          </w:p>
        </w:tc>
        <w:tc>
          <w:tcPr>
            <w:tcW w:w="2268" w:type="dxa"/>
            <w:vAlign w:val="center"/>
          </w:tcPr>
          <w:p w14:paraId="38ABF849">
            <w:pPr>
              <w:autoSpaceDE w:val="0"/>
              <w:autoSpaceDN w:val="0"/>
              <w:adjustRightInd w:val="0"/>
              <w:spacing w:line="360" w:lineRule="auto"/>
              <w:jc w:val="center"/>
              <w:rPr>
                <w:rFonts w:ascii="宋体" w:hAnsi="宋体" w:eastAsia="宋体" w:cs="宋体"/>
                <w:color w:val="auto"/>
                <w:kern w:val="0"/>
                <w:szCs w:val="21"/>
                <w:highlight w:val="none"/>
              </w:rPr>
            </w:pPr>
          </w:p>
        </w:tc>
        <w:tc>
          <w:tcPr>
            <w:tcW w:w="1276" w:type="dxa"/>
            <w:vAlign w:val="center"/>
          </w:tcPr>
          <w:p w14:paraId="01D50C92">
            <w:pPr>
              <w:autoSpaceDE w:val="0"/>
              <w:autoSpaceDN w:val="0"/>
              <w:adjustRightInd w:val="0"/>
              <w:spacing w:line="360" w:lineRule="auto"/>
              <w:jc w:val="center"/>
              <w:rPr>
                <w:rFonts w:ascii="宋体" w:hAnsi="宋体" w:eastAsia="宋体" w:cs="宋体"/>
                <w:color w:val="auto"/>
                <w:kern w:val="0"/>
                <w:szCs w:val="21"/>
                <w:highlight w:val="none"/>
              </w:rPr>
            </w:pPr>
          </w:p>
        </w:tc>
      </w:tr>
      <w:tr w14:paraId="04261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253" w:type="dxa"/>
            <w:vAlign w:val="center"/>
          </w:tcPr>
          <w:p w14:paraId="6F855C6A">
            <w:pPr>
              <w:autoSpaceDE w:val="0"/>
              <w:autoSpaceDN w:val="0"/>
              <w:adjustRightInd w:val="0"/>
              <w:spacing w:line="360" w:lineRule="auto"/>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是否被认定为重大税收违法失信主体</w:t>
            </w:r>
          </w:p>
        </w:tc>
        <w:tc>
          <w:tcPr>
            <w:tcW w:w="1417" w:type="dxa"/>
            <w:vAlign w:val="center"/>
          </w:tcPr>
          <w:p w14:paraId="1FC27AEE">
            <w:pPr>
              <w:autoSpaceDE w:val="0"/>
              <w:autoSpaceDN w:val="0"/>
              <w:adjustRightInd w:val="0"/>
              <w:spacing w:line="360" w:lineRule="auto"/>
              <w:jc w:val="center"/>
              <w:rPr>
                <w:rFonts w:ascii="宋体" w:hAnsi="宋体" w:eastAsia="宋体" w:cs="宋体"/>
                <w:color w:val="auto"/>
                <w:kern w:val="0"/>
                <w:szCs w:val="21"/>
                <w:highlight w:val="none"/>
              </w:rPr>
            </w:pPr>
          </w:p>
        </w:tc>
        <w:tc>
          <w:tcPr>
            <w:tcW w:w="2268" w:type="dxa"/>
            <w:vAlign w:val="center"/>
          </w:tcPr>
          <w:p w14:paraId="3B91F831">
            <w:pPr>
              <w:autoSpaceDE w:val="0"/>
              <w:autoSpaceDN w:val="0"/>
              <w:adjustRightInd w:val="0"/>
              <w:spacing w:line="360" w:lineRule="auto"/>
              <w:jc w:val="center"/>
              <w:rPr>
                <w:rFonts w:ascii="宋体" w:hAnsi="宋体" w:eastAsia="宋体" w:cs="宋体"/>
                <w:color w:val="auto"/>
                <w:kern w:val="0"/>
                <w:szCs w:val="21"/>
                <w:highlight w:val="none"/>
              </w:rPr>
            </w:pPr>
          </w:p>
        </w:tc>
        <w:tc>
          <w:tcPr>
            <w:tcW w:w="1276" w:type="dxa"/>
            <w:vAlign w:val="center"/>
          </w:tcPr>
          <w:p w14:paraId="6B51E654">
            <w:pPr>
              <w:autoSpaceDE w:val="0"/>
              <w:autoSpaceDN w:val="0"/>
              <w:adjustRightInd w:val="0"/>
              <w:spacing w:line="360" w:lineRule="auto"/>
              <w:jc w:val="center"/>
              <w:rPr>
                <w:rFonts w:ascii="宋体" w:hAnsi="宋体" w:eastAsia="宋体" w:cs="宋体"/>
                <w:color w:val="auto"/>
                <w:kern w:val="0"/>
                <w:szCs w:val="21"/>
                <w:highlight w:val="none"/>
              </w:rPr>
            </w:pPr>
          </w:p>
        </w:tc>
      </w:tr>
      <w:tr w14:paraId="2BA96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4253" w:type="dxa"/>
            <w:vAlign w:val="center"/>
          </w:tcPr>
          <w:p w14:paraId="71D7AE3E">
            <w:pPr>
              <w:autoSpaceDE w:val="0"/>
              <w:autoSpaceDN w:val="0"/>
              <w:adjustRightInd w:val="0"/>
              <w:spacing w:line="360" w:lineRule="auto"/>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是否被认定为政府采购严重违法失信行为记录名单</w:t>
            </w:r>
          </w:p>
        </w:tc>
        <w:tc>
          <w:tcPr>
            <w:tcW w:w="1417" w:type="dxa"/>
            <w:vAlign w:val="center"/>
          </w:tcPr>
          <w:p w14:paraId="78A5EDA9">
            <w:pPr>
              <w:autoSpaceDE w:val="0"/>
              <w:autoSpaceDN w:val="0"/>
              <w:adjustRightInd w:val="0"/>
              <w:spacing w:line="360" w:lineRule="auto"/>
              <w:jc w:val="center"/>
              <w:rPr>
                <w:rFonts w:ascii="宋体" w:hAnsi="宋体" w:eastAsia="宋体" w:cs="宋体"/>
                <w:color w:val="auto"/>
                <w:kern w:val="0"/>
                <w:szCs w:val="21"/>
                <w:highlight w:val="none"/>
              </w:rPr>
            </w:pPr>
          </w:p>
        </w:tc>
        <w:tc>
          <w:tcPr>
            <w:tcW w:w="2268" w:type="dxa"/>
            <w:vAlign w:val="center"/>
          </w:tcPr>
          <w:p w14:paraId="7DD320F4">
            <w:pPr>
              <w:autoSpaceDE w:val="0"/>
              <w:autoSpaceDN w:val="0"/>
              <w:adjustRightInd w:val="0"/>
              <w:spacing w:line="360" w:lineRule="auto"/>
              <w:jc w:val="center"/>
              <w:rPr>
                <w:rFonts w:ascii="宋体" w:hAnsi="宋体" w:eastAsia="宋体" w:cs="宋体"/>
                <w:color w:val="auto"/>
                <w:kern w:val="0"/>
                <w:szCs w:val="21"/>
                <w:highlight w:val="none"/>
              </w:rPr>
            </w:pPr>
          </w:p>
        </w:tc>
        <w:tc>
          <w:tcPr>
            <w:tcW w:w="1276" w:type="dxa"/>
            <w:vAlign w:val="center"/>
          </w:tcPr>
          <w:p w14:paraId="2F1BB3EF">
            <w:pPr>
              <w:autoSpaceDE w:val="0"/>
              <w:autoSpaceDN w:val="0"/>
              <w:adjustRightInd w:val="0"/>
              <w:spacing w:line="360" w:lineRule="auto"/>
              <w:jc w:val="center"/>
              <w:rPr>
                <w:rFonts w:ascii="宋体" w:hAnsi="宋体" w:eastAsia="宋体" w:cs="宋体"/>
                <w:color w:val="auto"/>
                <w:kern w:val="0"/>
                <w:szCs w:val="21"/>
                <w:highlight w:val="none"/>
              </w:rPr>
            </w:pPr>
          </w:p>
        </w:tc>
      </w:tr>
    </w:tbl>
    <w:p w14:paraId="550E5002">
      <w:pPr>
        <w:autoSpaceDE w:val="0"/>
        <w:autoSpaceDN w:val="0"/>
        <w:adjustRightInd w:val="0"/>
        <w:spacing w:line="360" w:lineRule="auto"/>
        <w:jc w:val="left"/>
        <w:rPr>
          <w:rFonts w:ascii="宋体" w:hAnsi="宋体" w:eastAsia="宋体" w:cs="宋体"/>
          <w:color w:val="auto"/>
          <w:kern w:val="0"/>
          <w:szCs w:val="21"/>
          <w:highlight w:val="none"/>
        </w:rPr>
      </w:pPr>
    </w:p>
    <w:p w14:paraId="2B3DE701">
      <w:pPr>
        <w:autoSpaceDE w:val="0"/>
        <w:autoSpaceDN w:val="0"/>
        <w:adjustRightInd w:val="0"/>
        <w:spacing w:line="360" w:lineRule="auto"/>
        <w:jc w:val="left"/>
        <w:rPr>
          <w:rFonts w:ascii="宋体" w:hAnsi="宋体" w:eastAsia="宋体" w:cs="宋体"/>
          <w:color w:val="auto"/>
          <w:szCs w:val="21"/>
          <w:highlight w:val="none"/>
          <w:lang w:val="zh-CN"/>
        </w:rPr>
      </w:pPr>
      <w:r>
        <w:rPr>
          <w:rFonts w:hint="eastAsia" w:ascii="宋体" w:hAnsi="宋体" w:eastAsia="宋体" w:cs="宋体"/>
          <w:color w:val="auto"/>
          <w:kern w:val="0"/>
          <w:szCs w:val="21"/>
          <w:highlight w:val="none"/>
        </w:rPr>
        <w:t>备注：根据</w:t>
      </w:r>
      <w:r>
        <w:rPr>
          <w:rFonts w:hint="eastAsia" w:ascii="宋体" w:hAnsi="宋体" w:eastAsia="宋体" w:cs="宋体"/>
          <w:color w:val="auto"/>
          <w:kern w:val="0"/>
          <w:szCs w:val="21"/>
          <w:highlight w:val="none"/>
          <w:lang w:eastAsia="zh-CN"/>
        </w:rPr>
        <w:t>投标人</w:t>
      </w:r>
      <w:r>
        <w:rPr>
          <w:rFonts w:hint="eastAsia" w:ascii="宋体" w:hAnsi="宋体" w:eastAsia="宋体" w:cs="宋体"/>
          <w:color w:val="auto"/>
          <w:kern w:val="0"/>
          <w:szCs w:val="21"/>
          <w:highlight w:val="none"/>
        </w:rPr>
        <w:t>及其不具有独立法人资格的分支机构的实际情况自行编写，无相关事项的，在 “认定时间”列填“无”；若受到相关处罚的应附处罚相关材料扫描件；若出现相关处罚的处罚期满,但处罚公示没有及时更新的情况,</w:t>
      </w:r>
      <w:r>
        <w:rPr>
          <w:rFonts w:hint="eastAsia" w:ascii="宋体" w:hAnsi="宋体" w:eastAsia="宋体" w:cs="宋体"/>
          <w:color w:val="auto"/>
          <w:kern w:val="0"/>
          <w:szCs w:val="21"/>
          <w:highlight w:val="none"/>
          <w:lang w:eastAsia="zh-CN"/>
        </w:rPr>
        <w:t>投标人</w:t>
      </w:r>
      <w:r>
        <w:rPr>
          <w:rFonts w:hint="eastAsia" w:ascii="宋体" w:hAnsi="宋体" w:eastAsia="宋体" w:cs="宋体"/>
          <w:color w:val="auto"/>
          <w:kern w:val="0"/>
          <w:szCs w:val="21"/>
          <w:highlight w:val="none"/>
        </w:rPr>
        <w:t>须提供相关材料</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扫描件</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佐证，需原件备查</w:t>
      </w:r>
      <w:r>
        <w:rPr>
          <w:rFonts w:hint="eastAsia" w:ascii="宋体" w:hAnsi="宋体" w:eastAsia="宋体" w:cs="宋体"/>
          <w:color w:val="auto"/>
          <w:szCs w:val="21"/>
          <w:highlight w:val="none"/>
          <w:lang w:val="zh-CN"/>
        </w:rPr>
        <w:t>。</w:t>
      </w:r>
    </w:p>
    <w:p w14:paraId="79DED7BE">
      <w:pPr>
        <w:autoSpaceDE w:val="0"/>
        <w:autoSpaceDN w:val="0"/>
        <w:adjustRightInd w:val="0"/>
        <w:ind w:right="-23" w:rightChars="-11"/>
        <w:jc w:val="left"/>
        <w:rPr>
          <w:rFonts w:ascii="宋体" w:hAnsi="宋体" w:eastAsia="宋体" w:cs="Times New Roman"/>
          <w:b/>
          <w:bCs/>
          <w:color w:val="auto"/>
          <w:kern w:val="0"/>
          <w:szCs w:val="21"/>
          <w:highlight w:val="none"/>
          <w:lang w:val="zh-CN"/>
        </w:rPr>
      </w:pPr>
    </w:p>
    <w:p w14:paraId="45D0DDFB">
      <w:pPr>
        <w:autoSpaceDE w:val="0"/>
        <w:autoSpaceDN w:val="0"/>
        <w:adjustRightInd w:val="0"/>
        <w:spacing w:line="360" w:lineRule="auto"/>
        <w:jc w:val="center"/>
        <w:rPr>
          <w:rFonts w:ascii="宋体" w:hAnsi="宋体" w:eastAsia="宋体" w:cs="宋体"/>
          <w:color w:val="auto"/>
          <w:kern w:val="0"/>
          <w:sz w:val="24"/>
          <w:szCs w:val="24"/>
          <w:highlight w:val="none"/>
        </w:rPr>
      </w:pPr>
    </w:p>
    <w:p w14:paraId="44EE50A6">
      <w:pPr>
        <w:spacing w:line="360" w:lineRule="auto"/>
        <w:ind w:firstLine="494" w:firstLineChars="206"/>
        <w:rPr>
          <w:rFonts w:ascii="宋体" w:hAnsi="宋体" w:eastAsia="宋体" w:cs="宋体"/>
          <w:color w:val="auto"/>
          <w:kern w:val="0"/>
          <w:sz w:val="24"/>
          <w:szCs w:val="24"/>
          <w:highlight w:val="none"/>
        </w:rPr>
      </w:pPr>
    </w:p>
    <w:p w14:paraId="681F72FE">
      <w:pPr>
        <w:spacing w:line="360" w:lineRule="auto"/>
        <w:ind w:firstLine="494" w:firstLineChars="206"/>
        <w:rPr>
          <w:rFonts w:ascii="宋体" w:hAnsi="宋体" w:eastAsia="宋体" w:cs="宋体"/>
          <w:color w:val="auto"/>
          <w:kern w:val="0"/>
          <w:sz w:val="24"/>
          <w:szCs w:val="24"/>
          <w:highlight w:val="none"/>
        </w:rPr>
      </w:pPr>
    </w:p>
    <w:p w14:paraId="68E1496D">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02931977">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1FF785A9">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0D2E0407">
      <w:pPr>
        <w:autoSpaceDE w:val="0"/>
        <w:autoSpaceDN w:val="0"/>
        <w:adjustRightInd w:val="0"/>
        <w:spacing w:line="360" w:lineRule="auto"/>
        <w:jc w:val="center"/>
        <w:rPr>
          <w:rFonts w:ascii="宋体" w:hAnsi="宋体" w:eastAsia="宋体" w:cs="Times New Roman"/>
          <w:b/>
          <w:bCs/>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说明：由投标人使用投标人的企业数字证书电子签名。</w:t>
      </w:r>
    </w:p>
    <w:p w14:paraId="695E7DE6">
      <w:pPr>
        <w:autoSpaceDE w:val="0"/>
        <w:autoSpaceDN w:val="0"/>
        <w:adjustRightInd w:val="0"/>
        <w:spacing w:line="360" w:lineRule="auto"/>
        <w:ind w:right="781" w:rightChars="372" w:firstLine="2811" w:firstLineChars="1339"/>
        <w:rPr>
          <w:rFonts w:ascii="宋体" w:hAnsi="宋体" w:eastAsia="宋体" w:cs="宋体"/>
          <w:color w:val="auto"/>
          <w:szCs w:val="24"/>
          <w:highlight w:val="none"/>
          <w:lang w:val="zh-CN"/>
        </w:rPr>
      </w:pPr>
    </w:p>
    <w:p w14:paraId="5FF726CA">
      <w:pPr>
        <w:rPr>
          <w:rFonts w:ascii="宋体" w:hAnsi="宋体" w:eastAsia="宋体" w:cs="宋体"/>
          <w:color w:val="auto"/>
          <w:szCs w:val="24"/>
          <w:highlight w:val="none"/>
          <w:lang w:val="zh-CN"/>
        </w:rPr>
      </w:pPr>
      <w:bookmarkStart w:id="749" w:name="_Toc142508374"/>
      <w:bookmarkStart w:id="750" w:name="_Toc6412"/>
      <w:bookmarkStart w:id="751" w:name="_Toc2031_WPSOffice_Level2"/>
      <w:bookmarkStart w:id="752" w:name="_Toc140596934"/>
      <w:bookmarkStart w:id="753" w:name="_Toc486167714"/>
      <w:bookmarkStart w:id="754" w:name="_Toc30939"/>
      <w:bookmarkStart w:id="755" w:name="_Toc94107215"/>
      <w:bookmarkStart w:id="756" w:name="_Toc102860079"/>
      <w:bookmarkStart w:id="757" w:name="_Toc1977731"/>
      <w:bookmarkStart w:id="758" w:name="_Toc102860423"/>
      <w:bookmarkStart w:id="759" w:name="_Toc533708126"/>
      <w:bookmarkStart w:id="760" w:name="_Toc104991881"/>
      <w:r>
        <w:rPr>
          <w:rFonts w:ascii="宋体" w:hAnsi="宋体" w:eastAsia="宋体" w:cs="宋体"/>
          <w:color w:val="auto"/>
          <w:szCs w:val="24"/>
          <w:highlight w:val="none"/>
          <w:lang w:val="zh-CN"/>
        </w:rPr>
        <w:br w:type="page"/>
      </w:r>
    </w:p>
    <w:p w14:paraId="31D4623A">
      <w:pPr>
        <w:tabs>
          <w:tab w:val="left" w:pos="567"/>
        </w:tabs>
        <w:autoSpaceDE w:val="0"/>
        <w:autoSpaceDN w:val="0"/>
        <w:adjustRightInd w:val="0"/>
        <w:spacing w:line="360" w:lineRule="auto"/>
        <w:jc w:val="left"/>
        <w:outlineLvl w:val="3"/>
        <w:rPr>
          <w:rFonts w:ascii="宋体" w:hAnsi="宋体" w:eastAsia="宋体" w:cs="Times New Roman"/>
          <w:color w:val="auto"/>
          <w:kern w:val="0"/>
          <w:szCs w:val="21"/>
          <w:highlight w:val="none"/>
          <w:u w:val="single"/>
        </w:rPr>
      </w:pPr>
      <w:bookmarkStart w:id="761" w:name="_Toc195714388"/>
      <w:bookmarkStart w:id="762" w:name="_Toc18145"/>
      <w:bookmarkStart w:id="763" w:name="_Toc17508"/>
      <w:r>
        <w:rPr>
          <w:rFonts w:hint="eastAsia" w:ascii="宋体" w:hAnsi="宋体" w:eastAsia="宋体" w:cs="宋体"/>
          <w:b/>
          <w:color w:val="auto"/>
          <w:sz w:val="32"/>
          <w:szCs w:val="32"/>
          <w:highlight w:val="none"/>
          <w:lang w:val="en-US" w:eastAsia="zh-CN"/>
        </w:rPr>
        <w:t>五</w:t>
      </w:r>
      <w:r>
        <w:rPr>
          <w:rFonts w:hint="eastAsia" w:ascii="宋体" w:hAnsi="宋体" w:eastAsia="宋体" w:cs="宋体"/>
          <w:b/>
          <w:color w:val="auto"/>
          <w:kern w:val="0"/>
          <w:sz w:val="32"/>
          <w:szCs w:val="32"/>
          <w:highlight w:val="none"/>
        </w:rPr>
        <w:t>、</w:t>
      </w:r>
      <w:r>
        <w:rPr>
          <w:rFonts w:hint="eastAsia" w:ascii="宋体" w:hAnsi="宋体" w:eastAsia="宋体" w:cs="宋体"/>
          <w:b/>
          <w:color w:val="auto"/>
          <w:kern w:val="0"/>
          <w:sz w:val="32"/>
          <w:szCs w:val="32"/>
          <w:highlight w:val="none"/>
          <w:lang w:eastAsia="zh-CN"/>
        </w:rPr>
        <w:t>投标人</w:t>
      </w:r>
      <w:r>
        <w:rPr>
          <w:rFonts w:hint="eastAsia" w:ascii="宋体" w:hAnsi="宋体" w:eastAsia="宋体" w:cs="宋体"/>
          <w:b/>
          <w:color w:val="auto"/>
          <w:kern w:val="0"/>
          <w:sz w:val="32"/>
          <w:szCs w:val="32"/>
          <w:highlight w:val="none"/>
        </w:rPr>
        <w:t>基本情况</w:t>
      </w:r>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p>
    <w:p w14:paraId="5C69BBA2">
      <w:pPr>
        <w:spacing w:line="360" w:lineRule="auto"/>
        <w:ind w:firstLine="2849" w:firstLineChars="946"/>
        <w:rPr>
          <w:rFonts w:hint="eastAsia" w:hAnsi="宋体" w:eastAsia="宋体" w:cs="宋体"/>
          <w:b/>
          <w:bCs/>
          <w:kern w:val="2"/>
          <w:sz w:val="30"/>
          <w:szCs w:val="30"/>
          <w:highlight w:val="none"/>
        </w:rPr>
      </w:pPr>
      <w:r>
        <w:rPr>
          <w:rFonts w:hint="eastAsia" w:hAnsi="宋体" w:eastAsia="宋体" w:cs="宋体"/>
          <w:b/>
          <w:bCs/>
          <w:kern w:val="2"/>
          <w:sz w:val="30"/>
          <w:szCs w:val="30"/>
          <w:highlight w:val="none"/>
          <w:lang w:eastAsia="zh-CN"/>
        </w:rPr>
        <w:t>投标人</w:t>
      </w:r>
      <w:r>
        <w:rPr>
          <w:rFonts w:hint="eastAsia" w:hAnsi="宋体" w:eastAsia="宋体" w:cs="宋体"/>
          <w:b/>
          <w:bCs/>
          <w:kern w:val="2"/>
          <w:sz w:val="30"/>
          <w:szCs w:val="30"/>
          <w:highlight w:val="none"/>
          <w:lang w:val="zh-CN"/>
        </w:rPr>
        <w:t>基本情况</w:t>
      </w:r>
    </w:p>
    <w:p w14:paraId="60892CB1">
      <w:pPr>
        <w:spacing w:before="120" w:beforeLines="50" w:line="360" w:lineRule="auto"/>
        <w:rPr>
          <w:rFonts w:hint="eastAsia" w:hAnsi="宋体" w:eastAsia="宋体" w:cs="宋体"/>
          <w:bCs/>
          <w:sz w:val="21"/>
          <w:szCs w:val="21"/>
          <w:highlight w:val="none"/>
        </w:rPr>
      </w:pPr>
      <w:r>
        <w:rPr>
          <w:rFonts w:hint="eastAsia" w:hAnsi="宋体" w:eastAsia="宋体" w:cs="宋体"/>
          <w:b/>
          <w:bCs w:val="0"/>
          <w:sz w:val="21"/>
          <w:szCs w:val="21"/>
          <w:highlight w:val="none"/>
        </w:rPr>
        <w:t>（一）</w:t>
      </w:r>
      <w:r>
        <w:rPr>
          <w:rFonts w:hint="eastAsia" w:hAnsi="宋体" w:eastAsia="宋体" w:cs="宋体"/>
          <w:b/>
          <w:sz w:val="21"/>
          <w:szCs w:val="21"/>
          <w:highlight w:val="none"/>
        </w:rPr>
        <w:t>企业发展历程、企业规模、主营业务等</w:t>
      </w:r>
    </w:p>
    <w:p w14:paraId="5B2A8E5D">
      <w:pPr>
        <w:spacing w:before="120" w:beforeLines="50" w:line="360" w:lineRule="auto"/>
        <w:rPr>
          <w:rFonts w:hint="eastAsia" w:hAnsi="宋体" w:eastAsia="宋体" w:cs="宋体"/>
          <w:bCs/>
          <w:sz w:val="21"/>
          <w:szCs w:val="21"/>
          <w:highlight w:val="none"/>
        </w:rPr>
      </w:pPr>
      <w:r>
        <w:rPr>
          <w:rFonts w:hint="eastAsia" w:hAnsi="宋体" w:eastAsia="宋体" w:cs="宋体"/>
          <w:bCs/>
          <w:sz w:val="21"/>
          <w:szCs w:val="21"/>
          <w:highlight w:val="none"/>
        </w:rPr>
        <w:t>（</w:t>
      </w:r>
      <w:r>
        <w:rPr>
          <w:rFonts w:hint="eastAsia" w:hAnsi="宋体" w:eastAsia="宋体" w:cs="宋体"/>
          <w:bCs/>
          <w:sz w:val="21"/>
          <w:szCs w:val="21"/>
          <w:highlight w:val="none"/>
          <w:lang w:eastAsia="zh-CN"/>
        </w:rPr>
        <w:t>投标人</w:t>
      </w:r>
      <w:r>
        <w:rPr>
          <w:rFonts w:hint="eastAsia" w:hAnsi="宋体" w:eastAsia="宋体" w:cs="宋体"/>
          <w:bCs/>
          <w:sz w:val="21"/>
          <w:szCs w:val="21"/>
          <w:highlight w:val="none"/>
        </w:rPr>
        <w:t>自行编制）</w:t>
      </w:r>
    </w:p>
    <w:p w14:paraId="7AB58432">
      <w:pPr>
        <w:spacing w:before="120" w:beforeLines="50" w:line="360" w:lineRule="auto"/>
        <w:rPr>
          <w:rFonts w:hint="eastAsia" w:hAnsi="宋体" w:eastAsia="宋体" w:cs="宋体"/>
          <w:bCs/>
          <w:sz w:val="21"/>
          <w:szCs w:val="21"/>
          <w:highlight w:val="none"/>
        </w:rPr>
      </w:pPr>
      <w:r>
        <w:rPr>
          <w:rFonts w:hint="eastAsia" w:hAnsi="宋体" w:eastAsia="宋体" w:cs="宋体"/>
          <w:b/>
          <w:sz w:val="21"/>
          <w:szCs w:val="21"/>
          <w:highlight w:val="none"/>
        </w:rPr>
        <w:t>（二）污泥处置的工艺、年生产能力、最终处置副产品</w:t>
      </w:r>
    </w:p>
    <w:p w14:paraId="180DDAE8">
      <w:pPr>
        <w:spacing w:before="120" w:beforeLines="50" w:line="360" w:lineRule="auto"/>
        <w:rPr>
          <w:rFonts w:hint="eastAsia" w:hAnsi="宋体" w:eastAsia="宋体" w:cs="宋体"/>
          <w:bCs/>
          <w:sz w:val="21"/>
          <w:szCs w:val="21"/>
          <w:highlight w:val="none"/>
        </w:rPr>
      </w:pPr>
      <w:r>
        <w:rPr>
          <w:rFonts w:hint="eastAsia" w:hAnsi="宋体" w:eastAsia="宋体" w:cs="宋体"/>
          <w:bCs/>
          <w:sz w:val="21"/>
          <w:szCs w:val="21"/>
          <w:highlight w:val="none"/>
        </w:rPr>
        <w:t>（</w:t>
      </w:r>
      <w:r>
        <w:rPr>
          <w:rFonts w:hint="eastAsia" w:hAnsi="宋体" w:eastAsia="宋体" w:cs="宋体"/>
          <w:bCs/>
          <w:sz w:val="21"/>
          <w:szCs w:val="21"/>
          <w:highlight w:val="none"/>
          <w:lang w:eastAsia="zh-CN"/>
        </w:rPr>
        <w:t>投标人</w:t>
      </w:r>
      <w:r>
        <w:rPr>
          <w:rFonts w:hint="eastAsia" w:hAnsi="宋体" w:eastAsia="宋体" w:cs="宋体"/>
          <w:bCs/>
          <w:sz w:val="21"/>
          <w:szCs w:val="21"/>
          <w:highlight w:val="none"/>
        </w:rPr>
        <w:t>自行编制，其中</w:t>
      </w:r>
      <w:r>
        <w:rPr>
          <w:rFonts w:hint="eastAsia" w:hAnsi="宋体" w:eastAsia="宋体" w:cs="宋体"/>
          <w:bCs/>
          <w:sz w:val="21"/>
          <w:szCs w:val="21"/>
          <w:highlight w:val="none"/>
          <w:lang w:eastAsia="zh-CN"/>
        </w:rPr>
        <w:t>投标人</w:t>
      </w:r>
      <w:r>
        <w:rPr>
          <w:rFonts w:hint="eastAsia" w:hAnsi="宋体" w:eastAsia="宋体" w:cs="宋体"/>
          <w:bCs/>
          <w:sz w:val="21"/>
          <w:szCs w:val="21"/>
          <w:highlight w:val="none"/>
        </w:rPr>
        <w:t>泥粉/污泥</w:t>
      </w:r>
      <w:r>
        <w:rPr>
          <w:rFonts w:hint="eastAsia" w:hAnsi="宋体" w:eastAsia="宋体" w:cs="宋体"/>
          <w:bCs/>
          <w:sz w:val="21"/>
          <w:szCs w:val="21"/>
          <w:highlight w:val="none"/>
          <w:lang w:eastAsia="zh-CN"/>
        </w:rPr>
        <w:t>处置场所</w:t>
      </w:r>
      <w:r>
        <w:rPr>
          <w:rFonts w:hint="eastAsia" w:hAnsi="宋体" w:eastAsia="宋体" w:cs="宋体"/>
          <w:bCs/>
          <w:sz w:val="21"/>
          <w:szCs w:val="21"/>
          <w:highlight w:val="none"/>
        </w:rPr>
        <w:t>生产的产品为燃料棒、生物质颗粒等未经高温焚烧处理的，提供产品作为电厂燃料进行高温焚烧处理的服务合同；）</w:t>
      </w:r>
    </w:p>
    <w:p w14:paraId="79E1F8E9">
      <w:pPr>
        <w:spacing w:before="120" w:beforeLines="50" w:line="360" w:lineRule="auto"/>
        <w:rPr>
          <w:rFonts w:hint="eastAsia" w:hAnsi="宋体" w:eastAsia="宋体" w:cs="宋体"/>
          <w:bCs/>
          <w:sz w:val="21"/>
          <w:szCs w:val="21"/>
          <w:highlight w:val="none"/>
        </w:rPr>
      </w:pPr>
      <w:r>
        <w:rPr>
          <w:rFonts w:hint="eastAsia" w:hAnsi="宋体" w:eastAsia="宋体" w:cs="宋体"/>
          <w:b/>
          <w:sz w:val="21"/>
          <w:szCs w:val="21"/>
          <w:highlight w:val="none"/>
        </w:rPr>
        <w:t>（三）处置半干化泥粉项目的污泥贮存场地、污泥处置主要设备、处置设施</w:t>
      </w:r>
    </w:p>
    <w:p w14:paraId="39574E66">
      <w:pPr>
        <w:spacing w:before="120" w:beforeLines="50" w:line="360" w:lineRule="auto"/>
        <w:rPr>
          <w:rFonts w:hint="eastAsia" w:hAnsi="宋体" w:eastAsia="宋体" w:cs="宋体"/>
          <w:bCs/>
          <w:sz w:val="21"/>
          <w:szCs w:val="21"/>
          <w:highlight w:val="none"/>
        </w:rPr>
      </w:pPr>
      <w:r>
        <w:rPr>
          <w:rFonts w:hint="eastAsia" w:hAnsi="宋体" w:eastAsia="宋体" w:cs="宋体"/>
          <w:bCs/>
          <w:sz w:val="21"/>
          <w:szCs w:val="21"/>
          <w:highlight w:val="none"/>
        </w:rPr>
        <w:t>（</w:t>
      </w:r>
      <w:r>
        <w:rPr>
          <w:rFonts w:hint="eastAsia" w:hAnsi="宋体" w:eastAsia="宋体" w:cs="宋体"/>
          <w:bCs/>
          <w:sz w:val="21"/>
          <w:szCs w:val="21"/>
          <w:highlight w:val="none"/>
          <w:lang w:eastAsia="zh-CN"/>
        </w:rPr>
        <w:t>投标人</w:t>
      </w:r>
      <w:r>
        <w:rPr>
          <w:rFonts w:hint="eastAsia" w:hAnsi="宋体" w:eastAsia="宋体" w:cs="宋体"/>
          <w:bCs/>
          <w:sz w:val="21"/>
          <w:szCs w:val="21"/>
          <w:highlight w:val="none"/>
        </w:rPr>
        <w:t>自行编制，其中污泥贮存场地为自有的，提供自有产权证明</w:t>
      </w:r>
      <w:r>
        <w:rPr>
          <w:rFonts w:hint="eastAsia" w:ascii="宋体" w:hAnsi="宋体" w:eastAsia="宋体" w:cs="宋体"/>
          <w:highlight w:val="none"/>
        </w:rPr>
        <w:t>原件扫描件</w:t>
      </w:r>
      <w:r>
        <w:rPr>
          <w:rFonts w:hint="eastAsia" w:hAnsi="宋体" w:eastAsia="宋体" w:cs="宋体"/>
          <w:bCs/>
          <w:sz w:val="21"/>
          <w:szCs w:val="21"/>
          <w:highlight w:val="none"/>
        </w:rPr>
        <w:t>，或非自有产权时提供租赁合同</w:t>
      </w:r>
      <w:r>
        <w:rPr>
          <w:rFonts w:hint="eastAsia" w:ascii="宋体" w:hAnsi="宋体" w:eastAsia="宋体" w:cs="宋体"/>
          <w:highlight w:val="none"/>
        </w:rPr>
        <w:t>原件扫描件</w:t>
      </w:r>
      <w:r>
        <w:rPr>
          <w:rFonts w:hint="eastAsia" w:hAnsi="宋体" w:eastAsia="宋体" w:cs="宋体"/>
          <w:bCs/>
          <w:sz w:val="21"/>
          <w:szCs w:val="21"/>
          <w:highlight w:val="none"/>
        </w:rPr>
        <w:t>；）</w:t>
      </w:r>
    </w:p>
    <w:p w14:paraId="42352198">
      <w:pPr>
        <w:spacing w:before="120" w:beforeLines="50" w:line="360" w:lineRule="auto"/>
        <w:rPr>
          <w:rFonts w:hint="eastAsia" w:hAnsi="宋体" w:eastAsia="宋体" w:cs="宋体"/>
          <w:bCs/>
          <w:sz w:val="21"/>
          <w:szCs w:val="21"/>
          <w:highlight w:val="none"/>
        </w:rPr>
      </w:pPr>
      <w:r>
        <w:rPr>
          <w:rFonts w:hint="eastAsia" w:hAnsi="宋体" w:eastAsia="宋体" w:cs="宋体"/>
          <w:b/>
          <w:sz w:val="21"/>
          <w:szCs w:val="21"/>
          <w:highlight w:val="none"/>
        </w:rPr>
        <w:t>（四）污泥处置主要设备、处置设施及配套环保设施</w:t>
      </w:r>
    </w:p>
    <w:p w14:paraId="360EEA5D">
      <w:pPr>
        <w:spacing w:before="120" w:beforeLines="50" w:line="360" w:lineRule="auto"/>
        <w:jc w:val="center"/>
        <w:rPr>
          <w:rFonts w:hint="eastAsia" w:hAnsi="宋体" w:eastAsia="宋体" w:cs="宋体"/>
          <w:bCs/>
          <w:sz w:val="21"/>
          <w:szCs w:val="21"/>
          <w:highlight w:val="none"/>
        </w:rPr>
      </w:pPr>
      <w:r>
        <w:rPr>
          <w:rFonts w:hint="eastAsia" w:hAnsi="宋体" w:eastAsia="宋体" w:cs="宋体"/>
          <w:bCs/>
          <w:sz w:val="21"/>
          <w:szCs w:val="21"/>
          <w:highlight w:val="none"/>
          <w:lang w:eastAsia="zh-CN"/>
        </w:rPr>
        <w:t>投标人</w:t>
      </w:r>
      <w:r>
        <w:rPr>
          <w:rFonts w:hint="eastAsia" w:hAnsi="宋体" w:eastAsia="宋体" w:cs="宋体"/>
          <w:bCs/>
          <w:sz w:val="21"/>
          <w:szCs w:val="21"/>
          <w:highlight w:val="none"/>
        </w:rPr>
        <w:t>具有处置半干化泥粉/污泥的设备设施清单表</w:t>
      </w:r>
    </w:p>
    <w:tbl>
      <w:tblPr>
        <w:tblStyle w:val="5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1885"/>
        <w:gridCol w:w="1708"/>
        <w:gridCol w:w="1708"/>
        <w:gridCol w:w="833"/>
        <w:gridCol w:w="1060"/>
        <w:gridCol w:w="1327"/>
      </w:tblGrid>
      <w:tr w14:paraId="033E8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dxa"/>
            <w:noWrap w:val="0"/>
            <w:vAlign w:val="center"/>
          </w:tcPr>
          <w:p w14:paraId="139E3A26">
            <w:pPr>
              <w:spacing w:before="120" w:beforeLines="50" w:line="360" w:lineRule="auto"/>
              <w:jc w:val="center"/>
              <w:rPr>
                <w:rFonts w:hint="eastAsia" w:hAnsi="宋体" w:eastAsia="宋体" w:cs="宋体"/>
                <w:sz w:val="21"/>
                <w:szCs w:val="21"/>
                <w:highlight w:val="none"/>
              </w:rPr>
            </w:pPr>
            <w:r>
              <w:rPr>
                <w:rFonts w:hint="eastAsia" w:hAnsi="宋体" w:eastAsia="宋体" w:cs="宋体"/>
                <w:sz w:val="21"/>
                <w:szCs w:val="21"/>
                <w:highlight w:val="none"/>
              </w:rPr>
              <w:t>序号</w:t>
            </w:r>
          </w:p>
        </w:tc>
        <w:tc>
          <w:tcPr>
            <w:tcW w:w="1885" w:type="dxa"/>
            <w:noWrap w:val="0"/>
            <w:vAlign w:val="center"/>
          </w:tcPr>
          <w:p w14:paraId="54738255">
            <w:pPr>
              <w:spacing w:before="120" w:beforeLines="50" w:line="360" w:lineRule="auto"/>
              <w:jc w:val="center"/>
              <w:rPr>
                <w:rFonts w:hint="eastAsia" w:hAnsi="宋体" w:eastAsia="宋体" w:cs="宋体"/>
                <w:sz w:val="21"/>
                <w:szCs w:val="21"/>
                <w:highlight w:val="none"/>
              </w:rPr>
            </w:pPr>
            <w:r>
              <w:rPr>
                <w:rFonts w:hint="eastAsia" w:hAnsi="宋体" w:eastAsia="宋体" w:cs="宋体"/>
                <w:sz w:val="21"/>
                <w:szCs w:val="21"/>
                <w:highlight w:val="none"/>
              </w:rPr>
              <w:t>设备名称</w:t>
            </w:r>
          </w:p>
        </w:tc>
        <w:tc>
          <w:tcPr>
            <w:tcW w:w="1708" w:type="dxa"/>
            <w:noWrap w:val="0"/>
            <w:vAlign w:val="center"/>
          </w:tcPr>
          <w:p w14:paraId="1DF0D894">
            <w:pPr>
              <w:spacing w:before="120" w:beforeLines="50" w:line="360" w:lineRule="auto"/>
              <w:jc w:val="center"/>
              <w:rPr>
                <w:rFonts w:hint="eastAsia" w:hAnsi="宋体" w:eastAsia="宋体" w:cs="宋体"/>
                <w:sz w:val="21"/>
                <w:szCs w:val="21"/>
                <w:highlight w:val="none"/>
              </w:rPr>
            </w:pPr>
            <w:r>
              <w:rPr>
                <w:rFonts w:hint="eastAsia" w:hAnsi="宋体" w:eastAsia="宋体" w:cs="宋体"/>
                <w:sz w:val="21"/>
                <w:szCs w:val="21"/>
                <w:highlight w:val="none"/>
              </w:rPr>
              <w:t>品牌</w:t>
            </w:r>
          </w:p>
        </w:tc>
        <w:tc>
          <w:tcPr>
            <w:tcW w:w="1708" w:type="dxa"/>
            <w:noWrap w:val="0"/>
            <w:vAlign w:val="center"/>
          </w:tcPr>
          <w:p w14:paraId="09A7607B">
            <w:pPr>
              <w:spacing w:before="120" w:beforeLines="50" w:line="360" w:lineRule="auto"/>
              <w:jc w:val="center"/>
              <w:rPr>
                <w:rFonts w:hint="eastAsia" w:hAnsi="宋体" w:eastAsia="宋体" w:cs="宋体"/>
                <w:sz w:val="21"/>
                <w:szCs w:val="21"/>
                <w:highlight w:val="none"/>
              </w:rPr>
            </w:pPr>
            <w:r>
              <w:rPr>
                <w:rFonts w:hint="eastAsia" w:hAnsi="宋体" w:eastAsia="宋体" w:cs="宋体"/>
                <w:sz w:val="21"/>
                <w:szCs w:val="21"/>
                <w:highlight w:val="none"/>
              </w:rPr>
              <w:t>设备型号、规格</w:t>
            </w:r>
          </w:p>
        </w:tc>
        <w:tc>
          <w:tcPr>
            <w:tcW w:w="833" w:type="dxa"/>
            <w:noWrap w:val="0"/>
            <w:vAlign w:val="center"/>
          </w:tcPr>
          <w:p w14:paraId="19A6E063">
            <w:pPr>
              <w:spacing w:before="120" w:beforeLines="50" w:line="360" w:lineRule="auto"/>
              <w:jc w:val="center"/>
              <w:rPr>
                <w:rFonts w:hint="eastAsia" w:hAnsi="宋体" w:eastAsia="宋体" w:cs="宋体"/>
                <w:sz w:val="21"/>
                <w:szCs w:val="21"/>
                <w:highlight w:val="none"/>
              </w:rPr>
            </w:pPr>
            <w:r>
              <w:rPr>
                <w:rFonts w:hint="eastAsia" w:hAnsi="宋体" w:eastAsia="宋体" w:cs="宋体"/>
                <w:sz w:val="21"/>
                <w:szCs w:val="21"/>
                <w:highlight w:val="none"/>
              </w:rPr>
              <w:t>单位</w:t>
            </w:r>
          </w:p>
        </w:tc>
        <w:tc>
          <w:tcPr>
            <w:tcW w:w="1060" w:type="dxa"/>
            <w:noWrap w:val="0"/>
            <w:vAlign w:val="center"/>
          </w:tcPr>
          <w:p w14:paraId="4F671C53">
            <w:pPr>
              <w:spacing w:before="120" w:beforeLines="50" w:line="360" w:lineRule="auto"/>
              <w:jc w:val="center"/>
              <w:rPr>
                <w:rFonts w:hint="eastAsia" w:hAnsi="宋体" w:eastAsia="宋体" w:cs="宋体"/>
                <w:sz w:val="21"/>
                <w:szCs w:val="21"/>
                <w:highlight w:val="none"/>
              </w:rPr>
            </w:pPr>
            <w:r>
              <w:rPr>
                <w:rFonts w:hint="eastAsia" w:hAnsi="宋体" w:eastAsia="宋体" w:cs="宋体"/>
                <w:sz w:val="21"/>
                <w:szCs w:val="21"/>
                <w:highlight w:val="none"/>
              </w:rPr>
              <w:t>数量</w:t>
            </w:r>
          </w:p>
        </w:tc>
        <w:tc>
          <w:tcPr>
            <w:tcW w:w="1327" w:type="dxa"/>
            <w:noWrap w:val="0"/>
            <w:vAlign w:val="center"/>
          </w:tcPr>
          <w:p w14:paraId="44DFF6F0">
            <w:pPr>
              <w:spacing w:before="120" w:beforeLines="50" w:line="360" w:lineRule="auto"/>
              <w:jc w:val="center"/>
              <w:rPr>
                <w:rFonts w:hint="eastAsia" w:hAnsi="宋体" w:eastAsia="宋体" w:cs="宋体"/>
                <w:sz w:val="21"/>
                <w:szCs w:val="21"/>
                <w:highlight w:val="none"/>
              </w:rPr>
            </w:pPr>
            <w:r>
              <w:rPr>
                <w:rFonts w:hint="eastAsia" w:hAnsi="宋体" w:eastAsia="宋体" w:cs="宋体"/>
                <w:sz w:val="21"/>
                <w:szCs w:val="21"/>
                <w:highlight w:val="none"/>
              </w:rPr>
              <w:t>备注</w:t>
            </w:r>
          </w:p>
        </w:tc>
      </w:tr>
      <w:tr w14:paraId="765DF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dxa"/>
            <w:noWrap w:val="0"/>
            <w:vAlign w:val="center"/>
          </w:tcPr>
          <w:p w14:paraId="7276BAD8">
            <w:pPr>
              <w:spacing w:before="120" w:beforeLines="50" w:line="360" w:lineRule="auto"/>
              <w:jc w:val="center"/>
              <w:rPr>
                <w:rFonts w:hint="eastAsia" w:hAnsi="宋体" w:eastAsia="宋体" w:cs="宋体"/>
                <w:sz w:val="21"/>
                <w:szCs w:val="21"/>
                <w:highlight w:val="none"/>
              </w:rPr>
            </w:pPr>
          </w:p>
        </w:tc>
        <w:tc>
          <w:tcPr>
            <w:tcW w:w="1885" w:type="dxa"/>
            <w:noWrap w:val="0"/>
            <w:vAlign w:val="center"/>
          </w:tcPr>
          <w:p w14:paraId="62A5F8A8">
            <w:pPr>
              <w:spacing w:before="120" w:beforeLines="50" w:line="360" w:lineRule="auto"/>
              <w:jc w:val="center"/>
              <w:rPr>
                <w:rFonts w:hint="eastAsia" w:hAnsi="宋体" w:eastAsia="宋体" w:cs="宋体"/>
                <w:sz w:val="21"/>
                <w:szCs w:val="21"/>
                <w:highlight w:val="none"/>
              </w:rPr>
            </w:pPr>
          </w:p>
        </w:tc>
        <w:tc>
          <w:tcPr>
            <w:tcW w:w="1708" w:type="dxa"/>
            <w:noWrap w:val="0"/>
            <w:vAlign w:val="center"/>
          </w:tcPr>
          <w:p w14:paraId="407BD18D">
            <w:pPr>
              <w:spacing w:before="120" w:beforeLines="50" w:line="360" w:lineRule="auto"/>
              <w:jc w:val="center"/>
              <w:rPr>
                <w:rFonts w:hint="eastAsia" w:hAnsi="宋体" w:eastAsia="宋体" w:cs="宋体"/>
                <w:sz w:val="21"/>
                <w:szCs w:val="21"/>
                <w:highlight w:val="none"/>
              </w:rPr>
            </w:pPr>
          </w:p>
        </w:tc>
        <w:tc>
          <w:tcPr>
            <w:tcW w:w="1708" w:type="dxa"/>
            <w:noWrap w:val="0"/>
            <w:vAlign w:val="center"/>
          </w:tcPr>
          <w:p w14:paraId="4F6E51EA">
            <w:pPr>
              <w:spacing w:before="120" w:beforeLines="50" w:line="360" w:lineRule="auto"/>
              <w:jc w:val="center"/>
              <w:rPr>
                <w:rFonts w:hint="eastAsia" w:hAnsi="宋体" w:eastAsia="宋体" w:cs="宋体"/>
                <w:sz w:val="21"/>
                <w:szCs w:val="21"/>
                <w:highlight w:val="none"/>
              </w:rPr>
            </w:pPr>
          </w:p>
        </w:tc>
        <w:tc>
          <w:tcPr>
            <w:tcW w:w="833" w:type="dxa"/>
            <w:noWrap w:val="0"/>
            <w:vAlign w:val="center"/>
          </w:tcPr>
          <w:p w14:paraId="59578676">
            <w:pPr>
              <w:spacing w:before="120" w:beforeLines="50" w:line="360" w:lineRule="auto"/>
              <w:jc w:val="center"/>
              <w:rPr>
                <w:rFonts w:hint="eastAsia" w:hAnsi="宋体" w:eastAsia="宋体" w:cs="宋体"/>
                <w:sz w:val="21"/>
                <w:szCs w:val="21"/>
                <w:highlight w:val="none"/>
              </w:rPr>
            </w:pPr>
          </w:p>
        </w:tc>
        <w:tc>
          <w:tcPr>
            <w:tcW w:w="1060" w:type="dxa"/>
            <w:noWrap w:val="0"/>
            <w:vAlign w:val="center"/>
          </w:tcPr>
          <w:p w14:paraId="3A9734FE">
            <w:pPr>
              <w:spacing w:before="120" w:beforeLines="50" w:line="360" w:lineRule="auto"/>
              <w:jc w:val="center"/>
              <w:rPr>
                <w:rFonts w:hint="eastAsia" w:hAnsi="宋体" w:eastAsia="宋体" w:cs="宋体"/>
                <w:sz w:val="21"/>
                <w:szCs w:val="21"/>
                <w:highlight w:val="none"/>
              </w:rPr>
            </w:pPr>
          </w:p>
        </w:tc>
        <w:tc>
          <w:tcPr>
            <w:tcW w:w="1327" w:type="dxa"/>
            <w:noWrap w:val="0"/>
            <w:vAlign w:val="center"/>
          </w:tcPr>
          <w:p w14:paraId="4890617E">
            <w:pPr>
              <w:spacing w:before="120" w:beforeLines="50" w:line="360" w:lineRule="auto"/>
              <w:jc w:val="center"/>
              <w:rPr>
                <w:rFonts w:hint="eastAsia" w:hAnsi="宋体" w:eastAsia="宋体" w:cs="宋体"/>
                <w:sz w:val="21"/>
                <w:szCs w:val="21"/>
                <w:highlight w:val="none"/>
              </w:rPr>
            </w:pPr>
          </w:p>
        </w:tc>
      </w:tr>
      <w:tr w14:paraId="63D00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dxa"/>
            <w:noWrap w:val="0"/>
            <w:vAlign w:val="center"/>
          </w:tcPr>
          <w:p w14:paraId="4659A632">
            <w:pPr>
              <w:spacing w:before="120" w:beforeLines="50" w:line="360" w:lineRule="auto"/>
              <w:jc w:val="center"/>
              <w:rPr>
                <w:rFonts w:hint="eastAsia" w:hAnsi="宋体" w:eastAsia="宋体" w:cs="宋体"/>
                <w:sz w:val="21"/>
                <w:szCs w:val="21"/>
                <w:highlight w:val="none"/>
              </w:rPr>
            </w:pPr>
          </w:p>
        </w:tc>
        <w:tc>
          <w:tcPr>
            <w:tcW w:w="1885" w:type="dxa"/>
            <w:noWrap w:val="0"/>
            <w:vAlign w:val="center"/>
          </w:tcPr>
          <w:p w14:paraId="0A457384">
            <w:pPr>
              <w:spacing w:before="120" w:beforeLines="50" w:line="360" w:lineRule="auto"/>
              <w:jc w:val="center"/>
              <w:rPr>
                <w:rFonts w:hint="eastAsia" w:hAnsi="宋体" w:eastAsia="宋体" w:cs="宋体"/>
                <w:sz w:val="21"/>
                <w:szCs w:val="21"/>
                <w:highlight w:val="none"/>
              </w:rPr>
            </w:pPr>
          </w:p>
        </w:tc>
        <w:tc>
          <w:tcPr>
            <w:tcW w:w="1708" w:type="dxa"/>
            <w:noWrap w:val="0"/>
            <w:vAlign w:val="center"/>
          </w:tcPr>
          <w:p w14:paraId="46D983B7">
            <w:pPr>
              <w:spacing w:before="120" w:beforeLines="50" w:line="360" w:lineRule="auto"/>
              <w:jc w:val="center"/>
              <w:rPr>
                <w:rFonts w:hint="eastAsia" w:hAnsi="宋体" w:eastAsia="宋体" w:cs="宋体"/>
                <w:sz w:val="21"/>
                <w:szCs w:val="21"/>
                <w:highlight w:val="none"/>
              </w:rPr>
            </w:pPr>
          </w:p>
        </w:tc>
        <w:tc>
          <w:tcPr>
            <w:tcW w:w="1708" w:type="dxa"/>
            <w:noWrap w:val="0"/>
            <w:vAlign w:val="center"/>
          </w:tcPr>
          <w:p w14:paraId="1D1798B5">
            <w:pPr>
              <w:spacing w:before="120" w:beforeLines="50" w:line="360" w:lineRule="auto"/>
              <w:jc w:val="center"/>
              <w:rPr>
                <w:rFonts w:hint="eastAsia" w:hAnsi="宋体" w:eastAsia="宋体" w:cs="宋体"/>
                <w:sz w:val="21"/>
                <w:szCs w:val="21"/>
                <w:highlight w:val="none"/>
              </w:rPr>
            </w:pPr>
          </w:p>
        </w:tc>
        <w:tc>
          <w:tcPr>
            <w:tcW w:w="833" w:type="dxa"/>
            <w:noWrap w:val="0"/>
            <w:vAlign w:val="center"/>
          </w:tcPr>
          <w:p w14:paraId="43CA503B">
            <w:pPr>
              <w:spacing w:before="120" w:beforeLines="50" w:line="360" w:lineRule="auto"/>
              <w:jc w:val="center"/>
              <w:rPr>
                <w:rFonts w:hint="eastAsia" w:hAnsi="宋体" w:eastAsia="宋体" w:cs="宋体"/>
                <w:sz w:val="21"/>
                <w:szCs w:val="21"/>
                <w:highlight w:val="none"/>
              </w:rPr>
            </w:pPr>
          </w:p>
        </w:tc>
        <w:tc>
          <w:tcPr>
            <w:tcW w:w="1060" w:type="dxa"/>
            <w:noWrap w:val="0"/>
            <w:vAlign w:val="center"/>
          </w:tcPr>
          <w:p w14:paraId="34BAEF05">
            <w:pPr>
              <w:spacing w:before="120" w:beforeLines="50" w:line="360" w:lineRule="auto"/>
              <w:jc w:val="center"/>
              <w:rPr>
                <w:rFonts w:hint="eastAsia" w:hAnsi="宋体" w:eastAsia="宋体" w:cs="宋体"/>
                <w:sz w:val="21"/>
                <w:szCs w:val="21"/>
                <w:highlight w:val="none"/>
              </w:rPr>
            </w:pPr>
          </w:p>
        </w:tc>
        <w:tc>
          <w:tcPr>
            <w:tcW w:w="1327" w:type="dxa"/>
            <w:noWrap w:val="0"/>
            <w:vAlign w:val="center"/>
          </w:tcPr>
          <w:p w14:paraId="199E2823">
            <w:pPr>
              <w:spacing w:before="120" w:beforeLines="50" w:line="360" w:lineRule="auto"/>
              <w:jc w:val="center"/>
              <w:rPr>
                <w:rFonts w:hint="eastAsia" w:hAnsi="宋体" w:eastAsia="宋体" w:cs="宋体"/>
                <w:sz w:val="21"/>
                <w:szCs w:val="21"/>
                <w:highlight w:val="none"/>
              </w:rPr>
            </w:pPr>
          </w:p>
        </w:tc>
      </w:tr>
      <w:tr w14:paraId="15CF4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dxa"/>
            <w:noWrap w:val="0"/>
            <w:vAlign w:val="center"/>
          </w:tcPr>
          <w:p w14:paraId="556C293C">
            <w:pPr>
              <w:spacing w:before="120" w:beforeLines="50" w:line="360" w:lineRule="auto"/>
              <w:jc w:val="center"/>
              <w:rPr>
                <w:rFonts w:hint="eastAsia" w:hAnsi="宋体" w:eastAsia="宋体" w:cs="宋体"/>
                <w:sz w:val="21"/>
                <w:szCs w:val="21"/>
                <w:highlight w:val="none"/>
              </w:rPr>
            </w:pPr>
          </w:p>
        </w:tc>
        <w:tc>
          <w:tcPr>
            <w:tcW w:w="1885" w:type="dxa"/>
            <w:noWrap w:val="0"/>
            <w:vAlign w:val="center"/>
          </w:tcPr>
          <w:p w14:paraId="2ABCD787">
            <w:pPr>
              <w:spacing w:before="120" w:beforeLines="50" w:line="360" w:lineRule="auto"/>
              <w:jc w:val="center"/>
              <w:rPr>
                <w:rFonts w:hint="eastAsia" w:hAnsi="宋体" w:eastAsia="宋体" w:cs="宋体"/>
                <w:sz w:val="21"/>
                <w:szCs w:val="21"/>
                <w:highlight w:val="none"/>
              </w:rPr>
            </w:pPr>
          </w:p>
        </w:tc>
        <w:tc>
          <w:tcPr>
            <w:tcW w:w="1708" w:type="dxa"/>
            <w:noWrap w:val="0"/>
            <w:vAlign w:val="center"/>
          </w:tcPr>
          <w:p w14:paraId="3ACF09ED">
            <w:pPr>
              <w:spacing w:before="120" w:beforeLines="50" w:line="360" w:lineRule="auto"/>
              <w:jc w:val="center"/>
              <w:rPr>
                <w:rFonts w:hint="eastAsia" w:hAnsi="宋体" w:eastAsia="宋体" w:cs="宋体"/>
                <w:sz w:val="21"/>
                <w:szCs w:val="21"/>
                <w:highlight w:val="none"/>
              </w:rPr>
            </w:pPr>
          </w:p>
        </w:tc>
        <w:tc>
          <w:tcPr>
            <w:tcW w:w="1708" w:type="dxa"/>
            <w:noWrap w:val="0"/>
            <w:vAlign w:val="center"/>
          </w:tcPr>
          <w:p w14:paraId="57CCC990">
            <w:pPr>
              <w:spacing w:before="120" w:beforeLines="50" w:line="360" w:lineRule="auto"/>
              <w:jc w:val="center"/>
              <w:rPr>
                <w:rFonts w:hint="eastAsia" w:hAnsi="宋体" w:eastAsia="宋体" w:cs="宋体"/>
                <w:sz w:val="21"/>
                <w:szCs w:val="21"/>
                <w:highlight w:val="none"/>
              </w:rPr>
            </w:pPr>
          </w:p>
        </w:tc>
        <w:tc>
          <w:tcPr>
            <w:tcW w:w="833" w:type="dxa"/>
            <w:noWrap w:val="0"/>
            <w:vAlign w:val="center"/>
          </w:tcPr>
          <w:p w14:paraId="6A751030">
            <w:pPr>
              <w:spacing w:before="120" w:beforeLines="50" w:line="360" w:lineRule="auto"/>
              <w:jc w:val="center"/>
              <w:rPr>
                <w:rFonts w:hint="eastAsia" w:hAnsi="宋体" w:eastAsia="宋体" w:cs="宋体"/>
                <w:sz w:val="21"/>
                <w:szCs w:val="21"/>
                <w:highlight w:val="none"/>
              </w:rPr>
            </w:pPr>
          </w:p>
        </w:tc>
        <w:tc>
          <w:tcPr>
            <w:tcW w:w="1060" w:type="dxa"/>
            <w:noWrap w:val="0"/>
            <w:vAlign w:val="center"/>
          </w:tcPr>
          <w:p w14:paraId="4E8A4D38">
            <w:pPr>
              <w:spacing w:before="120" w:beforeLines="50" w:line="360" w:lineRule="auto"/>
              <w:jc w:val="center"/>
              <w:rPr>
                <w:rFonts w:hint="eastAsia" w:hAnsi="宋体" w:eastAsia="宋体" w:cs="宋体"/>
                <w:sz w:val="21"/>
                <w:szCs w:val="21"/>
                <w:highlight w:val="none"/>
              </w:rPr>
            </w:pPr>
          </w:p>
        </w:tc>
        <w:tc>
          <w:tcPr>
            <w:tcW w:w="1327" w:type="dxa"/>
            <w:noWrap w:val="0"/>
            <w:vAlign w:val="center"/>
          </w:tcPr>
          <w:p w14:paraId="4DCCF375">
            <w:pPr>
              <w:spacing w:before="120" w:beforeLines="50" w:line="360" w:lineRule="auto"/>
              <w:jc w:val="center"/>
              <w:rPr>
                <w:rFonts w:hint="eastAsia" w:hAnsi="宋体" w:eastAsia="宋体" w:cs="宋体"/>
                <w:sz w:val="21"/>
                <w:szCs w:val="21"/>
                <w:highlight w:val="none"/>
              </w:rPr>
            </w:pPr>
          </w:p>
        </w:tc>
      </w:tr>
      <w:tr w14:paraId="0D3E2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dxa"/>
            <w:noWrap w:val="0"/>
            <w:vAlign w:val="center"/>
          </w:tcPr>
          <w:p w14:paraId="0F650412">
            <w:pPr>
              <w:spacing w:before="120" w:beforeLines="50" w:line="360" w:lineRule="auto"/>
              <w:jc w:val="center"/>
              <w:rPr>
                <w:rFonts w:hint="eastAsia" w:hAnsi="宋体" w:eastAsia="宋体" w:cs="宋体"/>
                <w:sz w:val="21"/>
                <w:szCs w:val="21"/>
                <w:highlight w:val="none"/>
              </w:rPr>
            </w:pPr>
          </w:p>
        </w:tc>
        <w:tc>
          <w:tcPr>
            <w:tcW w:w="1885" w:type="dxa"/>
            <w:noWrap w:val="0"/>
            <w:vAlign w:val="center"/>
          </w:tcPr>
          <w:p w14:paraId="3A0FE89A">
            <w:pPr>
              <w:spacing w:before="120" w:beforeLines="50" w:line="360" w:lineRule="auto"/>
              <w:jc w:val="center"/>
              <w:rPr>
                <w:rFonts w:hint="eastAsia" w:hAnsi="宋体" w:eastAsia="宋体" w:cs="宋体"/>
                <w:sz w:val="21"/>
                <w:szCs w:val="21"/>
                <w:highlight w:val="none"/>
              </w:rPr>
            </w:pPr>
          </w:p>
        </w:tc>
        <w:tc>
          <w:tcPr>
            <w:tcW w:w="1708" w:type="dxa"/>
            <w:noWrap w:val="0"/>
            <w:vAlign w:val="center"/>
          </w:tcPr>
          <w:p w14:paraId="00C85021">
            <w:pPr>
              <w:spacing w:before="120" w:beforeLines="50" w:line="360" w:lineRule="auto"/>
              <w:jc w:val="center"/>
              <w:rPr>
                <w:rFonts w:hint="eastAsia" w:hAnsi="宋体" w:eastAsia="宋体" w:cs="宋体"/>
                <w:sz w:val="21"/>
                <w:szCs w:val="21"/>
                <w:highlight w:val="none"/>
              </w:rPr>
            </w:pPr>
          </w:p>
        </w:tc>
        <w:tc>
          <w:tcPr>
            <w:tcW w:w="1708" w:type="dxa"/>
            <w:noWrap w:val="0"/>
            <w:vAlign w:val="center"/>
          </w:tcPr>
          <w:p w14:paraId="7F31950B">
            <w:pPr>
              <w:spacing w:before="120" w:beforeLines="50" w:line="360" w:lineRule="auto"/>
              <w:jc w:val="center"/>
              <w:rPr>
                <w:rFonts w:hint="eastAsia" w:hAnsi="宋体" w:eastAsia="宋体" w:cs="宋体"/>
                <w:sz w:val="21"/>
                <w:szCs w:val="21"/>
                <w:highlight w:val="none"/>
              </w:rPr>
            </w:pPr>
          </w:p>
        </w:tc>
        <w:tc>
          <w:tcPr>
            <w:tcW w:w="833" w:type="dxa"/>
            <w:noWrap w:val="0"/>
            <w:vAlign w:val="center"/>
          </w:tcPr>
          <w:p w14:paraId="2C9336CB">
            <w:pPr>
              <w:spacing w:before="120" w:beforeLines="50" w:line="360" w:lineRule="auto"/>
              <w:jc w:val="center"/>
              <w:rPr>
                <w:rFonts w:hint="eastAsia" w:hAnsi="宋体" w:eastAsia="宋体" w:cs="宋体"/>
                <w:sz w:val="21"/>
                <w:szCs w:val="21"/>
                <w:highlight w:val="none"/>
              </w:rPr>
            </w:pPr>
          </w:p>
        </w:tc>
        <w:tc>
          <w:tcPr>
            <w:tcW w:w="1060" w:type="dxa"/>
            <w:noWrap w:val="0"/>
            <w:vAlign w:val="center"/>
          </w:tcPr>
          <w:p w14:paraId="3F565A1B">
            <w:pPr>
              <w:spacing w:before="120" w:beforeLines="50" w:line="360" w:lineRule="auto"/>
              <w:jc w:val="center"/>
              <w:rPr>
                <w:rFonts w:hint="eastAsia" w:hAnsi="宋体" w:eastAsia="宋体" w:cs="宋体"/>
                <w:sz w:val="21"/>
                <w:szCs w:val="21"/>
                <w:highlight w:val="none"/>
              </w:rPr>
            </w:pPr>
          </w:p>
        </w:tc>
        <w:tc>
          <w:tcPr>
            <w:tcW w:w="1327" w:type="dxa"/>
            <w:noWrap w:val="0"/>
            <w:vAlign w:val="center"/>
          </w:tcPr>
          <w:p w14:paraId="65E7AB50">
            <w:pPr>
              <w:spacing w:before="120" w:beforeLines="50" w:line="360" w:lineRule="auto"/>
              <w:jc w:val="center"/>
              <w:rPr>
                <w:rFonts w:hint="eastAsia" w:hAnsi="宋体" w:eastAsia="宋体" w:cs="宋体"/>
                <w:sz w:val="21"/>
                <w:szCs w:val="21"/>
                <w:highlight w:val="none"/>
              </w:rPr>
            </w:pPr>
          </w:p>
        </w:tc>
      </w:tr>
    </w:tbl>
    <w:p w14:paraId="07112ECD">
      <w:pPr>
        <w:spacing w:before="120" w:beforeLines="50" w:line="360" w:lineRule="auto"/>
        <w:rPr>
          <w:rFonts w:hint="eastAsia" w:hAnsi="宋体" w:eastAsia="宋体" w:cs="宋体"/>
          <w:sz w:val="21"/>
          <w:szCs w:val="21"/>
          <w:highlight w:val="none"/>
        </w:rPr>
      </w:pPr>
      <w:r>
        <w:rPr>
          <w:rFonts w:hint="eastAsia" w:hAnsi="宋体" w:eastAsia="宋体" w:cs="宋体"/>
          <w:sz w:val="21"/>
          <w:szCs w:val="21"/>
          <w:highlight w:val="none"/>
        </w:rPr>
        <w:t>备注：</w:t>
      </w:r>
    </w:p>
    <w:p w14:paraId="5FD421FF">
      <w:pPr>
        <w:spacing w:before="120" w:beforeLines="50" w:line="360" w:lineRule="auto"/>
        <w:ind w:left="630" w:hanging="630" w:hangingChars="300"/>
        <w:rPr>
          <w:rFonts w:hint="eastAsia" w:ascii="宋体" w:hAnsi="宋体" w:eastAsia="宋体" w:cs="宋体"/>
          <w:sz w:val="21"/>
          <w:szCs w:val="21"/>
          <w:highlight w:val="none"/>
        </w:rPr>
      </w:pPr>
      <w:r>
        <w:rPr>
          <w:rFonts w:hint="eastAsia" w:ascii="宋体" w:hAnsi="宋体" w:eastAsia="宋体" w:cs="宋体"/>
          <w:sz w:val="21"/>
          <w:szCs w:val="21"/>
          <w:highlight w:val="none"/>
        </w:rPr>
        <w:t>（1）应提供半干化泥粉/污泥处置设备设施（含配套环保设施）的购置发票复印件、</w:t>
      </w:r>
      <w:r>
        <w:rPr>
          <w:rFonts w:hint="eastAsia" w:ascii="宋体" w:hAnsi="宋体" w:eastAsia="宋体" w:cs="宋体"/>
          <w:color w:val="auto"/>
          <w:sz w:val="21"/>
          <w:szCs w:val="21"/>
          <w:highlight w:val="none"/>
        </w:rPr>
        <w:t>20</w:t>
      </w:r>
      <w:r>
        <w:rPr>
          <w:rFonts w:hint="eastAsia" w:ascii="宋体" w:hAnsi="宋体" w:eastAsia="宋体" w:cs="宋体"/>
          <w:color w:val="auto"/>
          <w:sz w:val="21"/>
          <w:szCs w:val="21"/>
          <w:highlight w:val="none"/>
          <w:lang w:val="en-US" w:eastAsia="zh-CN"/>
        </w:rPr>
        <w:t>25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1日</w:t>
      </w:r>
      <w:r>
        <w:rPr>
          <w:rFonts w:hint="eastAsia" w:ascii="宋体" w:hAnsi="宋体" w:eastAsia="宋体" w:cs="宋体"/>
          <w:b w:val="0"/>
          <w:bCs w:val="0"/>
          <w:szCs w:val="21"/>
          <w:highlight w:val="none"/>
          <w:lang w:val="en-US" w:eastAsia="zh-CN" w:bidi="ar"/>
        </w:rPr>
        <w:t>或</w:t>
      </w:r>
      <w:r>
        <w:rPr>
          <w:rFonts w:hint="eastAsia" w:ascii="宋体" w:hAnsi="宋体" w:eastAsia="宋体" w:cs="宋体"/>
          <w:color w:val="auto"/>
          <w:sz w:val="21"/>
          <w:szCs w:val="21"/>
          <w:highlight w:val="none"/>
          <w:lang w:val="en-US" w:eastAsia="zh-CN"/>
        </w:rPr>
        <w:t>以后</w:t>
      </w:r>
      <w:r>
        <w:rPr>
          <w:rFonts w:hint="eastAsia" w:ascii="宋体" w:hAnsi="宋体" w:eastAsia="宋体" w:cs="宋体"/>
          <w:sz w:val="21"/>
          <w:szCs w:val="21"/>
          <w:highlight w:val="none"/>
        </w:rPr>
        <w:t>的处置现场设备设施、环境照片/图片打印件等证明材料。</w:t>
      </w:r>
    </w:p>
    <w:p w14:paraId="53974016">
      <w:pPr>
        <w:spacing w:before="120" w:beforeLines="50" w:line="360" w:lineRule="auto"/>
        <w:ind w:left="630" w:hanging="630" w:hangingChars="300"/>
        <w:rPr>
          <w:rFonts w:hint="eastAsia" w:ascii="宋体" w:hAnsi="宋体" w:eastAsia="宋体" w:cs="宋体"/>
          <w:szCs w:val="21"/>
          <w:highlight w:val="none"/>
        </w:rPr>
      </w:pPr>
      <w:r>
        <w:rPr>
          <w:rFonts w:hint="eastAsia" w:ascii="宋体" w:hAnsi="宋体" w:eastAsia="宋体" w:cs="宋体"/>
          <w:sz w:val="21"/>
          <w:szCs w:val="21"/>
          <w:highlight w:val="none"/>
        </w:rPr>
        <w:t>（2）</w:t>
      </w:r>
      <w:r>
        <w:rPr>
          <w:rFonts w:hint="eastAsia" w:ascii="宋体" w:hAnsi="宋体" w:eastAsia="宋体" w:cs="宋体"/>
          <w:sz w:val="21"/>
          <w:szCs w:val="21"/>
          <w:highlight w:val="none"/>
          <w:lang w:val="en-US" w:eastAsia="zh-CN"/>
        </w:rPr>
        <w:t>招标</w:t>
      </w:r>
      <w:r>
        <w:rPr>
          <w:rFonts w:hint="eastAsia" w:ascii="宋体" w:hAnsi="宋体" w:eastAsia="宋体" w:cs="宋体"/>
          <w:sz w:val="21"/>
          <w:szCs w:val="21"/>
          <w:highlight w:val="none"/>
        </w:rPr>
        <w:t>人有权对</w:t>
      </w:r>
      <w:r>
        <w:rPr>
          <w:rFonts w:hint="eastAsia" w:ascii="宋体" w:hAnsi="宋体" w:eastAsia="宋体" w:cs="宋体"/>
          <w:sz w:val="21"/>
          <w:szCs w:val="21"/>
          <w:highlight w:val="none"/>
          <w:lang w:eastAsia="zh-CN"/>
        </w:rPr>
        <w:t>投标人</w:t>
      </w:r>
      <w:r>
        <w:rPr>
          <w:rFonts w:hint="eastAsia" w:ascii="宋体" w:hAnsi="宋体" w:eastAsia="宋体" w:cs="宋体"/>
          <w:sz w:val="21"/>
          <w:szCs w:val="21"/>
          <w:highlight w:val="none"/>
        </w:rPr>
        <w:t>提供的设备进行核查（包括对全部清单中的设备进行核查）。</w:t>
      </w:r>
    </w:p>
    <w:p w14:paraId="0ECFB07B">
      <w:pPr>
        <w:numPr>
          <w:ilvl w:val="0"/>
          <w:numId w:val="0"/>
        </w:numPr>
        <w:spacing w:before="120" w:beforeLines="50" w:line="360" w:lineRule="auto"/>
        <w:rPr>
          <w:rFonts w:hint="eastAsia" w:hAnsi="宋体" w:eastAsia="宋体" w:cs="宋体"/>
          <w:b/>
          <w:bCs/>
          <w:sz w:val="21"/>
          <w:szCs w:val="21"/>
          <w:highlight w:val="none"/>
        </w:rPr>
      </w:pPr>
      <w:r>
        <w:rPr>
          <w:rFonts w:hint="eastAsia" w:hAnsi="宋体" w:eastAsia="宋体" w:cs="宋体"/>
          <w:b/>
          <w:sz w:val="21"/>
          <w:szCs w:val="21"/>
          <w:highlight w:val="none"/>
        </w:rPr>
        <w:t>（</w:t>
      </w:r>
      <w:r>
        <w:rPr>
          <w:rFonts w:hint="eastAsia" w:hAnsi="宋体" w:eastAsia="宋体" w:cs="宋体"/>
          <w:b/>
          <w:sz w:val="21"/>
          <w:szCs w:val="21"/>
          <w:highlight w:val="none"/>
          <w:lang w:val="en-US" w:eastAsia="zh-CN"/>
        </w:rPr>
        <w:t>五</w:t>
      </w:r>
      <w:r>
        <w:rPr>
          <w:rFonts w:hint="eastAsia" w:hAnsi="宋体" w:eastAsia="宋体" w:cs="宋体"/>
          <w:b/>
          <w:sz w:val="21"/>
          <w:szCs w:val="21"/>
          <w:highlight w:val="none"/>
        </w:rPr>
        <w:t>）</w:t>
      </w:r>
      <w:r>
        <w:rPr>
          <w:rFonts w:hint="eastAsia" w:hAnsi="宋体" w:eastAsia="宋体" w:cs="宋体"/>
          <w:b/>
          <w:bCs/>
          <w:sz w:val="21"/>
          <w:szCs w:val="21"/>
          <w:highlight w:val="none"/>
        </w:rPr>
        <w:t>目前正在处置的污泥项目情况及污泥处置剩余产能情况</w:t>
      </w:r>
    </w:p>
    <w:p w14:paraId="0B57CA8E">
      <w:pPr>
        <w:spacing w:before="120" w:beforeLines="50" w:line="360" w:lineRule="auto"/>
        <w:rPr>
          <w:rFonts w:hint="eastAsia" w:hAnsi="宋体" w:eastAsia="宋体" w:cs="宋体"/>
          <w:b/>
          <w:bCs/>
          <w:sz w:val="21"/>
          <w:szCs w:val="21"/>
          <w:highlight w:val="none"/>
        </w:rPr>
      </w:pPr>
      <w:r>
        <w:rPr>
          <w:rFonts w:hint="eastAsia" w:hAnsi="宋体" w:eastAsia="宋体" w:cs="宋体"/>
          <w:sz w:val="21"/>
          <w:szCs w:val="21"/>
          <w:highlight w:val="none"/>
        </w:rPr>
        <w:t>（</w:t>
      </w:r>
      <w:r>
        <w:rPr>
          <w:rFonts w:hint="eastAsia" w:hAnsi="宋体" w:eastAsia="宋体" w:cs="宋体"/>
          <w:sz w:val="21"/>
          <w:szCs w:val="21"/>
          <w:highlight w:val="none"/>
          <w:lang w:eastAsia="zh-CN"/>
        </w:rPr>
        <w:t>投标人</w:t>
      </w:r>
      <w:r>
        <w:rPr>
          <w:rFonts w:hint="eastAsia" w:hAnsi="宋体" w:eastAsia="宋体" w:cs="宋体"/>
          <w:sz w:val="21"/>
          <w:szCs w:val="21"/>
          <w:highlight w:val="none"/>
        </w:rPr>
        <w:t>自行编制）</w:t>
      </w:r>
    </w:p>
    <w:p w14:paraId="63F6D012">
      <w:pPr>
        <w:spacing w:before="120" w:beforeLines="50" w:line="360" w:lineRule="auto"/>
        <w:rPr>
          <w:rFonts w:hint="eastAsia" w:hAnsi="宋体" w:eastAsia="宋体" w:cs="宋体"/>
          <w:sz w:val="21"/>
          <w:szCs w:val="21"/>
          <w:highlight w:val="none"/>
        </w:rPr>
      </w:pPr>
      <w:r>
        <w:rPr>
          <w:rFonts w:hint="eastAsia" w:hAnsi="宋体" w:eastAsia="宋体" w:cs="宋体"/>
          <w:b/>
          <w:bCs/>
          <w:sz w:val="21"/>
          <w:szCs w:val="21"/>
          <w:highlight w:val="none"/>
        </w:rPr>
        <w:t>（</w:t>
      </w:r>
      <w:r>
        <w:rPr>
          <w:rFonts w:hint="eastAsia" w:hAnsi="宋体" w:eastAsia="宋体" w:cs="宋体"/>
          <w:b/>
          <w:bCs/>
          <w:sz w:val="21"/>
          <w:szCs w:val="21"/>
          <w:highlight w:val="none"/>
          <w:lang w:val="en-US" w:eastAsia="zh-CN"/>
        </w:rPr>
        <w:t>六</w:t>
      </w:r>
      <w:r>
        <w:rPr>
          <w:rFonts w:hint="eastAsia" w:hAnsi="宋体" w:eastAsia="宋体" w:cs="宋体"/>
          <w:b/>
          <w:bCs/>
          <w:sz w:val="21"/>
          <w:szCs w:val="21"/>
          <w:highlight w:val="none"/>
        </w:rPr>
        <w:t>）东莞市内设有分支机构情况介绍[应提供该分支机构的多证合一营业执照（或事业单位法人证书）等证明材料]（若无前述分支机构的无需介绍）。</w:t>
      </w:r>
    </w:p>
    <w:p w14:paraId="33842A17">
      <w:pPr>
        <w:spacing w:before="120" w:beforeLines="50" w:line="360" w:lineRule="auto"/>
        <w:ind w:firstLine="420" w:firstLineChars="200"/>
        <w:rPr>
          <w:rFonts w:hint="eastAsia" w:hAnsi="宋体" w:eastAsia="宋体" w:cs="宋体"/>
          <w:sz w:val="21"/>
          <w:szCs w:val="21"/>
          <w:highlight w:val="none"/>
        </w:rPr>
      </w:pPr>
      <w:r>
        <w:rPr>
          <w:rFonts w:hint="eastAsia" w:hAnsi="宋体" w:eastAsia="宋体" w:cs="宋体"/>
          <w:sz w:val="21"/>
          <w:szCs w:val="21"/>
          <w:highlight w:val="none"/>
        </w:rPr>
        <w:t>兹证明上述说明是真实、正确的，并提供了全部能提供的资料和数据，我们同意遵照贵方要求出示有关证明文件。</w:t>
      </w:r>
    </w:p>
    <w:p w14:paraId="69FD8D6A">
      <w:pPr>
        <w:autoSpaceDE w:val="0"/>
        <w:autoSpaceDN w:val="0"/>
        <w:adjustRightInd w:val="0"/>
        <w:spacing w:line="360" w:lineRule="auto"/>
        <w:ind w:firstLine="420" w:firstLineChars="200"/>
        <w:rPr>
          <w:rFonts w:ascii="宋体" w:hAnsi="宋体" w:eastAsia="宋体" w:cs="宋体"/>
          <w:color w:val="auto"/>
          <w:szCs w:val="24"/>
          <w:highlight w:val="none"/>
        </w:rPr>
      </w:pPr>
    </w:p>
    <w:p w14:paraId="404802FB">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51BB1465">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7766CCD8">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2868D2A0">
      <w:pPr>
        <w:autoSpaceDE w:val="0"/>
        <w:autoSpaceDN w:val="0"/>
        <w:adjustRightInd w:val="0"/>
        <w:spacing w:line="360" w:lineRule="auto"/>
        <w:jc w:val="center"/>
        <w:rPr>
          <w:rFonts w:ascii="宋体" w:hAnsi="宋体" w:eastAsia="宋体" w:cs="宋体"/>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说明：由投标人使用投标人的企业数字证书电子签名。</w:t>
      </w:r>
    </w:p>
    <w:p w14:paraId="77AA9CCB">
      <w:pPr>
        <w:tabs>
          <w:tab w:val="left" w:pos="567"/>
        </w:tabs>
        <w:autoSpaceDE w:val="0"/>
        <w:autoSpaceDN w:val="0"/>
        <w:adjustRightInd w:val="0"/>
        <w:spacing w:line="360" w:lineRule="auto"/>
        <w:ind w:left="357" w:leftChars="-100" w:hanging="567"/>
        <w:jc w:val="left"/>
        <w:outlineLvl w:val="3"/>
        <w:rPr>
          <w:rFonts w:ascii="宋体" w:hAnsi="宋体" w:eastAsia="宋体" w:cs="宋体"/>
          <w:b/>
          <w:color w:val="auto"/>
          <w:kern w:val="0"/>
          <w:sz w:val="32"/>
          <w:szCs w:val="32"/>
          <w:highlight w:val="none"/>
        </w:rPr>
      </w:pPr>
      <w:r>
        <w:rPr>
          <w:rFonts w:hint="eastAsia" w:ascii="宋体" w:hAnsi="宋体" w:eastAsia="宋体" w:cs="宋体"/>
          <w:color w:val="auto"/>
          <w:szCs w:val="24"/>
          <w:highlight w:val="none"/>
          <w:lang w:val="zh-CN"/>
        </w:rPr>
        <w:br w:type="page"/>
      </w:r>
      <w:bookmarkStart w:id="764" w:name="_Toc94107216"/>
      <w:bookmarkStart w:id="765" w:name="_Toc140596935"/>
      <w:bookmarkStart w:id="766" w:name="_Toc29014"/>
      <w:bookmarkStart w:id="767" w:name="_Toc102860080"/>
      <w:bookmarkStart w:id="768" w:name="_Toc104991882"/>
      <w:bookmarkStart w:id="769" w:name="_Toc102860424"/>
      <w:bookmarkStart w:id="770" w:name="_Toc195714389"/>
      <w:bookmarkStart w:id="771" w:name="_Toc4023"/>
      <w:bookmarkStart w:id="772" w:name="_Toc285"/>
      <w:bookmarkStart w:id="773" w:name="_Toc142508375"/>
      <w:bookmarkStart w:id="774" w:name="_Toc10443"/>
      <w:bookmarkStart w:id="775" w:name="_Toc533708128"/>
      <w:bookmarkStart w:id="776" w:name="_Toc1977733"/>
      <w:bookmarkStart w:id="777" w:name="_Toc9051_WPSOffice_Level2"/>
      <w:bookmarkStart w:id="778" w:name="_Toc486167715"/>
      <w:r>
        <w:rPr>
          <w:rFonts w:hint="eastAsia" w:ascii="宋体" w:hAnsi="宋体" w:eastAsia="宋体" w:cs="宋体"/>
          <w:b/>
          <w:color w:val="auto"/>
          <w:sz w:val="32"/>
          <w:szCs w:val="32"/>
          <w:highlight w:val="none"/>
          <w:lang w:val="en-US" w:eastAsia="zh-CN"/>
        </w:rPr>
        <w:t>六</w:t>
      </w:r>
      <w:r>
        <w:rPr>
          <w:rFonts w:hint="eastAsia" w:ascii="宋体" w:hAnsi="宋体" w:eastAsia="宋体" w:cs="宋体"/>
          <w:b/>
          <w:color w:val="auto"/>
          <w:sz w:val="32"/>
          <w:szCs w:val="32"/>
          <w:highlight w:val="none"/>
          <w:lang w:val="zh-CN"/>
        </w:rPr>
        <w:t>、投标人财务状况表格式</w:t>
      </w:r>
      <w:bookmarkEnd w:id="764"/>
      <w:bookmarkEnd w:id="765"/>
      <w:bookmarkEnd w:id="766"/>
      <w:bookmarkEnd w:id="767"/>
      <w:bookmarkEnd w:id="768"/>
      <w:bookmarkEnd w:id="769"/>
      <w:bookmarkEnd w:id="770"/>
      <w:bookmarkEnd w:id="771"/>
      <w:bookmarkEnd w:id="772"/>
      <w:bookmarkEnd w:id="773"/>
      <w:bookmarkEnd w:id="774"/>
    </w:p>
    <w:p w14:paraId="2710AFE8">
      <w:pPr>
        <w:autoSpaceDE w:val="0"/>
        <w:autoSpaceDN w:val="0"/>
        <w:adjustRightInd w:val="0"/>
        <w:spacing w:line="360" w:lineRule="auto"/>
        <w:jc w:val="center"/>
        <w:rPr>
          <w:rFonts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lang w:eastAsia="zh-CN"/>
        </w:rPr>
        <w:t>投标人</w:t>
      </w:r>
      <w:r>
        <w:rPr>
          <w:rFonts w:hint="eastAsia" w:ascii="宋体" w:hAnsi="宋体" w:eastAsia="宋体" w:cs="宋体"/>
          <w:b/>
          <w:color w:val="auto"/>
          <w:kern w:val="0"/>
          <w:sz w:val="30"/>
          <w:szCs w:val="30"/>
          <w:highlight w:val="none"/>
        </w:rPr>
        <w:t xml:space="preserve">财务状况表 </w:t>
      </w:r>
    </w:p>
    <w:p w14:paraId="4B20F6C3">
      <w:pPr>
        <w:autoSpaceDE w:val="0"/>
        <w:autoSpaceDN w:val="0"/>
        <w:adjustRightInd w:val="0"/>
        <w:spacing w:line="360" w:lineRule="auto"/>
        <w:jc w:val="righ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[价格单位：（人民币）元]</w:t>
      </w:r>
    </w:p>
    <w:tbl>
      <w:tblPr>
        <w:tblStyle w:val="5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66"/>
        <w:gridCol w:w="1944"/>
        <w:gridCol w:w="1946"/>
        <w:gridCol w:w="2713"/>
        <w:gridCol w:w="2060"/>
      </w:tblGrid>
      <w:tr w14:paraId="6F5BB5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1166" w:type="dxa"/>
            <w:vAlign w:val="center"/>
          </w:tcPr>
          <w:p w14:paraId="6462FBB7">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年  度</w:t>
            </w:r>
          </w:p>
        </w:tc>
        <w:tc>
          <w:tcPr>
            <w:tcW w:w="1944" w:type="dxa"/>
            <w:vAlign w:val="center"/>
          </w:tcPr>
          <w:p w14:paraId="6B4B2774">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总资产（元）</w:t>
            </w:r>
          </w:p>
        </w:tc>
        <w:tc>
          <w:tcPr>
            <w:tcW w:w="1946" w:type="dxa"/>
            <w:vAlign w:val="center"/>
          </w:tcPr>
          <w:p w14:paraId="25DA97D5">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净资产（元）</w:t>
            </w:r>
          </w:p>
        </w:tc>
        <w:tc>
          <w:tcPr>
            <w:tcW w:w="2713" w:type="dxa"/>
            <w:vAlign w:val="center"/>
          </w:tcPr>
          <w:p w14:paraId="2A06747C">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年营业额（元）</w:t>
            </w:r>
          </w:p>
        </w:tc>
        <w:tc>
          <w:tcPr>
            <w:tcW w:w="2060" w:type="dxa"/>
            <w:vAlign w:val="center"/>
          </w:tcPr>
          <w:p w14:paraId="5AE8B3AE">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年净利润（元）</w:t>
            </w:r>
          </w:p>
        </w:tc>
      </w:tr>
      <w:tr w14:paraId="74012E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1166" w:type="dxa"/>
            <w:vAlign w:val="center"/>
          </w:tcPr>
          <w:p w14:paraId="76FCB64C">
            <w:pPr>
              <w:autoSpaceDE w:val="0"/>
              <w:autoSpaceDN w:val="0"/>
              <w:adjustRightInd w:val="0"/>
              <w:spacing w:line="360" w:lineRule="auto"/>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20</w:t>
            </w:r>
            <w:r>
              <w:rPr>
                <w:rFonts w:hint="eastAsia" w:ascii="宋体" w:hAnsi="宋体" w:eastAsia="宋体" w:cs="宋体"/>
                <w:color w:val="auto"/>
                <w:kern w:val="0"/>
                <w:szCs w:val="21"/>
                <w:highlight w:val="none"/>
                <w:lang w:val="en-US" w:eastAsia="zh-CN"/>
              </w:rPr>
              <w:t>22</w:t>
            </w:r>
          </w:p>
        </w:tc>
        <w:tc>
          <w:tcPr>
            <w:tcW w:w="1944" w:type="dxa"/>
            <w:vAlign w:val="center"/>
          </w:tcPr>
          <w:p w14:paraId="543146B1">
            <w:pPr>
              <w:autoSpaceDE w:val="0"/>
              <w:autoSpaceDN w:val="0"/>
              <w:adjustRightInd w:val="0"/>
              <w:spacing w:line="360" w:lineRule="auto"/>
              <w:jc w:val="center"/>
              <w:rPr>
                <w:rFonts w:ascii="宋体" w:hAnsi="宋体" w:eastAsia="宋体" w:cs="宋体"/>
                <w:color w:val="auto"/>
                <w:kern w:val="0"/>
                <w:szCs w:val="21"/>
                <w:highlight w:val="none"/>
              </w:rPr>
            </w:pPr>
          </w:p>
        </w:tc>
        <w:tc>
          <w:tcPr>
            <w:tcW w:w="1946" w:type="dxa"/>
            <w:vAlign w:val="center"/>
          </w:tcPr>
          <w:p w14:paraId="36AE49AC">
            <w:pPr>
              <w:autoSpaceDE w:val="0"/>
              <w:autoSpaceDN w:val="0"/>
              <w:adjustRightInd w:val="0"/>
              <w:spacing w:line="360" w:lineRule="auto"/>
              <w:jc w:val="center"/>
              <w:rPr>
                <w:rFonts w:ascii="宋体" w:hAnsi="宋体" w:eastAsia="宋体" w:cs="宋体"/>
                <w:color w:val="auto"/>
                <w:kern w:val="0"/>
                <w:szCs w:val="21"/>
                <w:highlight w:val="none"/>
              </w:rPr>
            </w:pPr>
          </w:p>
        </w:tc>
        <w:tc>
          <w:tcPr>
            <w:tcW w:w="2713" w:type="dxa"/>
            <w:vAlign w:val="center"/>
          </w:tcPr>
          <w:p w14:paraId="596E3A7A">
            <w:pPr>
              <w:autoSpaceDE w:val="0"/>
              <w:autoSpaceDN w:val="0"/>
              <w:adjustRightInd w:val="0"/>
              <w:spacing w:line="360" w:lineRule="auto"/>
              <w:jc w:val="center"/>
              <w:rPr>
                <w:rFonts w:ascii="宋体" w:hAnsi="宋体" w:eastAsia="宋体" w:cs="宋体"/>
                <w:color w:val="auto"/>
                <w:kern w:val="0"/>
                <w:szCs w:val="21"/>
                <w:highlight w:val="none"/>
              </w:rPr>
            </w:pPr>
          </w:p>
        </w:tc>
        <w:tc>
          <w:tcPr>
            <w:tcW w:w="2060" w:type="dxa"/>
            <w:vAlign w:val="center"/>
          </w:tcPr>
          <w:p w14:paraId="68892406">
            <w:pPr>
              <w:autoSpaceDE w:val="0"/>
              <w:autoSpaceDN w:val="0"/>
              <w:adjustRightInd w:val="0"/>
              <w:spacing w:line="360" w:lineRule="auto"/>
              <w:jc w:val="center"/>
              <w:rPr>
                <w:rFonts w:ascii="宋体" w:hAnsi="宋体" w:eastAsia="宋体" w:cs="宋体"/>
                <w:color w:val="auto"/>
                <w:kern w:val="0"/>
                <w:szCs w:val="21"/>
                <w:highlight w:val="none"/>
              </w:rPr>
            </w:pPr>
          </w:p>
        </w:tc>
      </w:tr>
      <w:tr w14:paraId="00351C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1166" w:type="dxa"/>
            <w:vAlign w:val="center"/>
          </w:tcPr>
          <w:p w14:paraId="3CD43732">
            <w:pPr>
              <w:autoSpaceDE w:val="0"/>
              <w:autoSpaceDN w:val="0"/>
              <w:adjustRightInd w:val="0"/>
              <w:spacing w:line="360" w:lineRule="auto"/>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20</w:t>
            </w:r>
            <w:r>
              <w:rPr>
                <w:rFonts w:hint="eastAsia" w:ascii="宋体" w:hAnsi="宋体" w:eastAsia="宋体" w:cs="宋体"/>
                <w:color w:val="auto"/>
                <w:kern w:val="0"/>
                <w:szCs w:val="21"/>
                <w:highlight w:val="none"/>
                <w:lang w:val="en-US" w:eastAsia="zh-CN"/>
              </w:rPr>
              <w:t>23</w:t>
            </w:r>
          </w:p>
        </w:tc>
        <w:tc>
          <w:tcPr>
            <w:tcW w:w="1944" w:type="dxa"/>
            <w:vAlign w:val="center"/>
          </w:tcPr>
          <w:p w14:paraId="76A5BDBD">
            <w:pPr>
              <w:autoSpaceDE w:val="0"/>
              <w:autoSpaceDN w:val="0"/>
              <w:adjustRightInd w:val="0"/>
              <w:spacing w:line="360" w:lineRule="auto"/>
              <w:jc w:val="center"/>
              <w:rPr>
                <w:rFonts w:ascii="宋体" w:hAnsi="宋体" w:eastAsia="宋体" w:cs="宋体"/>
                <w:color w:val="auto"/>
                <w:kern w:val="0"/>
                <w:szCs w:val="21"/>
                <w:highlight w:val="none"/>
              </w:rPr>
            </w:pPr>
          </w:p>
        </w:tc>
        <w:tc>
          <w:tcPr>
            <w:tcW w:w="1946" w:type="dxa"/>
            <w:vAlign w:val="center"/>
          </w:tcPr>
          <w:p w14:paraId="2677E371">
            <w:pPr>
              <w:autoSpaceDE w:val="0"/>
              <w:autoSpaceDN w:val="0"/>
              <w:adjustRightInd w:val="0"/>
              <w:spacing w:line="360" w:lineRule="auto"/>
              <w:jc w:val="center"/>
              <w:rPr>
                <w:rFonts w:ascii="宋体" w:hAnsi="宋体" w:eastAsia="宋体" w:cs="宋体"/>
                <w:color w:val="auto"/>
                <w:kern w:val="0"/>
                <w:szCs w:val="21"/>
                <w:highlight w:val="none"/>
              </w:rPr>
            </w:pPr>
          </w:p>
        </w:tc>
        <w:tc>
          <w:tcPr>
            <w:tcW w:w="2713" w:type="dxa"/>
          </w:tcPr>
          <w:p w14:paraId="6F5DC319">
            <w:pPr>
              <w:autoSpaceDE w:val="0"/>
              <w:autoSpaceDN w:val="0"/>
              <w:adjustRightInd w:val="0"/>
              <w:spacing w:line="360" w:lineRule="auto"/>
              <w:jc w:val="center"/>
              <w:rPr>
                <w:rFonts w:ascii="宋体" w:hAnsi="宋体" w:eastAsia="宋体" w:cs="宋体"/>
                <w:color w:val="auto"/>
                <w:kern w:val="0"/>
                <w:szCs w:val="21"/>
                <w:highlight w:val="none"/>
              </w:rPr>
            </w:pPr>
          </w:p>
        </w:tc>
        <w:tc>
          <w:tcPr>
            <w:tcW w:w="2060" w:type="dxa"/>
            <w:vAlign w:val="center"/>
          </w:tcPr>
          <w:p w14:paraId="41B6CB1C">
            <w:pPr>
              <w:autoSpaceDE w:val="0"/>
              <w:autoSpaceDN w:val="0"/>
              <w:adjustRightInd w:val="0"/>
              <w:spacing w:line="360" w:lineRule="auto"/>
              <w:jc w:val="center"/>
              <w:rPr>
                <w:rFonts w:ascii="宋体" w:hAnsi="宋体" w:eastAsia="宋体" w:cs="宋体"/>
                <w:color w:val="auto"/>
                <w:kern w:val="0"/>
                <w:szCs w:val="21"/>
                <w:highlight w:val="none"/>
              </w:rPr>
            </w:pPr>
          </w:p>
        </w:tc>
      </w:tr>
      <w:tr w14:paraId="0FDC11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1166" w:type="dxa"/>
            <w:vAlign w:val="center"/>
          </w:tcPr>
          <w:p w14:paraId="4A247BD5">
            <w:pPr>
              <w:autoSpaceDE w:val="0"/>
              <w:autoSpaceDN w:val="0"/>
              <w:adjustRightInd w:val="0"/>
              <w:spacing w:line="360" w:lineRule="auto"/>
              <w:jc w:val="center"/>
              <w:rPr>
                <w:rFonts w:hint="default" w:ascii="宋体" w:hAnsi="宋体" w:eastAsia="宋体" w:cs="宋体"/>
                <w:color w:val="auto"/>
                <w:kern w:val="0"/>
                <w:szCs w:val="21"/>
                <w:highlight w:val="none"/>
                <w:lang w:val="en-US"/>
              </w:rPr>
            </w:pPr>
            <w:r>
              <w:rPr>
                <w:rFonts w:hint="eastAsia" w:ascii="宋体" w:hAnsi="宋体" w:eastAsia="宋体" w:cs="宋体"/>
                <w:color w:val="auto"/>
                <w:kern w:val="0"/>
                <w:szCs w:val="21"/>
                <w:highlight w:val="none"/>
              </w:rPr>
              <w:t>20</w:t>
            </w:r>
            <w:r>
              <w:rPr>
                <w:rFonts w:hint="eastAsia" w:ascii="宋体" w:hAnsi="宋体" w:eastAsia="宋体" w:cs="宋体"/>
                <w:color w:val="auto"/>
                <w:kern w:val="0"/>
                <w:szCs w:val="21"/>
                <w:highlight w:val="none"/>
                <w:lang w:val="en-US" w:eastAsia="zh-CN"/>
              </w:rPr>
              <w:t>24</w:t>
            </w:r>
          </w:p>
        </w:tc>
        <w:tc>
          <w:tcPr>
            <w:tcW w:w="1944" w:type="dxa"/>
            <w:vAlign w:val="center"/>
          </w:tcPr>
          <w:p w14:paraId="796338CF">
            <w:pPr>
              <w:autoSpaceDE w:val="0"/>
              <w:autoSpaceDN w:val="0"/>
              <w:adjustRightInd w:val="0"/>
              <w:spacing w:line="360" w:lineRule="auto"/>
              <w:jc w:val="center"/>
              <w:rPr>
                <w:rFonts w:ascii="宋体" w:hAnsi="宋体" w:eastAsia="宋体" w:cs="宋体"/>
                <w:color w:val="auto"/>
                <w:kern w:val="0"/>
                <w:szCs w:val="21"/>
                <w:highlight w:val="none"/>
              </w:rPr>
            </w:pPr>
          </w:p>
        </w:tc>
        <w:tc>
          <w:tcPr>
            <w:tcW w:w="1946" w:type="dxa"/>
            <w:vAlign w:val="center"/>
          </w:tcPr>
          <w:p w14:paraId="7660475B">
            <w:pPr>
              <w:autoSpaceDE w:val="0"/>
              <w:autoSpaceDN w:val="0"/>
              <w:adjustRightInd w:val="0"/>
              <w:spacing w:line="360" w:lineRule="auto"/>
              <w:jc w:val="center"/>
              <w:rPr>
                <w:rFonts w:ascii="宋体" w:hAnsi="宋体" w:eastAsia="宋体" w:cs="宋体"/>
                <w:color w:val="auto"/>
                <w:kern w:val="0"/>
                <w:szCs w:val="21"/>
                <w:highlight w:val="none"/>
              </w:rPr>
            </w:pPr>
          </w:p>
        </w:tc>
        <w:tc>
          <w:tcPr>
            <w:tcW w:w="2713" w:type="dxa"/>
          </w:tcPr>
          <w:p w14:paraId="77CC8B3E">
            <w:pPr>
              <w:autoSpaceDE w:val="0"/>
              <w:autoSpaceDN w:val="0"/>
              <w:adjustRightInd w:val="0"/>
              <w:spacing w:line="360" w:lineRule="auto"/>
              <w:jc w:val="center"/>
              <w:rPr>
                <w:rFonts w:ascii="宋体" w:hAnsi="宋体" w:eastAsia="宋体" w:cs="宋体"/>
                <w:color w:val="auto"/>
                <w:kern w:val="0"/>
                <w:szCs w:val="21"/>
                <w:highlight w:val="none"/>
              </w:rPr>
            </w:pPr>
          </w:p>
        </w:tc>
        <w:tc>
          <w:tcPr>
            <w:tcW w:w="2060" w:type="dxa"/>
            <w:vAlign w:val="center"/>
          </w:tcPr>
          <w:p w14:paraId="7670A81A">
            <w:pPr>
              <w:autoSpaceDE w:val="0"/>
              <w:autoSpaceDN w:val="0"/>
              <w:adjustRightInd w:val="0"/>
              <w:spacing w:line="360" w:lineRule="auto"/>
              <w:jc w:val="center"/>
              <w:rPr>
                <w:rFonts w:ascii="宋体" w:hAnsi="宋体" w:eastAsia="宋体" w:cs="宋体"/>
                <w:color w:val="auto"/>
                <w:kern w:val="0"/>
                <w:szCs w:val="21"/>
                <w:highlight w:val="none"/>
              </w:rPr>
            </w:pPr>
          </w:p>
        </w:tc>
      </w:tr>
      <w:tr w14:paraId="1FC438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5056" w:type="dxa"/>
            <w:gridSpan w:val="3"/>
            <w:vAlign w:val="center"/>
          </w:tcPr>
          <w:p w14:paraId="063A2F8E">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总计</w:t>
            </w:r>
          </w:p>
        </w:tc>
        <w:tc>
          <w:tcPr>
            <w:tcW w:w="2713" w:type="dxa"/>
          </w:tcPr>
          <w:p w14:paraId="611733DE">
            <w:pPr>
              <w:autoSpaceDE w:val="0"/>
              <w:autoSpaceDN w:val="0"/>
              <w:adjustRightInd w:val="0"/>
              <w:spacing w:line="360" w:lineRule="auto"/>
              <w:jc w:val="center"/>
              <w:rPr>
                <w:rFonts w:ascii="宋体" w:hAnsi="宋体" w:eastAsia="宋体" w:cs="宋体"/>
                <w:color w:val="auto"/>
                <w:kern w:val="0"/>
                <w:szCs w:val="21"/>
                <w:highlight w:val="none"/>
              </w:rPr>
            </w:pPr>
          </w:p>
        </w:tc>
        <w:tc>
          <w:tcPr>
            <w:tcW w:w="2060" w:type="dxa"/>
            <w:vAlign w:val="center"/>
          </w:tcPr>
          <w:p w14:paraId="64D79ABE">
            <w:pPr>
              <w:autoSpaceDE w:val="0"/>
              <w:autoSpaceDN w:val="0"/>
              <w:adjustRightInd w:val="0"/>
              <w:spacing w:line="360" w:lineRule="auto"/>
              <w:jc w:val="center"/>
              <w:rPr>
                <w:rFonts w:ascii="宋体" w:hAnsi="宋体" w:eastAsia="宋体" w:cs="宋体"/>
                <w:color w:val="auto"/>
                <w:kern w:val="0"/>
                <w:szCs w:val="21"/>
                <w:highlight w:val="none"/>
              </w:rPr>
            </w:pPr>
          </w:p>
        </w:tc>
      </w:tr>
    </w:tbl>
    <w:p w14:paraId="670B2121">
      <w:pPr>
        <w:spacing w:line="36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备注：需提供对应年度经独立会计师事务所审计的审计报告及</w:t>
      </w:r>
      <w:r>
        <w:rPr>
          <w:rFonts w:hint="eastAsia" w:ascii="宋体" w:hAnsi="宋体" w:eastAsia="宋体" w:cs="宋体"/>
          <w:color w:val="auto"/>
          <w:kern w:val="0"/>
          <w:szCs w:val="21"/>
          <w:highlight w:val="none"/>
          <w:lang w:eastAsia="zh-CN"/>
        </w:rPr>
        <w:t>投标人</w:t>
      </w:r>
      <w:r>
        <w:rPr>
          <w:rFonts w:hint="eastAsia" w:ascii="宋体" w:hAnsi="宋体" w:eastAsia="宋体" w:cs="宋体"/>
          <w:color w:val="auto"/>
          <w:kern w:val="0"/>
          <w:szCs w:val="21"/>
          <w:highlight w:val="none"/>
        </w:rPr>
        <w:t>财务状况表；若</w:t>
      </w:r>
      <w:r>
        <w:rPr>
          <w:rFonts w:hint="eastAsia" w:ascii="宋体" w:hAnsi="宋体" w:eastAsia="宋体" w:cs="宋体"/>
          <w:color w:val="auto"/>
          <w:kern w:val="0"/>
          <w:szCs w:val="21"/>
          <w:highlight w:val="none"/>
          <w:lang w:eastAsia="zh-CN"/>
        </w:rPr>
        <w:t>投标人</w:t>
      </w:r>
      <w:r>
        <w:rPr>
          <w:rFonts w:hint="eastAsia" w:ascii="宋体" w:hAnsi="宋体" w:eastAsia="宋体" w:cs="宋体"/>
          <w:color w:val="auto"/>
          <w:kern w:val="0"/>
          <w:szCs w:val="21"/>
          <w:highlight w:val="none"/>
        </w:rPr>
        <w:t>为新成立或未进行独立会计师事务所审计的，本表中对应年度的财务信息应填写“/”，</w:t>
      </w:r>
      <w:r>
        <w:rPr>
          <w:rFonts w:hint="eastAsia" w:ascii="宋体" w:hAnsi="宋体" w:eastAsia="宋体" w:cs="宋体"/>
          <w:color w:val="auto"/>
          <w:kern w:val="0"/>
          <w:szCs w:val="21"/>
          <w:highlight w:val="none"/>
          <w:lang w:eastAsia="zh-CN"/>
        </w:rPr>
        <w:t>投标人</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eastAsia="zh-CN"/>
        </w:rPr>
        <w:t>投标文件</w:t>
      </w:r>
      <w:r>
        <w:rPr>
          <w:rFonts w:hint="eastAsia" w:ascii="宋体" w:hAnsi="宋体" w:eastAsia="宋体" w:cs="宋体"/>
          <w:color w:val="auto"/>
          <w:kern w:val="0"/>
          <w:szCs w:val="21"/>
          <w:highlight w:val="none"/>
        </w:rPr>
        <w:t>不作无效</w:t>
      </w:r>
      <w:r>
        <w:rPr>
          <w:rFonts w:hint="eastAsia" w:ascii="宋体" w:hAnsi="宋体" w:eastAsia="宋体" w:cs="宋体"/>
          <w:color w:val="auto"/>
          <w:kern w:val="0"/>
          <w:szCs w:val="21"/>
          <w:highlight w:val="none"/>
          <w:lang w:val="en-US" w:eastAsia="zh-CN"/>
        </w:rPr>
        <w:t>投标</w:t>
      </w:r>
      <w:r>
        <w:rPr>
          <w:rFonts w:hint="eastAsia" w:ascii="宋体" w:hAnsi="宋体" w:eastAsia="宋体" w:cs="宋体"/>
          <w:color w:val="auto"/>
          <w:kern w:val="0"/>
          <w:szCs w:val="21"/>
          <w:highlight w:val="none"/>
        </w:rPr>
        <w:t>处理，但存在因不符合</w:t>
      </w:r>
      <w:r>
        <w:rPr>
          <w:rFonts w:hint="eastAsia" w:ascii="宋体" w:hAnsi="宋体" w:eastAsia="宋体" w:cs="宋体"/>
          <w:color w:val="auto"/>
          <w:kern w:val="0"/>
          <w:szCs w:val="21"/>
          <w:highlight w:val="none"/>
          <w:lang w:val="en-US" w:eastAsia="zh-CN"/>
        </w:rPr>
        <w:t>评标</w:t>
      </w:r>
      <w:r>
        <w:rPr>
          <w:rFonts w:hint="eastAsia" w:ascii="宋体" w:hAnsi="宋体" w:eastAsia="宋体" w:cs="宋体"/>
          <w:color w:val="auto"/>
          <w:kern w:val="0"/>
          <w:szCs w:val="21"/>
          <w:highlight w:val="none"/>
        </w:rPr>
        <w:t>办法中的评分标准而导致对应项不得分。</w:t>
      </w:r>
    </w:p>
    <w:p w14:paraId="07A42FAF">
      <w:pPr>
        <w:autoSpaceDE w:val="0"/>
        <w:autoSpaceDN w:val="0"/>
        <w:adjustRightInd w:val="0"/>
        <w:spacing w:line="360" w:lineRule="auto"/>
        <w:ind w:firstLine="5409" w:firstLineChars="2576"/>
        <w:rPr>
          <w:rFonts w:ascii="宋体" w:hAnsi="宋体" w:eastAsia="宋体" w:cs="宋体"/>
          <w:color w:val="auto"/>
          <w:szCs w:val="24"/>
          <w:highlight w:val="none"/>
          <w:lang w:val="zh-CN"/>
        </w:rPr>
      </w:pPr>
    </w:p>
    <w:p w14:paraId="699237F3">
      <w:pPr>
        <w:autoSpaceDE w:val="0"/>
        <w:autoSpaceDN w:val="0"/>
        <w:adjustRightInd w:val="0"/>
        <w:spacing w:line="360" w:lineRule="auto"/>
        <w:ind w:firstLine="3780" w:firstLineChars="1800"/>
        <w:rPr>
          <w:rFonts w:ascii="宋体" w:hAnsi="宋体" w:eastAsia="宋体" w:cs="宋体"/>
          <w:color w:val="auto"/>
          <w:szCs w:val="21"/>
          <w:highlight w:val="none"/>
          <w:lang w:val="zh-CN"/>
        </w:rPr>
      </w:pPr>
    </w:p>
    <w:p w14:paraId="4E8603CD">
      <w:pPr>
        <w:autoSpaceDE w:val="0"/>
        <w:autoSpaceDN w:val="0"/>
        <w:adjustRightInd w:val="0"/>
        <w:spacing w:line="360" w:lineRule="auto"/>
        <w:ind w:firstLine="3780" w:firstLineChars="1800"/>
        <w:rPr>
          <w:rFonts w:ascii="宋体" w:hAnsi="宋体" w:eastAsia="宋体" w:cs="宋体"/>
          <w:color w:val="auto"/>
          <w:szCs w:val="21"/>
          <w:highlight w:val="none"/>
          <w:lang w:val="zh-CN"/>
        </w:rPr>
      </w:pPr>
    </w:p>
    <w:p w14:paraId="60FA5F00">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3F39ACF5">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5DC1FBD9">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600FE9B4">
      <w:pPr>
        <w:autoSpaceDE w:val="0"/>
        <w:autoSpaceDN w:val="0"/>
        <w:adjustRightInd w:val="0"/>
        <w:spacing w:line="360" w:lineRule="auto"/>
        <w:jc w:val="center"/>
        <w:rPr>
          <w:rFonts w:ascii="宋体" w:hAnsi="宋体" w:eastAsia="宋体" w:cs="宋体"/>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说明：由投标人使用投标人的企业数字证书电子签名。</w:t>
      </w:r>
    </w:p>
    <w:p w14:paraId="0C0CE57F">
      <w:pPr>
        <w:autoSpaceDE w:val="0"/>
        <w:autoSpaceDN w:val="0"/>
        <w:adjustRightInd w:val="0"/>
        <w:spacing w:line="360" w:lineRule="auto"/>
        <w:ind w:firstLine="6274" w:firstLineChars="2976"/>
        <w:rPr>
          <w:rFonts w:ascii="宋体" w:hAnsi="宋体" w:eastAsia="宋体" w:cs="宋体"/>
          <w:b/>
          <w:bCs/>
          <w:color w:val="auto"/>
          <w:kern w:val="0"/>
          <w:szCs w:val="21"/>
          <w:highlight w:val="none"/>
        </w:rPr>
        <w:sectPr>
          <w:footerReference r:id="rId10" w:type="first"/>
          <w:footerReference r:id="rId9" w:type="default"/>
          <w:pgSz w:w="11907" w:h="16840"/>
          <w:pgMar w:top="1701" w:right="1418" w:bottom="851" w:left="1418" w:header="720" w:footer="720" w:gutter="0"/>
          <w:pgNumType w:fmt="decimal"/>
          <w:cols w:space="720" w:num="1"/>
          <w:titlePg/>
          <w:docGrid w:linePitch="326" w:charSpace="0"/>
        </w:sectPr>
      </w:pPr>
    </w:p>
    <w:bookmarkEnd w:id="775"/>
    <w:bookmarkEnd w:id="776"/>
    <w:bookmarkEnd w:id="777"/>
    <w:bookmarkEnd w:id="778"/>
    <w:p w14:paraId="35D626A8">
      <w:pPr>
        <w:tabs>
          <w:tab w:val="left" w:pos="567"/>
        </w:tabs>
        <w:autoSpaceDE w:val="0"/>
        <w:autoSpaceDN w:val="0"/>
        <w:adjustRightInd w:val="0"/>
        <w:spacing w:line="360" w:lineRule="auto"/>
        <w:jc w:val="left"/>
        <w:outlineLvl w:val="3"/>
        <w:rPr>
          <w:rFonts w:ascii="宋体" w:hAnsi="宋体" w:eastAsia="宋体" w:cs="宋体"/>
          <w:b/>
          <w:kern w:val="0"/>
          <w:sz w:val="32"/>
          <w:szCs w:val="32"/>
          <w:highlight w:val="none"/>
          <w:lang w:val="zh-CN"/>
        </w:rPr>
      </w:pPr>
      <w:bookmarkStart w:id="779" w:name="_Toc1977736"/>
      <w:bookmarkStart w:id="780" w:name="_Toc17995"/>
      <w:bookmarkStart w:id="781" w:name="_Toc195714390"/>
      <w:bookmarkStart w:id="782" w:name="_Toc333"/>
      <w:bookmarkStart w:id="783" w:name="_Toc739_WPSOffice_Level2"/>
      <w:bookmarkStart w:id="784" w:name="_Toc486167716"/>
      <w:bookmarkStart w:id="785" w:name="_Toc26821"/>
      <w:bookmarkStart w:id="786" w:name="_Toc140596936"/>
      <w:bookmarkStart w:id="787" w:name="_Toc142508376"/>
      <w:bookmarkStart w:id="788" w:name="_Toc533708130"/>
      <w:bookmarkStart w:id="789" w:name="_Toc104991883"/>
      <w:bookmarkStart w:id="790" w:name="_Toc102860081"/>
      <w:bookmarkStart w:id="791" w:name="_Toc94107217"/>
      <w:bookmarkStart w:id="792" w:name="_Toc102860425"/>
      <w:bookmarkStart w:id="793" w:name="_Toc6028"/>
      <w:r>
        <w:rPr>
          <w:rFonts w:hint="eastAsia" w:ascii="宋体" w:hAnsi="宋体" w:eastAsia="宋体" w:cs="宋体"/>
          <w:b/>
          <w:kern w:val="0"/>
          <w:sz w:val="32"/>
          <w:szCs w:val="32"/>
          <w:highlight w:val="none"/>
          <w:lang w:val="en-US" w:eastAsia="zh-CN"/>
        </w:rPr>
        <w:t>七</w:t>
      </w:r>
      <w:r>
        <w:rPr>
          <w:rFonts w:hint="eastAsia" w:ascii="宋体" w:hAnsi="宋体" w:eastAsia="宋体" w:cs="宋体"/>
          <w:b/>
          <w:kern w:val="0"/>
          <w:sz w:val="32"/>
          <w:szCs w:val="32"/>
          <w:highlight w:val="none"/>
          <w:lang w:val="zh-CN"/>
        </w:rPr>
        <w:t>、</w:t>
      </w:r>
      <w:r>
        <w:rPr>
          <w:rFonts w:hint="eastAsia" w:ascii="宋体" w:hAnsi="宋体" w:eastAsia="宋体" w:cs="宋体"/>
          <w:b/>
          <w:kern w:val="0"/>
          <w:sz w:val="32"/>
          <w:szCs w:val="32"/>
          <w:highlight w:val="none"/>
        </w:rPr>
        <w:t>标准化体系认证</w:t>
      </w:r>
    </w:p>
    <w:p w14:paraId="7A9832CD">
      <w:pPr>
        <w:autoSpaceDE w:val="0"/>
        <w:autoSpaceDN w:val="0"/>
        <w:adjustRightInd w:val="0"/>
        <w:spacing w:line="360" w:lineRule="auto"/>
        <w:jc w:val="left"/>
        <w:rPr>
          <w:rFonts w:ascii="宋体" w:hAnsi="宋体" w:eastAsia="宋体" w:cs="Times New Roman"/>
          <w:b/>
          <w:bCs/>
          <w:szCs w:val="24"/>
          <w:highlight w:val="none"/>
          <w:lang w:val="zh-CN"/>
        </w:rPr>
      </w:pPr>
      <w:r>
        <w:rPr>
          <w:rFonts w:hint="eastAsia" w:ascii="宋体" w:hAnsi="宋体" w:eastAsia="宋体" w:cs="宋体"/>
          <w:kern w:val="0"/>
          <w:szCs w:val="21"/>
          <w:highlight w:val="none"/>
        </w:rPr>
        <w:t>备注：</w:t>
      </w:r>
      <w:r>
        <w:rPr>
          <w:rFonts w:hint="eastAsia" w:ascii="宋体" w:hAnsi="宋体" w:eastAsia="宋体" w:cs="宋体"/>
          <w:kern w:val="0"/>
          <w:szCs w:val="21"/>
          <w:highlight w:val="none"/>
          <w:lang w:eastAsia="zh-CN"/>
        </w:rPr>
        <w:t>投标人</w:t>
      </w:r>
      <w:r>
        <w:rPr>
          <w:rFonts w:hint="eastAsia" w:ascii="宋体" w:hAnsi="宋体" w:eastAsia="宋体" w:cs="宋体"/>
          <w:kern w:val="0"/>
          <w:szCs w:val="21"/>
          <w:highlight w:val="none"/>
        </w:rPr>
        <w:t>应提供证书原件扫描件及能显示证书有效状态的全国认证认可信息公共服务平台（http://cx.cnca.cn/）查询结果凭证{凭证界面需显示有“全国认证认可信息公共服务平台”或“认证证书（需显示网址cx.cnca.cn）”}。</w:t>
      </w:r>
    </w:p>
    <w:p w14:paraId="42CC2041">
      <w:pPr>
        <w:autoSpaceDE w:val="0"/>
        <w:autoSpaceDN w:val="0"/>
        <w:adjustRightInd w:val="0"/>
        <w:spacing w:line="360" w:lineRule="auto"/>
        <w:jc w:val="center"/>
        <w:rPr>
          <w:rFonts w:ascii="宋体" w:hAnsi="宋体" w:eastAsia="宋体" w:cs="Times New Roman"/>
          <w:b/>
          <w:bCs/>
          <w:szCs w:val="24"/>
          <w:highlight w:val="none"/>
          <w:lang w:val="zh-CN"/>
        </w:rPr>
      </w:pPr>
    </w:p>
    <w:p w14:paraId="462A0B0E">
      <w:pPr>
        <w:autoSpaceDE w:val="0"/>
        <w:autoSpaceDN w:val="0"/>
        <w:adjustRightInd w:val="0"/>
        <w:spacing w:line="360" w:lineRule="auto"/>
        <w:jc w:val="center"/>
        <w:rPr>
          <w:rFonts w:ascii="宋体" w:hAnsi="宋体" w:eastAsia="宋体" w:cs="宋体"/>
          <w:szCs w:val="24"/>
          <w:highlight w:val="none"/>
          <w:lang w:val="zh-CN"/>
        </w:rPr>
      </w:pPr>
    </w:p>
    <w:p w14:paraId="3572A577">
      <w:pPr>
        <w:autoSpaceDE w:val="0"/>
        <w:autoSpaceDN w:val="0"/>
        <w:adjustRightInd w:val="0"/>
        <w:spacing w:line="360" w:lineRule="auto"/>
        <w:ind w:firstLine="6274" w:firstLineChars="2976"/>
        <w:rPr>
          <w:rFonts w:ascii="宋体" w:hAnsi="宋体" w:eastAsia="宋体" w:cs="宋体"/>
          <w:b/>
          <w:bCs/>
          <w:kern w:val="0"/>
          <w:szCs w:val="21"/>
          <w:highlight w:val="none"/>
        </w:rPr>
        <w:sectPr>
          <w:footerReference r:id="rId12" w:type="first"/>
          <w:footerReference r:id="rId11" w:type="default"/>
          <w:pgSz w:w="11907" w:h="16840"/>
          <w:pgMar w:top="1701" w:right="1418" w:bottom="851" w:left="1418" w:header="720" w:footer="720" w:gutter="0"/>
          <w:cols w:space="720" w:num="1"/>
          <w:titlePg/>
          <w:docGrid w:linePitch="326" w:charSpace="0"/>
        </w:sectPr>
      </w:pPr>
    </w:p>
    <w:p w14:paraId="04E051BF">
      <w:pPr>
        <w:tabs>
          <w:tab w:val="left" w:pos="567"/>
        </w:tabs>
        <w:autoSpaceDE w:val="0"/>
        <w:autoSpaceDN w:val="0"/>
        <w:adjustRightInd w:val="0"/>
        <w:spacing w:line="360" w:lineRule="auto"/>
        <w:jc w:val="left"/>
        <w:outlineLvl w:val="3"/>
        <w:rPr>
          <w:rFonts w:ascii="宋体" w:hAnsi="宋体" w:eastAsia="宋体" w:cs="宋体"/>
          <w:b/>
          <w:color w:val="auto"/>
          <w:kern w:val="0"/>
          <w:sz w:val="32"/>
          <w:szCs w:val="32"/>
          <w:highlight w:val="none"/>
          <w:lang w:val="zh-CN"/>
        </w:rPr>
      </w:pPr>
      <w:r>
        <w:rPr>
          <w:rFonts w:hint="eastAsia" w:ascii="宋体" w:hAnsi="宋体" w:eastAsia="宋体" w:cs="宋体"/>
          <w:b/>
          <w:color w:val="auto"/>
          <w:kern w:val="0"/>
          <w:sz w:val="32"/>
          <w:szCs w:val="32"/>
          <w:highlight w:val="none"/>
          <w:lang w:val="en-US" w:eastAsia="zh-CN"/>
        </w:rPr>
        <w:t>八</w:t>
      </w:r>
      <w:r>
        <w:rPr>
          <w:rFonts w:hint="eastAsia" w:ascii="宋体" w:hAnsi="宋体" w:eastAsia="宋体" w:cs="宋体"/>
          <w:b/>
          <w:color w:val="auto"/>
          <w:kern w:val="0"/>
          <w:sz w:val="32"/>
          <w:szCs w:val="32"/>
          <w:highlight w:val="none"/>
          <w:lang w:val="zh-CN"/>
        </w:rPr>
        <w:t>、合同条款偏离表格式</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p>
    <w:p w14:paraId="63158D59">
      <w:pPr>
        <w:autoSpaceDE w:val="0"/>
        <w:autoSpaceDN w:val="0"/>
        <w:adjustRightInd w:val="0"/>
        <w:spacing w:line="360" w:lineRule="auto"/>
        <w:jc w:val="center"/>
        <w:rPr>
          <w:rFonts w:hint="eastAsia" w:ascii="宋体" w:hAnsi="宋体" w:eastAsia="宋体" w:cs="宋体"/>
          <w:b/>
          <w:bCs/>
          <w:color w:val="auto"/>
          <w:kern w:val="0"/>
          <w:sz w:val="28"/>
          <w:szCs w:val="30"/>
          <w:highlight w:val="none"/>
          <w:lang w:val="zh-CN"/>
        </w:rPr>
      </w:pPr>
      <w:bookmarkStart w:id="794" w:name="_Toc26412_WPSOffice_Level3"/>
      <w:r>
        <w:rPr>
          <w:rFonts w:hint="eastAsia" w:ascii="宋体" w:hAnsi="宋体" w:eastAsia="宋体" w:cs="宋体"/>
          <w:b/>
          <w:bCs/>
          <w:color w:val="auto"/>
          <w:kern w:val="0"/>
          <w:sz w:val="28"/>
          <w:szCs w:val="30"/>
          <w:highlight w:val="none"/>
          <w:lang w:val="zh-CN"/>
        </w:rPr>
        <w:t>东莞市众源环境投资有限公司半干化泥粉外运资源化处置服务供应商库2025年第二次扩增供应商项目</w:t>
      </w:r>
    </w:p>
    <w:p w14:paraId="392A1231">
      <w:pPr>
        <w:autoSpaceDE w:val="0"/>
        <w:autoSpaceDN w:val="0"/>
        <w:adjustRightInd w:val="0"/>
        <w:spacing w:line="360" w:lineRule="auto"/>
        <w:jc w:val="center"/>
        <w:rPr>
          <w:rFonts w:ascii="宋体" w:hAnsi="宋体" w:eastAsia="宋体" w:cs="宋体"/>
          <w:b/>
          <w:bCs/>
          <w:color w:val="auto"/>
          <w:kern w:val="0"/>
          <w:sz w:val="28"/>
          <w:szCs w:val="30"/>
          <w:highlight w:val="none"/>
          <w:lang w:val="zh-CN"/>
        </w:rPr>
      </w:pPr>
      <w:r>
        <w:rPr>
          <w:rFonts w:hint="eastAsia" w:ascii="宋体" w:hAnsi="宋体" w:eastAsia="宋体" w:cs="宋体"/>
          <w:b/>
          <w:bCs/>
          <w:color w:val="auto"/>
          <w:kern w:val="0"/>
          <w:sz w:val="28"/>
          <w:szCs w:val="30"/>
          <w:highlight w:val="none"/>
          <w:lang w:val="zh-CN"/>
        </w:rPr>
        <w:t>合同条款偏离表</w:t>
      </w:r>
      <w:bookmarkEnd w:id="794"/>
    </w:p>
    <w:tbl>
      <w:tblPr>
        <w:tblStyle w:val="5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1425"/>
        <w:gridCol w:w="3055"/>
        <w:gridCol w:w="1346"/>
        <w:gridCol w:w="3524"/>
      </w:tblGrid>
      <w:tr w14:paraId="23136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rPr>
        <w:tc>
          <w:tcPr>
            <w:tcW w:w="1020" w:type="dxa"/>
            <w:vMerge w:val="restart"/>
            <w:vAlign w:val="center"/>
          </w:tcPr>
          <w:p w14:paraId="5E9E9B91">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序号</w:t>
            </w:r>
          </w:p>
        </w:tc>
        <w:tc>
          <w:tcPr>
            <w:tcW w:w="4480" w:type="dxa"/>
            <w:gridSpan w:val="2"/>
            <w:vAlign w:val="center"/>
          </w:tcPr>
          <w:p w14:paraId="0737D02B">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招标文件</w:t>
            </w:r>
            <w:r>
              <w:rPr>
                <w:rFonts w:hint="eastAsia" w:ascii="宋体" w:hAnsi="宋体" w:eastAsia="宋体" w:cs="宋体"/>
                <w:color w:val="auto"/>
                <w:kern w:val="0"/>
                <w:szCs w:val="21"/>
                <w:highlight w:val="none"/>
              </w:rPr>
              <w:t>要求</w:t>
            </w:r>
          </w:p>
        </w:tc>
        <w:tc>
          <w:tcPr>
            <w:tcW w:w="4870" w:type="dxa"/>
            <w:gridSpan w:val="2"/>
            <w:vAlign w:val="center"/>
          </w:tcPr>
          <w:p w14:paraId="1CF255EF">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投标文件</w:t>
            </w:r>
            <w:r>
              <w:rPr>
                <w:rFonts w:hint="eastAsia" w:ascii="宋体" w:hAnsi="宋体" w:eastAsia="宋体" w:cs="宋体"/>
                <w:color w:val="auto"/>
                <w:kern w:val="0"/>
                <w:szCs w:val="21"/>
                <w:highlight w:val="none"/>
              </w:rPr>
              <w:t>内容</w:t>
            </w:r>
          </w:p>
        </w:tc>
      </w:tr>
      <w:tr w14:paraId="486EE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1020" w:type="dxa"/>
            <w:vMerge w:val="continue"/>
            <w:vAlign w:val="center"/>
          </w:tcPr>
          <w:p w14:paraId="3145E9C6">
            <w:pPr>
              <w:autoSpaceDE w:val="0"/>
              <w:autoSpaceDN w:val="0"/>
              <w:adjustRightInd w:val="0"/>
              <w:spacing w:line="400" w:lineRule="exact"/>
              <w:jc w:val="center"/>
              <w:rPr>
                <w:rFonts w:ascii="宋体" w:hAnsi="宋体" w:eastAsia="宋体" w:cs="宋体"/>
                <w:color w:val="auto"/>
                <w:kern w:val="0"/>
                <w:szCs w:val="21"/>
                <w:highlight w:val="none"/>
              </w:rPr>
            </w:pPr>
          </w:p>
        </w:tc>
        <w:tc>
          <w:tcPr>
            <w:tcW w:w="1425" w:type="dxa"/>
            <w:vAlign w:val="center"/>
          </w:tcPr>
          <w:p w14:paraId="00663937">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条款号</w:t>
            </w:r>
          </w:p>
        </w:tc>
        <w:tc>
          <w:tcPr>
            <w:tcW w:w="3055" w:type="dxa"/>
            <w:vAlign w:val="center"/>
          </w:tcPr>
          <w:p w14:paraId="07591E79">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简要内容</w:t>
            </w:r>
          </w:p>
        </w:tc>
        <w:tc>
          <w:tcPr>
            <w:tcW w:w="1346" w:type="dxa"/>
            <w:vAlign w:val="center"/>
          </w:tcPr>
          <w:p w14:paraId="6AB94961">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偏离情况</w:t>
            </w:r>
          </w:p>
        </w:tc>
        <w:tc>
          <w:tcPr>
            <w:tcW w:w="3524" w:type="dxa"/>
            <w:vAlign w:val="center"/>
          </w:tcPr>
          <w:p w14:paraId="23BDE278">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具体偏离内容</w:t>
            </w:r>
          </w:p>
        </w:tc>
      </w:tr>
      <w:tr w14:paraId="62EA6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6775846B">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1425" w:type="dxa"/>
            <w:vAlign w:val="center"/>
          </w:tcPr>
          <w:p w14:paraId="026ED649">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Times New Roman"/>
                <w:color w:val="auto"/>
                <w:kern w:val="0"/>
                <w:szCs w:val="21"/>
                <w:highlight w:val="none"/>
                <w:lang w:val="en-US" w:eastAsia="zh-CN"/>
              </w:rPr>
              <w:t>第一条</w:t>
            </w:r>
          </w:p>
        </w:tc>
        <w:tc>
          <w:tcPr>
            <w:tcW w:w="3055" w:type="dxa"/>
            <w:vAlign w:val="center"/>
          </w:tcPr>
          <w:p w14:paraId="07F23841">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合同范围</w:t>
            </w:r>
          </w:p>
        </w:tc>
        <w:tc>
          <w:tcPr>
            <w:tcW w:w="1346" w:type="dxa"/>
            <w:vAlign w:val="center"/>
          </w:tcPr>
          <w:p w14:paraId="765BF60D">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6B927581">
            <w:pPr>
              <w:autoSpaceDE w:val="0"/>
              <w:autoSpaceDN w:val="0"/>
              <w:adjustRightInd w:val="0"/>
              <w:spacing w:line="400" w:lineRule="exact"/>
              <w:jc w:val="center"/>
              <w:rPr>
                <w:rFonts w:ascii="宋体" w:hAnsi="宋体" w:eastAsia="宋体" w:cs="宋体"/>
                <w:color w:val="auto"/>
                <w:kern w:val="0"/>
                <w:szCs w:val="21"/>
                <w:highlight w:val="none"/>
              </w:rPr>
            </w:pPr>
          </w:p>
        </w:tc>
      </w:tr>
      <w:tr w14:paraId="0C60C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26704B33">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1425" w:type="dxa"/>
            <w:vAlign w:val="center"/>
          </w:tcPr>
          <w:p w14:paraId="3309EFB2">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Times New Roman"/>
                <w:color w:val="auto"/>
                <w:kern w:val="0"/>
                <w:szCs w:val="21"/>
                <w:highlight w:val="none"/>
                <w:lang w:val="en-US" w:eastAsia="zh-CN"/>
              </w:rPr>
              <w:t>第二条</w:t>
            </w:r>
          </w:p>
        </w:tc>
        <w:tc>
          <w:tcPr>
            <w:tcW w:w="3055" w:type="dxa"/>
            <w:vAlign w:val="center"/>
          </w:tcPr>
          <w:p w14:paraId="1E1255DB">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供应商服务资格有效期</w:t>
            </w:r>
          </w:p>
        </w:tc>
        <w:tc>
          <w:tcPr>
            <w:tcW w:w="1346" w:type="dxa"/>
            <w:vAlign w:val="center"/>
          </w:tcPr>
          <w:p w14:paraId="34656273">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20A2C957">
            <w:pPr>
              <w:autoSpaceDE w:val="0"/>
              <w:autoSpaceDN w:val="0"/>
              <w:adjustRightInd w:val="0"/>
              <w:spacing w:line="400" w:lineRule="exact"/>
              <w:jc w:val="center"/>
              <w:rPr>
                <w:rFonts w:ascii="宋体" w:hAnsi="宋体" w:eastAsia="宋体" w:cs="宋体"/>
                <w:color w:val="auto"/>
                <w:kern w:val="0"/>
                <w:szCs w:val="21"/>
                <w:highlight w:val="none"/>
              </w:rPr>
            </w:pPr>
          </w:p>
        </w:tc>
      </w:tr>
      <w:tr w14:paraId="4F1CC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03B74974">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1425" w:type="dxa"/>
            <w:vAlign w:val="center"/>
          </w:tcPr>
          <w:p w14:paraId="031153EE">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Times New Roman"/>
                <w:color w:val="auto"/>
                <w:kern w:val="0"/>
                <w:szCs w:val="21"/>
                <w:highlight w:val="none"/>
                <w:lang w:val="en-US" w:eastAsia="zh-CN"/>
              </w:rPr>
              <w:t>第三条</w:t>
            </w:r>
          </w:p>
        </w:tc>
        <w:tc>
          <w:tcPr>
            <w:tcW w:w="3055" w:type="dxa"/>
            <w:vAlign w:val="center"/>
          </w:tcPr>
          <w:p w14:paraId="43BE2D38">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供应商库使用方式</w:t>
            </w:r>
          </w:p>
        </w:tc>
        <w:tc>
          <w:tcPr>
            <w:tcW w:w="1346" w:type="dxa"/>
            <w:vAlign w:val="center"/>
          </w:tcPr>
          <w:p w14:paraId="560D6722">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699B94BC">
            <w:pPr>
              <w:autoSpaceDE w:val="0"/>
              <w:autoSpaceDN w:val="0"/>
              <w:adjustRightInd w:val="0"/>
              <w:spacing w:line="400" w:lineRule="exact"/>
              <w:jc w:val="center"/>
              <w:rPr>
                <w:rFonts w:ascii="宋体" w:hAnsi="宋体" w:eastAsia="宋体" w:cs="宋体"/>
                <w:color w:val="auto"/>
                <w:kern w:val="0"/>
                <w:szCs w:val="21"/>
                <w:highlight w:val="none"/>
              </w:rPr>
            </w:pPr>
          </w:p>
        </w:tc>
      </w:tr>
      <w:tr w14:paraId="3BF94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1020" w:type="dxa"/>
            <w:vAlign w:val="center"/>
          </w:tcPr>
          <w:p w14:paraId="4058416E">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p>
        </w:tc>
        <w:tc>
          <w:tcPr>
            <w:tcW w:w="1425" w:type="dxa"/>
            <w:vAlign w:val="center"/>
          </w:tcPr>
          <w:p w14:paraId="7DC50F44">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Times New Roman"/>
                <w:color w:val="auto"/>
                <w:kern w:val="0"/>
                <w:szCs w:val="21"/>
                <w:highlight w:val="none"/>
                <w:lang w:val="en-US" w:eastAsia="zh-CN"/>
              </w:rPr>
              <w:t>第四条</w:t>
            </w:r>
          </w:p>
        </w:tc>
        <w:tc>
          <w:tcPr>
            <w:tcW w:w="3055" w:type="dxa"/>
            <w:vAlign w:val="center"/>
          </w:tcPr>
          <w:p w14:paraId="2A06EDAC">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b w:val="0"/>
                <w:color w:val="auto"/>
                <w:kern w:val="0"/>
                <w:sz w:val="21"/>
                <w:szCs w:val="21"/>
                <w:highlight w:val="none"/>
              </w:rPr>
              <w:t>退出机制</w:t>
            </w:r>
          </w:p>
        </w:tc>
        <w:tc>
          <w:tcPr>
            <w:tcW w:w="1346" w:type="dxa"/>
            <w:vAlign w:val="center"/>
          </w:tcPr>
          <w:p w14:paraId="13D207A4">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51233018">
            <w:pPr>
              <w:autoSpaceDE w:val="0"/>
              <w:autoSpaceDN w:val="0"/>
              <w:adjustRightInd w:val="0"/>
              <w:spacing w:line="400" w:lineRule="exact"/>
              <w:jc w:val="center"/>
              <w:rPr>
                <w:rFonts w:ascii="宋体" w:hAnsi="宋体" w:eastAsia="宋体" w:cs="宋体"/>
                <w:color w:val="auto"/>
                <w:kern w:val="0"/>
                <w:szCs w:val="21"/>
                <w:highlight w:val="none"/>
              </w:rPr>
            </w:pPr>
          </w:p>
        </w:tc>
      </w:tr>
      <w:tr w14:paraId="7905B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46C8B43E">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5</w:t>
            </w:r>
          </w:p>
        </w:tc>
        <w:tc>
          <w:tcPr>
            <w:tcW w:w="1425" w:type="dxa"/>
            <w:vAlign w:val="center"/>
          </w:tcPr>
          <w:p w14:paraId="08B3C5CE">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Times New Roman"/>
                <w:color w:val="auto"/>
                <w:kern w:val="0"/>
                <w:szCs w:val="21"/>
                <w:highlight w:val="none"/>
                <w:lang w:val="en-US" w:eastAsia="zh-CN"/>
              </w:rPr>
              <w:t>第五条</w:t>
            </w:r>
          </w:p>
        </w:tc>
        <w:tc>
          <w:tcPr>
            <w:tcW w:w="3055" w:type="dxa"/>
            <w:vAlign w:val="center"/>
          </w:tcPr>
          <w:p w14:paraId="6800A215">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供应商管理</w:t>
            </w:r>
          </w:p>
        </w:tc>
        <w:tc>
          <w:tcPr>
            <w:tcW w:w="1346" w:type="dxa"/>
            <w:vAlign w:val="center"/>
          </w:tcPr>
          <w:p w14:paraId="4CEAF492">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30AE0676">
            <w:pPr>
              <w:autoSpaceDE w:val="0"/>
              <w:autoSpaceDN w:val="0"/>
              <w:adjustRightInd w:val="0"/>
              <w:spacing w:line="400" w:lineRule="exact"/>
              <w:jc w:val="center"/>
              <w:rPr>
                <w:rFonts w:ascii="宋体" w:hAnsi="宋体" w:eastAsia="宋体" w:cs="宋体"/>
                <w:color w:val="auto"/>
                <w:kern w:val="0"/>
                <w:szCs w:val="21"/>
                <w:highlight w:val="none"/>
              </w:rPr>
            </w:pPr>
          </w:p>
        </w:tc>
      </w:tr>
      <w:tr w14:paraId="34711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7CB87E8D">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6</w:t>
            </w:r>
          </w:p>
        </w:tc>
        <w:tc>
          <w:tcPr>
            <w:tcW w:w="1425" w:type="dxa"/>
            <w:vAlign w:val="center"/>
          </w:tcPr>
          <w:p w14:paraId="28F97AD3">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Times New Roman"/>
                <w:color w:val="auto"/>
                <w:kern w:val="0"/>
                <w:szCs w:val="21"/>
                <w:highlight w:val="none"/>
                <w:lang w:val="en-US" w:eastAsia="zh-CN"/>
              </w:rPr>
              <w:t>第六条</w:t>
            </w:r>
          </w:p>
        </w:tc>
        <w:tc>
          <w:tcPr>
            <w:tcW w:w="3055" w:type="dxa"/>
            <w:vAlign w:val="center"/>
          </w:tcPr>
          <w:p w14:paraId="294162B1">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服务要求</w:t>
            </w:r>
          </w:p>
        </w:tc>
        <w:tc>
          <w:tcPr>
            <w:tcW w:w="1346" w:type="dxa"/>
            <w:vAlign w:val="center"/>
          </w:tcPr>
          <w:p w14:paraId="2FEF8672">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1D1D8430">
            <w:pPr>
              <w:autoSpaceDE w:val="0"/>
              <w:autoSpaceDN w:val="0"/>
              <w:adjustRightInd w:val="0"/>
              <w:spacing w:line="400" w:lineRule="exact"/>
              <w:jc w:val="center"/>
              <w:rPr>
                <w:rFonts w:ascii="宋体" w:hAnsi="宋体" w:eastAsia="宋体" w:cs="宋体"/>
                <w:color w:val="auto"/>
                <w:kern w:val="0"/>
                <w:szCs w:val="21"/>
                <w:highlight w:val="none"/>
              </w:rPr>
            </w:pPr>
          </w:p>
        </w:tc>
      </w:tr>
      <w:tr w14:paraId="0465C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06600477">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7</w:t>
            </w:r>
          </w:p>
        </w:tc>
        <w:tc>
          <w:tcPr>
            <w:tcW w:w="1425" w:type="dxa"/>
            <w:vAlign w:val="center"/>
          </w:tcPr>
          <w:p w14:paraId="106D25D9">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Times New Roman"/>
                <w:color w:val="auto"/>
                <w:kern w:val="0"/>
                <w:szCs w:val="21"/>
                <w:highlight w:val="none"/>
                <w:lang w:val="en-US" w:eastAsia="zh-CN"/>
              </w:rPr>
              <w:t>第七条</w:t>
            </w:r>
          </w:p>
        </w:tc>
        <w:tc>
          <w:tcPr>
            <w:tcW w:w="3055" w:type="dxa"/>
            <w:vAlign w:val="center"/>
          </w:tcPr>
          <w:p w14:paraId="1EFB249B">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双方权利义务</w:t>
            </w:r>
          </w:p>
        </w:tc>
        <w:tc>
          <w:tcPr>
            <w:tcW w:w="1346" w:type="dxa"/>
            <w:vAlign w:val="center"/>
          </w:tcPr>
          <w:p w14:paraId="26B18BD9">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09F73DFF">
            <w:pPr>
              <w:autoSpaceDE w:val="0"/>
              <w:autoSpaceDN w:val="0"/>
              <w:adjustRightInd w:val="0"/>
              <w:spacing w:line="400" w:lineRule="exact"/>
              <w:jc w:val="center"/>
              <w:rPr>
                <w:rFonts w:ascii="宋体" w:hAnsi="宋体" w:eastAsia="宋体" w:cs="宋体"/>
                <w:color w:val="auto"/>
                <w:kern w:val="0"/>
                <w:szCs w:val="21"/>
                <w:highlight w:val="none"/>
              </w:rPr>
            </w:pPr>
          </w:p>
        </w:tc>
      </w:tr>
      <w:tr w14:paraId="59D2F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4C1A117D">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8</w:t>
            </w:r>
          </w:p>
        </w:tc>
        <w:tc>
          <w:tcPr>
            <w:tcW w:w="1425" w:type="dxa"/>
            <w:vAlign w:val="center"/>
          </w:tcPr>
          <w:p w14:paraId="4AF35319">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Times New Roman"/>
                <w:color w:val="auto"/>
                <w:kern w:val="0"/>
                <w:szCs w:val="21"/>
                <w:highlight w:val="none"/>
                <w:lang w:val="en-US" w:eastAsia="zh-CN"/>
              </w:rPr>
              <w:t>第八条</w:t>
            </w:r>
          </w:p>
        </w:tc>
        <w:tc>
          <w:tcPr>
            <w:tcW w:w="3055" w:type="dxa"/>
            <w:vAlign w:val="center"/>
          </w:tcPr>
          <w:p w14:paraId="454D9C56">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服务费及支付方式</w:t>
            </w:r>
          </w:p>
        </w:tc>
        <w:tc>
          <w:tcPr>
            <w:tcW w:w="1346" w:type="dxa"/>
            <w:vAlign w:val="center"/>
          </w:tcPr>
          <w:p w14:paraId="24D925E0">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338F0773">
            <w:pPr>
              <w:autoSpaceDE w:val="0"/>
              <w:autoSpaceDN w:val="0"/>
              <w:adjustRightInd w:val="0"/>
              <w:spacing w:line="400" w:lineRule="exact"/>
              <w:jc w:val="center"/>
              <w:rPr>
                <w:rFonts w:ascii="宋体" w:hAnsi="宋体" w:eastAsia="宋体" w:cs="宋体"/>
                <w:color w:val="auto"/>
                <w:kern w:val="0"/>
                <w:szCs w:val="21"/>
                <w:highlight w:val="none"/>
              </w:rPr>
            </w:pPr>
          </w:p>
        </w:tc>
      </w:tr>
      <w:tr w14:paraId="61D5B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476484D7">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9</w:t>
            </w:r>
          </w:p>
        </w:tc>
        <w:tc>
          <w:tcPr>
            <w:tcW w:w="1425" w:type="dxa"/>
            <w:vAlign w:val="center"/>
          </w:tcPr>
          <w:p w14:paraId="6AE20B6E">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Times New Roman"/>
                <w:color w:val="auto"/>
                <w:kern w:val="0"/>
                <w:szCs w:val="21"/>
                <w:highlight w:val="none"/>
                <w:lang w:val="en-US" w:eastAsia="zh-CN"/>
              </w:rPr>
              <w:t>第九条</w:t>
            </w:r>
          </w:p>
        </w:tc>
        <w:tc>
          <w:tcPr>
            <w:tcW w:w="3055" w:type="dxa"/>
            <w:vAlign w:val="center"/>
          </w:tcPr>
          <w:p w14:paraId="5AE19C67">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违约责任</w:t>
            </w:r>
          </w:p>
        </w:tc>
        <w:tc>
          <w:tcPr>
            <w:tcW w:w="1346" w:type="dxa"/>
            <w:vAlign w:val="center"/>
          </w:tcPr>
          <w:p w14:paraId="18032F97">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210A1702">
            <w:pPr>
              <w:autoSpaceDE w:val="0"/>
              <w:autoSpaceDN w:val="0"/>
              <w:adjustRightInd w:val="0"/>
              <w:spacing w:line="400" w:lineRule="exact"/>
              <w:jc w:val="center"/>
              <w:rPr>
                <w:rFonts w:ascii="宋体" w:hAnsi="宋体" w:eastAsia="宋体" w:cs="宋体"/>
                <w:color w:val="auto"/>
                <w:kern w:val="0"/>
                <w:szCs w:val="21"/>
                <w:highlight w:val="none"/>
              </w:rPr>
            </w:pPr>
          </w:p>
        </w:tc>
      </w:tr>
      <w:tr w14:paraId="46680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599F2F80">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10</w:t>
            </w:r>
          </w:p>
        </w:tc>
        <w:tc>
          <w:tcPr>
            <w:tcW w:w="1425" w:type="dxa"/>
            <w:vAlign w:val="center"/>
          </w:tcPr>
          <w:p w14:paraId="34EF345D">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Times New Roman"/>
                <w:color w:val="auto"/>
                <w:kern w:val="0"/>
                <w:szCs w:val="21"/>
                <w:highlight w:val="none"/>
                <w:lang w:val="en-US" w:eastAsia="zh-CN"/>
              </w:rPr>
              <w:t>第十条</w:t>
            </w:r>
          </w:p>
        </w:tc>
        <w:tc>
          <w:tcPr>
            <w:tcW w:w="3055" w:type="dxa"/>
            <w:vAlign w:val="center"/>
          </w:tcPr>
          <w:p w14:paraId="60FFAE5E">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入库履约担保</w:t>
            </w:r>
          </w:p>
        </w:tc>
        <w:tc>
          <w:tcPr>
            <w:tcW w:w="1346" w:type="dxa"/>
            <w:vAlign w:val="center"/>
          </w:tcPr>
          <w:p w14:paraId="490A0DCE">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1B29B8BB">
            <w:pPr>
              <w:autoSpaceDE w:val="0"/>
              <w:autoSpaceDN w:val="0"/>
              <w:adjustRightInd w:val="0"/>
              <w:spacing w:line="400" w:lineRule="exact"/>
              <w:jc w:val="center"/>
              <w:rPr>
                <w:rFonts w:ascii="宋体" w:hAnsi="宋体" w:eastAsia="宋体" w:cs="宋体"/>
                <w:color w:val="auto"/>
                <w:kern w:val="0"/>
                <w:szCs w:val="21"/>
                <w:highlight w:val="none"/>
              </w:rPr>
            </w:pPr>
          </w:p>
        </w:tc>
      </w:tr>
      <w:tr w14:paraId="7B77C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79FAA840">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11</w:t>
            </w:r>
          </w:p>
        </w:tc>
        <w:tc>
          <w:tcPr>
            <w:tcW w:w="1425" w:type="dxa"/>
            <w:vAlign w:val="center"/>
          </w:tcPr>
          <w:p w14:paraId="7B2662A2">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Times New Roman"/>
                <w:color w:val="auto"/>
                <w:kern w:val="0"/>
                <w:szCs w:val="21"/>
                <w:highlight w:val="none"/>
                <w:lang w:val="en-US" w:eastAsia="zh-CN"/>
              </w:rPr>
              <w:t>第十一条</w:t>
            </w:r>
          </w:p>
        </w:tc>
        <w:tc>
          <w:tcPr>
            <w:tcW w:w="3055" w:type="dxa"/>
            <w:vAlign w:val="center"/>
          </w:tcPr>
          <w:p w14:paraId="2CF4FA0E">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其它约定</w:t>
            </w:r>
          </w:p>
        </w:tc>
        <w:tc>
          <w:tcPr>
            <w:tcW w:w="1346" w:type="dxa"/>
            <w:vAlign w:val="center"/>
          </w:tcPr>
          <w:p w14:paraId="486BE085">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397FE9D3">
            <w:pPr>
              <w:autoSpaceDE w:val="0"/>
              <w:autoSpaceDN w:val="0"/>
              <w:adjustRightInd w:val="0"/>
              <w:spacing w:line="400" w:lineRule="exact"/>
              <w:jc w:val="center"/>
              <w:rPr>
                <w:rFonts w:ascii="宋体" w:hAnsi="宋体" w:eastAsia="宋体" w:cs="宋体"/>
                <w:color w:val="auto"/>
                <w:kern w:val="0"/>
                <w:szCs w:val="21"/>
                <w:highlight w:val="none"/>
              </w:rPr>
            </w:pPr>
          </w:p>
        </w:tc>
      </w:tr>
      <w:tr w14:paraId="1D1A8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099B965C">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12</w:t>
            </w:r>
          </w:p>
        </w:tc>
        <w:tc>
          <w:tcPr>
            <w:tcW w:w="1425" w:type="dxa"/>
            <w:vAlign w:val="center"/>
          </w:tcPr>
          <w:p w14:paraId="24995190">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Times New Roman"/>
                <w:color w:val="auto"/>
                <w:kern w:val="0"/>
                <w:szCs w:val="21"/>
                <w:highlight w:val="none"/>
                <w:lang w:val="en-US" w:eastAsia="zh-CN"/>
              </w:rPr>
              <w:t>第十二条</w:t>
            </w:r>
          </w:p>
        </w:tc>
        <w:tc>
          <w:tcPr>
            <w:tcW w:w="3055" w:type="dxa"/>
            <w:vAlign w:val="center"/>
          </w:tcPr>
          <w:p w14:paraId="3D54FA40">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争议或纠纷处理</w:t>
            </w:r>
          </w:p>
        </w:tc>
        <w:tc>
          <w:tcPr>
            <w:tcW w:w="1346" w:type="dxa"/>
            <w:vAlign w:val="center"/>
          </w:tcPr>
          <w:p w14:paraId="33F51A8F">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04AE69B3">
            <w:pPr>
              <w:autoSpaceDE w:val="0"/>
              <w:autoSpaceDN w:val="0"/>
              <w:adjustRightInd w:val="0"/>
              <w:spacing w:line="400" w:lineRule="exact"/>
              <w:jc w:val="center"/>
              <w:rPr>
                <w:rFonts w:ascii="宋体" w:hAnsi="宋体" w:eastAsia="宋体" w:cs="宋体"/>
                <w:color w:val="auto"/>
                <w:kern w:val="0"/>
                <w:szCs w:val="21"/>
                <w:highlight w:val="none"/>
              </w:rPr>
            </w:pPr>
          </w:p>
        </w:tc>
      </w:tr>
      <w:tr w14:paraId="2A28D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6FB989B6">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13</w:t>
            </w:r>
          </w:p>
        </w:tc>
        <w:tc>
          <w:tcPr>
            <w:tcW w:w="1425" w:type="dxa"/>
            <w:vAlign w:val="center"/>
          </w:tcPr>
          <w:p w14:paraId="64F39F86">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Times New Roman"/>
                <w:color w:val="auto"/>
                <w:kern w:val="0"/>
                <w:szCs w:val="21"/>
                <w:highlight w:val="none"/>
                <w:lang w:val="en-US" w:eastAsia="zh-CN"/>
              </w:rPr>
              <w:t>第十三条</w:t>
            </w:r>
          </w:p>
        </w:tc>
        <w:tc>
          <w:tcPr>
            <w:tcW w:w="3055" w:type="dxa"/>
            <w:vAlign w:val="center"/>
          </w:tcPr>
          <w:p w14:paraId="55E6E6C1">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附   则</w:t>
            </w:r>
          </w:p>
        </w:tc>
        <w:tc>
          <w:tcPr>
            <w:tcW w:w="1346" w:type="dxa"/>
            <w:vAlign w:val="center"/>
          </w:tcPr>
          <w:p w14:paraId="55EFDEA4">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5F97A94B">
            <w:pPr>
              <w:autoSpaceDE w:val="0"/>
              <w:autoSpaceDN w:val="0"/>
              <w:adjustRightInd w:val="0"/>
              <w:spacing w:line="400" w:lineRule="exact"/>
              <w:jc w:val="center"/>
              <w:rPr>
                <w:rFonts w:ascii="宋体" w:hAnsi="宋体" w:eastAsia="宋体" w:cs="宋体"/>
                <w:color w:val="auto"/>
                <w:kern w:val="0"/>
                <w:szCs w:val="21"/>
                <w:highlight w:val="none"/>
              </w:rPr>
            </w:pPr>
          </w:p>
        </w:tc>
      </w:tr>
      <w:tr w14:paraId="4934E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389156CA">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14</w:t>
            </w:r>
          </w:p>
        </w:tc>
        <w:tc>
          <w:tcPr>
            <w:tcW w:w="1425" w:type="dxa"/>
            <w:vAlign w:val="center"/>
          </w:tcPr>
          <w:p w14:paraId="5BB01804">
            <w:pPr>
              <w:autoSpaceDE w:val="0"/>
              <w:autoSpaceDN w:val="0"/>
              <w:adjustRightInd w:val="0"/>
              <w:spacing w:line="400" w:lineRule="exact"/>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附件1</w:t>
            </w:r>
          </w:p>
        </w:tc>
        <w:tc>
          <w:tcPr>
            <w:tcW w:w="3055" w:type="dxa"/>
            <w:vAlign w:val="center"/>
          </w:tcPr>
          <w:p w14:paraId="6E8578CB">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szCs w:val="21"/>
                <w:highlight w:val="none"/>
              </w:rPr>
              <w:t>廉洁协议书</w:t>
            </w:r>
          </w:p>
        </w:tc>
        <w:tc>
          <w:tcPr>
            <w:tcW w:w="1346" w:type="dxa"/>
            <w:vAlign w:val="center"/>
          </w:tcPr>
          <w:p w14:paraId="3ABF6767">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35D59C49">
            <w:pPr>
              <w:autoSpaceDE w:val="0"/>
              <w:autoSpaceDN w:val="0"/>
              <w:adjustRightInd w:val="0"/>
              <w:spacing w:line="400" w:lineRule="exact"/>
              <w:jc w:val="center"/>
              <w:rPr>
                <w:rFonts w:ascii="宋体" w:hAnsi="宋体" w:eastAsia="宋体" w:cs="宋体"/>
                <w:color w:val="auto"/>
                <w:kern w:val="0"/>
                <w:szCs w:val="21"/>
                <w:highlight w:val="none"/>
              </w:rPr>
            </w:pPr>
          </w:p>
        </w:tc>
      </w:tr>
      <w:tr w14:paraId="13D19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23E86B85">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15</w:t>
            </w:r>
          </w:p>
        </w:tc>
        <w:tc>
          <w:tcPr>
            <w:tcW w:w="1425" w:type="dxa"/>
            <w:vAlign w:val="center"/>
          </w:tcPr>
          <w:p w14:paraId="72B0AC3C">
            <w:pPr>
              <w:autoSpaceDE w:val="0"/>
              <w:autoSpaceDN w:val="0"/>
              <w:adjustRightInd w:val="0"/>
              <w:spacing w:line="400" w:lineRule="exact"/>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附件4</w:t>
            </w:r>
          </w:p>
        </w:tc>
        <w:tc>
          <w:tcPr>
            <w:tcW w:w="3055" w:type="dxa"/>
            <w:vAlign w:val="center"/>
          </w:tcPr>
          <w:p w14:paraId="13753B22">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hAnsi="宋体" w:eastAsia="宋体" w:cs="宋体"/>
                <w:sz w:val="21"/>
                <w:szCs w:val="21"/>
                <w:highlight w:val="none"/>
              </w:rPr>
              <w:t>供应商综合评价考核表</w:t>
            </w:r>
          </w:p>
        </w:tc>
        <w:tc>
          <w:tcPr>
            <w:tcW w:w="1346" w:type="dxa"/>
            <w:vAlign w:val="center"/>
          </w:tcPr>
          <w:p w14:paraId="70E53768">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653A5E87">
            <w:pPr>
              <w:autoSpaceDE w:val="0"/>
              <w:autoSpaceDN w:val="0"/>
              <w:adjustRightInd w:val="0"/>
              <w:spacing w:line="400" w:lineRule="exact"/>
              <w:jc w:val="center"/>
              <w:rPr>
                <w:rFonts w:ascii="宋体" w:hAnsi="宋体" w:eastAsia="宋体" w:cs="宋体"/>
                <w:color w:val="auto"/>
                <w:kern w:val="0"/>
                <w:szCs w:val="21"/>
                <w:highlight w:val="none"/>
              </w:rPr>
            </w:pPr>
          </w:p>
        </w:tc>
      </w:tr>
      <w:tr w14:paraId="104B1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649F8DB4">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16</w:t>
            </w:r>
          </w:p>
        </w:tc>
        <w:tc>
          <w:tcPr>
            <w:tcW w:w="1425" w:type="dxa"/>
            <w:vAlign w:val="center"/>
          </w:tcPr>
          <w:p w14:paraId="1E4CF42A">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一</w:t>
            </w:r>
          </w:p>
        </w:tc>
        <w:tc>
          <w:tcPr>
            <w:tcW w:w="3055" w:type="dxa"/>
            <w:vAlign w:val="center"/>
          </w:tcPr>
          <w:p w14:paraId="65D3AFBF">
            <w:pPr>
              <w:autoSpaceDE w:val="0"/>
              <w:autoSpaceDN w:val="0"/>
              <w:adjustRightInd w:val="0"/>
              <w:spacing w:line="400" w:lineRule="exact"/>
              <w:jc w:val="center"/>
              <w:rPr>
                <w:rFonts w:hint="eastAsia" w:hAnsi="宋体" w:eastAsia="宋体" w:cs="宋体"/>
                <w:sz w:val="21"/>
                <w:szCs w:val="21"/>
                <w:highlight w:val="none"/>
              </w:rPr>
            </w:pPr>
            <w:r>
              <w:rPr>
                <w:rFonts w:hint="eastAsia" w:ascii="宋体" w:hAnsi="宋体" w:eastAsia="宋体" w:cs="宋体"/>
                <w:kern w:val="0"/>
                <w:szCs w:val="21"/>
                <w:highlight w:val="none"/>
              </w:rPr>
              <w:t>不可撤销银行履约保函</w:t>
            </w:r>
          </w:p>
        </w:tc>
        <w:tc>
          <w:tcPr>
            <w:tcW w:w="1346" w:type="dxa"/>
            <w:vAlign w:val="center"/>
          </w:tcPr>
          <w:p w14:paraId="523AA129">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1F81FB87">
            <w:pPr>
              <w:autoSpaceDE w:val="0"/>
              <w:autoSpaceDN w:val="0"/>
              <w:adjustRightInd w:val="0"/>
              <w:spacing w:line="400" w:lineRule="exact"/>
              <w:jc w:val="center"/>
              <w:rPr>
                <w:rFonts w:ascii="宋体" w:hAnsi="宋体" w:eastAsia="宋体" w:cs="宋体"/>
                <w:color w:val="auto"/>
                <w:kern w:val="0"/>
                <w:szCs w:val="21"/>
                <w:highlight w:val="none"/>
              </w:rPr>
            </w:pPr>
          </w:p>
        </w:tc>
      </w:tr>
      <w:tr w14:paraId="3A591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277948E3">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17</w:t>
            </w:r>
          </w:p>
        </w:tc>
        <w:tc>
          <w:tcPr>
            <w:tcW w:w="1425" w:type="dxa"/>
            <w:vAlign w:val="center"/>
          </w:tcPr>
          <w:p w14:paraId="7DAC25E5">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二</w:t>
            </w:r>
          </w:p>
        </w:tc>
        <w:tc>
          <w:tcPr>
            <w:tcW w:w="3055" w:type="dxa"/>
            <w:vAlign w:val="center"/>
          </w:tcPr>
          <w:p w14:paraId="242D329B">
            <w:pPr>
              <w:autoSpaceDE w:val="0"/>
              <w:autoSpaceDN w:val="0"/>
              <w:adjustRightInd w:val="0"/>
              <w:spacing w:line="400" w:lineRule="exact"/>
              <w:jc w:val="center"/>
              <w:rPr>
                <w:rFonts w:hint="eastAsia" w:hAnsi="宋体" w:eastAsia="宋体" w:cs="宋体"/>
                <w:sz w:val="21"/>
                <w:szCs w:val="21"/>
                <w:highlight w:val="none"/>
              </w:rPr>
            </w:pPr>
            <w:r>
              <w:rPr>
                <w:rFonts w:hint="eastAsia" w:ascii="宋体" w:hAnsi="宋体" w:eastAsia="宋体" w:cs="宋体"/>
                <w:kern w:val="0"/>
                <w:szCs w:val="21"/>
                <w:highlight w:val="none"/>
              </w:rPr>
              <w:t>履约保证保险凭证</w:t>
            </w:r>
          </w:p>
        </w:tc>
        <w:tc>
          <w:tcPr>
            <w:tcW w:w="1346" w:type="dxa"/>
            <w:vAlign w:val="center"/>
          </w:tcPr>
          <w:p w14:paraId="5D2E8757">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03A1022A">
            <w:pPr>
              <w:autoSpaceDE w:val="0"/>
              <w:autoSpaceDN w:val="0"/>
              <w:adjustRightInd w:val="0"/>
              <w:spacing w:line="400" w:lineRule="exact"/>
              <w:jc w:val="center"/>
              <w:rPr>
                <w:rFonts w:ascii="宋体" w:hAnsi="宋体" w:eastAsia="宋体" w:cs="宋体"/>
                <w:color w:val="auto"/>
                <w:kern w:val="0"/>
                <w:szCs w:val="21"/>
                <w:highlight w:val="none"/>
              </w:rPr>
            </w:pPr>
          </w:p>
        </w:tc>
      </w:tr>
      <w:tr w14:paraId="2EA8F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574DE121">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18</w:t>
            </w:r>
          </w:p>
        </w:tc>
        <w:tc>
          <w:tcPr>
            <w:tcW w:w="1425" w:type="dxa"/>
            <w:vAlign w:val="center"/>
          </w:tcPr>
          <w:p w14:paraId="508DA384">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三</w:t>
            </w:r>
          </w:p>
        </w:tc>
        <w:tc>
          <w:tcPr>
            <w:tcW w:w="3055" w:type="dxa"/>
            <w:vAlign w:val="center"/>
          </w:tcPr>
          <w:p w14:paraId="50F2AF0B">
            <w:pPr>
              <w:autoSpaceDE w:val="0"/>
              <w:autoSpaceDN w:val="0"/>
              <w:adjustRightInd w:val="0"/>
              <w:spacing w:line="400" w:lineRule="exact"/>
              <w:jc w:val="center"/>
              <w:rPr>
                <w:rFonts w:hint="eastAsia" w:hAnsi="宋体" w:eastAsia="宋体" w:cs="宋体"/>
                <w:sz w:val="21"/>
                <w:szCs w:val="21"/>
                <w:highlight w:val="none"/>
              </w:rPr>
            </w:pPr>
            <w:r>
              <w:rPr>
                <w:rFonts w:hint="eastAsia" w:ascii="宋体" w:hAnsi="宋体" w:eastAsia="宋体" w:cs="宋体"/>
                <w:kern w:val="0"/>
                <w:szCs w:val="21"/>
                <w:highlight w:val="none"/>
              </w:rPr>
              <w:t>担保公司履约担保书</w:t>
            </w:r>
          </w:p>
        </w:tc>
        <w:tc>
          <w:tcPr>
            <w:tcW w:w="1346" w:type="dxa"/>
            <w:vAlign w:val="center"/>
          </w:tcPr>
          <w:p w14:paraId="7975A991">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655C66B4">
            <w:pPr>
              <w:autoSpaceDE w:val="0"/>
              <w:autoSpaceDN w:val="0"/>
              <w:adjustRightInd w:val="0"/>
              <w:spacing w:line="400" w:lineRule="exact"/>
              <w:jc w:val="center"/>
              <w:rPr>
                <w:rFonts w:ascii="宋体" w:hAnsi="宋体" w:eastAsia="宋体" w:cs="宋体"/>
                <w:color w:val="auto"/>
                <w:kern w:val="0"/>
                <w:szCs w:val="21"/>
                <w:highlight w:val="none"/>
              </w:rPr>
            </w:pPr>
          </w:p>
        </w:tc>
      </w:tr>
    </w:tbl>
    <w:p w14:paraId="08FFE55D">
      <w:pPr>
        <w:autoSpaceDE w:val="0"/>
        <w:autoSpaceDN w:val="0"/>
        <w:adjustRightInd w:val="0"/>
        <w:snapToGrid w:val="0"/>
        <w:spacing w:line="360" w:lineRule="auto"/>
        <w:ind w:left="186" w:leftChars="-158" w:hanging="518" w:hangingChars="247"/>
        <w:jc w:val="left"/>
        <w:rPr>
          <w:rFonts w:ascii="宋体" w:hAnsi="宋体" w:eastAsia="宋体" w:cs="Times New Roman"/>
          <w:color w:val="auto"/>
          <w:szCs w:val="24"/>
          <w:highlight w:val="none"/>
          <w:lang w:val="zh-CN"/>
        </w:rPr>
      </w:pPr>
    </w:p>
    <w:p w14:paraId="1CFB00F2">
      <w:pPr>
        <w:autoSpaceDE w:val="0"/>
        <w:autoSpaceDN w:val="0"/>
        <w:adjustRightInd w:val="0"/>
        <w:snapToGrid w:val="0"/>
        <w:spacing w:line="360" w:lineRule="auto"/>
        <w:ind w:left="166" w:leftChars="-101" w:hanging="378" w:hangingChars="180"/>
        <w:jc w:val="left"/>
        <w:rPr>
          <w:rFonts w:ascii="宋体" w:hAnsi="宋体" w:eastAsia="宋体" w:cs="Times New Roman"/>
          <w:color w:val="auto"/>
          <w:szCs w:val="24"/>
          <w:highlight w:val="none"/>
          <w:lang w:val="zh-CN"/>
        </w:rPr>
      </w:pPr>
      <w:r>
        <w:rPr>
          <w:rFonts w:hint="eastAsia" w:ascii="宋体" w:hAnsi="宋体" w:eastAsia="宋体" w:cs="Times New Roman"/>
          <w:color w:val="auto"/>
          <w:szCs w:val="24"/>
          <w:highlight w:val="none"/>
          <w:lang w:val="zh-CN"/>
        </w:rPr>
        <w:t>备注：</w:t>
      </w:r>
    </w:p>
    <w:p w14:paraId="4DF2E636">
      <w:pPr>
        <w:spacing w:line="360" w:lineRule="auto"/>
        <w:ind w:left="605" w:leftChars="18" w:hanging="567" w:hangingChars="270"/>
        <w:rPr>
          <w:rFonts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Times New Roman"/>
          <w:b/>
          <w:color w:val="auto"/>
          <w:kern w:val="0"/>
          <w:szCs w:val="21"/>
          <w:highlight w:val="none"/>
          <w:u w:val="single"/>
          <w:lang w:eastAsia="zh-CN"/>
        </w:rPr>
        <w:t>投标人</w:t>
      </w:r>
      <w:r>
        <w:rPr>
          <w:rFonts w:hint="eastAsia" w:ascii="宋体" w:hAnsi="宋体" w:eastAsia="宋体" w:cs="Times New Roman"/>
          <w:b/>
          <w:color w:val="auto"/>
          <w:kern w:val="0"/>
          <w:szCs w:val="21"/>
          <w:highlight w:val="none"/>
          <w:u w:val="single"/>
        </w:rPr>
        <w:t>应对照</w:t>
      </w:r>
      <w:r>
        <w:rPr>
          <w:rFonts w:hint="eastAsia" w:ascii="宋体" w:hAnsi="宋体" w:eastAsia="宋体" w:cs="Times New Roman"/>
          <w:b/>
          <w:color w:val="auto"/>
          <w:kern w:val="0"/>
          <w:szCs w:val="21"/>
          <w:highlight w:val="none"/>
          <w:u w:val="single"/>
          <w:lang w:eastAsia="zh-CN"/>
        </w:rPr>
        <w:t>招标文件</w:t>
      </w:r>
      <w:r>
        <w:rPr>
          <w:rFonts w:hint="eastAsia" w:ascii="宋体" w:hAnsi="宋体" w:eastAsia="宋体" w:cs="Times New Roman"/>
          <w:b/>
          <w:color w:val="auto"/>
          <w:kern w:val="0"/>
          <w:szCs w:val="21"/>
          <w:highlight w:val="none"/>
          <w:u w:val="single"/>
        </w:rPr>
        <w:t>合同格式内合同条款及附件，逐条、如实地填写“偏离情况”项。“偏离情况”项为正偏离（或负偏离）的，必须在“具体偏离内容”项内详细说明与</w:t>
      </w:r>
      <w:r>
        <w:rPr>
          <w:rFonts w:hint="eastAsia" w:ascii="宋体" w:hAnsi="宋体" w:eastAsia="宋体" w:cs="Times New Roman"/>
          <w:b/>
          <w:color w:val="auto"/>
          <w:kern w:val="0"/>
          <w:szCs w:val="21"/>
          <w:highlight w:val="none"/>
          <w:u w:val="single"/>
          <w:lang w:eastAsia="zh-CN"/>
        </w:rPr>
        <w:t>招标文件</w:t>
      </w:r>
      <w:r>
        <w:rPr>
          <w:rFonts w:hint="eastAsia" w:ascii="宋体" w:hAnsi="宋体" w:eastAsia="宋体" w:cs="Times New Roman"/>
          <w:b/>
          <w:color w:val="auto"/>
          <w:kern w:val="0"/>
          <w:szCs w:val="21"/>
          <w:highlight w:val="none"/>
          <w:u w:val="single"/>
        </w:rPr>
        <w:t>的偏离内容，“偏离情况”项为无偏离的，在“具体偏离内容”项内填“无”。若发现虚假填写本表，或对合同及其附件响应有负偏离的，按无效</w:t>
      </w:r>
      <w:r>
        <w:rPr>
          <w:rFonts w:hint="eastAsia" w:ascii="宋体" w:hAnsi="宋体" w:eastAsia="宋体" w:cs="Times New Roman"/>
          <w:b/>
          <w:color w:val="auto"/>
          <w:kern w:val="0"/>
          <w:szCs w:val="21"/>
          <w:highlight w:val="none"/>
          <w:u w:val="single"/>
          <w:lang w:eastAsia="zh-CN"/>
        </w:rPr>
        <w:t>投标文件</w:t>
      </w:r>
      <w:r>
        <w:rPr>
          <w:rFonts w:hint="eastAsia" w:ascii="宋体" w:hAnsi="宋体" w:eastAsia="宋体" w:cs="Times New Roman"/>
          <w:b/>
          <w:color w:val="auto"/>
          <w:kern w:val="0"/>
          <w:szCs w:val="21"/>
          <w:highlight w:val="none"/>
          <w:u w:val="single"/>
        </w:rPr>
        <w:t>处理。若发现此表未逐条填写视为完全满足</w:t>
      </w:r>
      <w:r>
        <w:rPr>
          <w:rFonts w:hint="eastAsia" w:ascii="宋体" w:hAnsi="宋体" w:eastAsia="宋体" w:cs="Times New Roman"/>
          <w:b/>
          <w:color w:val="auto"/>
          <w:kern w:val="0"/>
          <w:szCs w:val="21"/>
          <w:highlight w:val="none"/>
          <w:u w:val="single"/>
          <w:lang w:eastAsia="zh-CN"/>
        </w:rPr>
        <w:t>招标文件</w:t>
      </w:r>
      <w:r>
        <w:rPr>
          <w:rFonts w:hint="eastAsia" w:ascii="宋体" w:hAnsi="宋体" w:eastAsia="宋体" w:cs="Times New Roman"/>
          <w:b/>
          <w:color w:val="auto"/>
          <w:kern w:val="0"/>
          <w:szCs w:val="21"/>
          <w:highlight w:val="none"/>
          <w:u w:val="single"/>
        </w:rPr>
        <w:t>要求</w:t>
      </w:r>
      <w:r>
        <w:rPr>
          <w:rFonts w:hint="eastAsia" w:ascii="宋体" w:hAnsi="宋体" w:eastAsia="宋体" w:cs="Times New Roman"/>
          <w:b/>
          <w:color w:val="auto"/>
          <w:kern w:val="0"/>
          <w:szCs w:val="21"/>
          <w:highlight w:val="none"/>
        </w:rPr>
        <w:t>。</w:t>
      </w:r>
    </w:p>
    <w:p w14:paraId="28B5F7E1">
      <w:pPr>
        <w:spacing w:line="360" w:lineRule="auto"/>
        <w:ind w:left="605" w:leftChars="18" w:hanging="567" w:hangingChars="270"/>
        <w:rPr>
          <w:rFonts w:hint="eastAsia" w:ascii="宋体" w:hAnsi="宋体" w:eastAsia="宋体" w:cs="宋体"/>
          <w:color w:val="auto"/>
          <w:szCs w:val="21"/>
          <w:highlight w:val="none"/>
        </w:rPr>
      </w:pPr>
      <w:r>
        <w:rPr>
          <w:rFonts w:hint="eastAsia" w:ascii="宋体" w:hAnsi="宋体" w:eastAsia="宋体" w:cs="宋体"/>
          <w:color w:val="auto"/>
          <w:szCs w:val="21"/>
          <w:highlight w:val="none"/>
        </w:rPr>
        <w:t>（2）偏离情况（</w:t>
      </w:r>
      <w:r>
        <w:rPr>
          <w:rFonts w:hint="eastAsia" w:ascii="宋体" w:hAnsi="宋体" w:eastAsia="宋体" w:cs="宋体"/>
          <w:color w:val="auto"/>
          <w:szCs w:val="21"/>
          <w:highlight w:val="none"/>
          <w:lang w:eastAsia="zh-CN"/>
        </w:rPr>
        <w:t>投标文件</w:t>
      </w:r>
      <w:r>
        <w:rPr>
          <w:rFonts w:hint="eastAsia" w:ascii="宋体" w:hAnsi="宋体" w:eastAsia="宋体" w:cs="宋体"/>
          <w:color w:val="auto"/>
          <w:szCs w:val="21"/>
          <w:highlight w:val="none"/>
        </w:rPr>
        <w:t>对</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合同条款的响应程度）分为：正偏离、负偏离、无偏离。正偏离是指</w:t>
      </w:r>
      <w:r>
        <w:rPr>
          <w:rFonts w:hint="eastAsia" w:ascii="宋体" w:hAnsi="宋体" w:eastAsia="宋体" w:cs="宋体"/>
          <w:color w:val="auto"/>
          <w:szCs w:val="21"/>
          <w:highlight w:val="none"/>
          <w:lang w:eastAsia="zh-CN"/>
        </w:rPr>
        <w:t>投标人</w:t>
      </w:r>
      <w:r>
        <w:rPr>
          <w:rFonts w:hint="eastAsia" w:ascii="宋体" w:hAnsi="宋体" w:eastAsia="宋体" w:cs="宋体"/>
          <w:color w:val="auto"/>
          <w:szCs w:val="21"/>
          <w:highlight w:val="none"/>
        </w:rPr>
        <w:t>提供的相关服务商务条件优于</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的要求；负偏离是指</w:t>
      </w:r>
      <w:r>
        <w:rPr>
          <w:rFonts w:hint="eastAsia" w:ascii="宋体" w:hAnsi="宋体" w:eastAsia="宋体" w:cs="宋体"/>
          <w:color w:val="auto"/>
          <w:szCs w:val="21"/>
          <w:highlight w:val="none"/>
          <w:lang w:eastAsia="zh-CN"/>
        </w:rPr>
        <w:t>投标人</w:t>
      </w:r>
      <w:r>
        <w:rPr>
          <w:rFonts w:hint="eastAsia" w:ascii="宋体" w:hAnsi="宋体" w:eastAsia="宋体" w:cs="宋体"/>
          <w:color w:val="auto"/>
          <w:szCs w:val="21"/>
          <w:highlight w:val="none"/>
        </w:rPr>
        <w:t>提供的相关服务商务条件不满足或不完全满足</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的要求；无偏离是指</w:t>
      </w:r>
      <w:r>
        <w:rPr>
          <w:rFonts w:hint="eastAsia" w:ascii="宋体" w:hAnsi="宋体" w:eastAsia="宋体" w:cs="宋体"/>
          <w:color w:val="auto"/>
          <w:szCs w:val="21"/>
          <w:highlight w:val="none"/>
          <w:lang w:eastAsia="zh-CN"/>
        </w:rPr>
        <w:t>投标人</w:t>
      </w:r>
      <w:r>
        <w:rPr>
          <w:rFonts w:hint="eastAsia" w:ascii="宋体" w:hAnsi="宋体" w:eastAsia="宋体" w:cs="宋体"/>
          <w:color w:val="auto"/>
          <w:szCs w:val="21"/>
          <w:highlight w:val="none"/>
        </w:rPr>
        <w:t>提供的相关服务商务条件完全满足</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的要求。</w:t>
      </w:r>
    </w:p>
    <w:p w14:paraId="1132CF8E">
      <w:pPr>
        <w:spacing w:line="360" w:lineRule="auto"/>
        <w:ind w:left="605" w:leftChars="18" w:hanging="567" w:hangingChars="270"/>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（3）招标文件“第五篇 相关保函格式”作为重要的商务条款，投标人的响应情况列入本合同条款偏离表。</w:t>
      </w:r>
    </w:p>
    <w:p w14:paraId="4632B8D0">
      <w:pPr>
        <w:spacing w:line="360" w:lineRule="auto"/>
        <w:ind w:left="605" w:leftChars="18" w:hanging="567" w:hangingChars="27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如</w:t>
      </w:r>
      <w:r>
        <w:rPr>
          <w:rFonts w:hint="eastAsia" w:ascii="宋体" w:hAnsi="宋体" w:eastAsia="宋体" w:cs="宋体"/>
          <w:color w:val="auto"/>
          <w:szCs w:val="21"/>
          <w:highlight w:val="none"/>
          <w:lang w:eastAsia="zh-CN"/>
        </w:rPr>
        <w:t>投标人</w:t>
      </w:r>
      <w:r>
        <w:rPr>
          <w:rFonts w:hint="eastAsia" w:ascii="宋体" w:hAnsi="宋体" w:eastAsia="宋体" w:cs="宋体"/>
          <w:color w:val="auto"/>
          <w:szCs w:val="21"/>
          <w:highlight w:val="none"/>
        </w:rPr>
        <w:t>差异内容较多可另附页说明，并在本偏离表“具体偏离内容”项注明其在</w:t>
      </w:r>
      <w:r>
        <w:rPr>
          <w:rFonts w:hint="eastAsia" w:ascii="宋体" w:hAnsi="宋体" w:eastAsia="宋体" w:cs="宋体"/>
          <w:color w:val="auto"/>
          <w:szCs w:val="21"/>
          <w:highlight w:val="none"/>
          <w:lang w:eastAsia="zh-CN"/>
        </w:rPr>
        <w:t>投标文件</w:t>
      </w:r>
      <w:r>
        <w:rPr>
          <w:rFonts w:hint="eastAsia" w:ascii="宋体" w:hAnsi="宋体" w:eastAsia="宋体" w:cs="宋体"/>
          <w:color w:val="auto"/>
          <w:szCs w:val="21"/>
          <w:highlight w:val="none"/>
        </w:rPr>
        <w:t>中的具体页码。</w:t>
      </w:r>
    </w:p>
    <w:p w14:paraId="4EB14109">
      <w:pPr>
        <w:spacing w:line="360" w:lineRule="auto"/>
        <w:ind w:left="357" w:leftChars="-100" w:hanging="567" w:hangingChars="270"/>
        <w:rPr>
          <w:rFonts w:ascii="宋体" w:hAnsi="宋体" w:eastAsia="宋体" w:cs="宋体"/>
          <w:color w:val="auto"/>
          <w:szCs w:val="21"/>
          <w:highlight w:val="none"/>
        </w:rPr>
      </w:pPr>
    </w:p>
    <w:p w14:paraId="16F81E83">
      <w:pPr>
        <w:spacing w:line="360" w:lineRule="auto"/>
        <w:ind w:left="357" w:leftChars="-100" w:hanging="567" w:hangingChars="270"/>
        <w:rPr>
          <w:rFonts w:ascii="宋体" w:hAnsi="宋体" w:eastAsia="宋体" w:cs="宋体"/>
          <w:color w:val="auto"/>
          <w:szCs w:val="21"/>
          <w:highlight w:val="none"/>
        </w:rPr>
      </w:pPr>
    </w:p>
    <w:p w14:paraId="0188CF4D">
      <w:pPr>
        <w:autoSpaceDE w:val="0"/>
        <w:autoSpaceDN w:val="0"/>
        <w:adjustRightInd w:val="0"/>
        <w:spacing w:line="360" w:lineRule="auto"/>
        <w:ind w:firstLine="3780" w:firstLineChars="1800"/>
        <w:rPr>
          <w:rFonts w:ascii="宋体" w:hAnsi="宋体" w:eastAsia="宋体" w:cs="宋体"/>
          <w:color w:val="auto"/>
          <w:szCs w:val="21"/>
          <w:highlight w:val="none"/>
          <w:lang w:val="zh-CN"/>
        </w:rPr>
      </w:pPr>
    </w:p>
    <w:p w14:paraId="78AFAD64">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1AF20F06">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279C554E">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3838F622">
      <w:pPr>
        <w:autoSpaceDE w:val="0"/>
        <w:autoSpaceDN w:val="0"/>
        <w:adjustRightInd w:val="0"/>
        <w:spacing w:line="360" w:lineRule="auto"/>
        <w:jc w:val="center"/>
        <w:rPr>
          <w:rFonts w:ascii="宋体" w:hAnsi="宋体" w:eastAsia="宋体" w:cs="宋体"/>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说明：由投标人使用投标人的企业数字证书电子签名。</w:t>
      </w:r>
    </w:p>
    <w:p w14:paraId="1F717B3A">
      <w:pPr>
        <w:tabs>
          <w:tab w:val="left" w:pos="567"/>
        </w:tabs>
        <w:autoSpaceDE w:val="0"/>
        <w:autoSpaceDN w:val="0"/>
        <w:adjustRightInd w:val="0"/>
        <w:spacing w:line="360" w:lineRule="auto"/>
        <w:jc w:val="left"/>
        <w:outlineLvl w:val="9"/>
        <w:rPr>
          <w:rFonts w:hint="eastAsia" w:ascii="宋体" w:hAnsi="宋体" w:eastAsia="宋体" w:cs="宋体"/>
          <w:b/>
          <w:bCs/>
          <w:color w:val="auto"/>
          <w:kern w:val="0"/>
          <w:sz w:val="30"/>
          <w:szCs w:val="30"/>
          <w:highlight w:val="none"/>
          <w:lang w:val="zh-CN"/>
        </w:rPr>
      </w:pPr>
      <w:r>
        <w:rPr>
          <w:rFonts w:hint="eastAsia" w:ascii="宋体" w:hAnsi="宋体" w:eastAsia="宋体" w:cs="宋体"/>
          <w:b/>
          <w:bCs/>
          <w:color w:val="auto"/>
          <w:kern w:val="0"/>
          <w:sz w:val="30"/>
          <w:szCs w:val="30"/>
          <w:highlight w:val="none"/>
          <w:lang w:val="zh-CN"/>
        </w:rPr>
        <w:br w:type="page"/>
      </w:r>
      <w:bookmarkStart w:id="795" w:name="_Toc13179"/>
      <w:bookmarkStart w:id="796" w:name="_Toc102860426"/>
      <w:bookmarkStart w:id="797" w:name="_Toc5473"/>
      <w:bookmarkStart w:id="798" w:name="_Toc104991884"/>
      <w:bookmarkStart w:id="799" w:name="_Toc142508377"/>
      <w:bookmarkStart w:id="800" w:name="_Toc102860082"/>
      <w:bookmarkStart w:id="801" w:name="_Toc29505"/>
      <w:bookmarkStart w:id="802" w:name="_Toc31371"/>
      <w:bookmarkStart w:id="803" w:name="_Toc140596937"/>
      <w:bookmarkStart w:id="804" w:name="_Toc195714391"/>
      <w:bookmarkStart w:id="805" w:name="_Toc94107218"/>
      <w:bookmarkStart w:id="806" w:name="_Toc486167717"/>
      <w:bookmarkStart w:id="807" w:name="_Toc27980_WPSOffice_Level2"/>
    </w:p>
    <w:p w14:paraId="7C211B16">
      <w:pPr>
        <w:numPr>
          <w:ilvl w:val="-1"/>
          <w:numId w:val="0"/>
        </w:numPr>
        <w:tabs>
          <w:tab w:val="left" w:pos="567"/>
        </w:tabs>
        <w:autoSpaceDE w:val="0"/>
        <w:autoSpaceDN w:val="0"/>
        <w:adjustRightInd w:val="0"/>
        <w:spacing w:line="360" w:lineRule="auto"/>
        <w:jc w:val="left"/>
        <w:outlineLvl w:val="3"/>
        <w:rPr>
          <w:rFonts w:hint="eastAsia" w:ascii="宋体" w:hAnsi="宋体" w:eastAsia="宋体" w:cs="宋体"/>
          <w:b/>
          <w:kern w:val="0"/>
          <w:sz w:val="32"/>
          <w:szCs w:val="32"/>
          <w:highlight w:val="none"/>
        </w:rPr>
      </w:pPr>
      <w:r>
        <w:rPr>
          <w:rFonts w:hint="eastAsia" w:ascii="宋体" w:hAnsi="宋体" w:eastAsia="宋体" w:cs="宋体"/>
          <w:b/>
          <w:kern w:val="0"/>
          <w:sz w:val="32"/>
          <w:szCs w:val="32"/>
          <w:highlight w:val="none"/>
          <w:lang w:val="en-US" w:eastAsia="zh-CN"/>
        </w:rPr>
        <w:t>九、</w:t>
      </w:r>
      <w:r>
        <w:rPr>
          <w:rFonts w:hint="eastAsia" w:ascii="宋体" w:hAnsi="宋体" w:eastAsia="宋体" w:cs="宋体"/>
          <w:b/>
          <w:kern w:val="0"/>
          <w:sz w:val="32"/>
          <w:szCs w:val="32"/>
          <w:highlight w:val="none"/>
        </w:rPr>
        <w:t>处置能力</w:t>
      </w:r>
    </w:p>
    <w:p w14:paraId="342C730B">
      <w:pPr>
        <w:pStyle w:val="17"/>
        <w:spacing w:before="120" w:line="360" w:lineRule="auto"/>
        <w:ind w:firstLine="420"/>
        <w:rPr>
          <w:rFonts w:hAnsi="宋体"/>
          <w:sz w:val="21"/>
          <w:szCs w:val="21"/>
          <w:highlight w:val="none"/>
          <w:lang w:val="en-US"/>
        </w:rPr>
      </w:pPr>
      <w:r>
        <w:rPr>
          <w:rFonts w:hint="eastAsia" w:hAnsi="宋体"/>
          <w:sz w:val="21"/>
          <w:szCs w:val="21"/>
          <w:highlight w:val="none"/>
          <w:lang w:val="en-US"/>
        </w:rPr>
        <w:t>处置能力统计表</w:t>
      </w:r>
    </w:p>
    <w:tbl>
      <w:tblPr>
        <w:tblStyle w:val="5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862"/>
        <w:gridCol w:w="2238"/>
        <w:gridCol w:w="2160"/>
        <w:gridCol w:w="2973"/>
        <w:gridCol w:w="1979"/>
      </w:tblGrid>
      <w:tr w14:paraId="4F0C1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637" w:hRule="exact"/>
          <w:jc w:val="center"/>
        </w:trPr>
        <w:tc>
          <w:tcPr>
            <w:tcW w:w="422" w:type="pct"/>
            <w:vAlign w:val="center"/>
          </w:tcPr>
          <w:p w14:paraId="15BC6FF5">
            <w:pPr>
              <w:jc w:val="center"/>
              <w:rPr>
                <w:rFonts w:ascii="宋体" w:hAnsi="宋体" w:eastAsia="宋体" w:cs="宋体"/>
                <w:szCs w:val="21"/>
                <w:highlight w:val="none"/>
              </w:rPr>
            </w:pPr>
            <w:r>
              <w:rPr>
                <w:rFonts w:hint="eastAsia" w:ascii="宋体" w:hAnsi="宋体" w:eastAsia="宋体" w:cs="宋体"/>
                <w:szCs w:val="21"/>
                <w:highlight w:val="none"/>
              </w:rPr>
              <w:t>序号</w:t>
            </w:r>
          </w:p>
        </w:tc>
        <w:tc>
          <w:tcPr>
            <w:tcW w:w="1095" w:type="pct"/>
            <w:vAlign w:val="center"/>
          </w:tcPr>
          <w:p w14:paraId="5E30412E">
            <w:pPr>
              <w:jc w:val="center"/>
              <w:rPr>
                <w:rFonts w:ascii="宋体" w:hAnsi="宋体" w:eastAsia="宋体" w:cs="宋体"/>
                <w:szCs w:val="21"/>
                <w:highlight w:val="none"/>
              </w:rPr>
            </w:pPr>
            <w:r>
              <w:rPr>
                <w:rFonts w:hint="eastAsia" w:ascii="宋体" w:hAnsi="宋体" w:eastAsia="宋体" w:cs="宋体"/>
                <w:szCs w:val="21"/>
                <w:highlight w:val="none"/>
                <w:lang w:val="en-US" w:eastAsia="zh-CN"/>
              </w:rPr>
              <w:t>场所</w:t>
            </w:r>
            <w:r>
              <w:rPr>
                <w:rFonts w:hint="eastAsia" w:ascii="宋体" w:hAnsi="宋体" w:eastAsia="宋体" w:cs="宋体"/>
                <w:szCs w:val="21"/>
                <w:highlight w:val="none"/>
              </w:rPr>
              <w:t>地址</w:t>
            </w:r>
          </w:p>
        </w:tc>
        <w:tc>
          <w:tcPr>
            <w:tcW w:w="1057" w:type="pct"/>
            <w:vAlign w:val="center"/>
          </w:tcPr>
          <w:p w14:paraId="2033B1FF">
            <w:pPr>
              <w:jc w:val="center"/>
              <w:rPr>
                <w:rFonts w:ascii="宋体" w:hAnsi="宋体" w:eastAsia="宋体" w:cs="宋体"/>
                <w:szCs w:val="21"/>
                <w:highlight w:val="none"/>
              </w:rPr>
            </w:pPr>
            <w:r>
              <w:rPr>
                <w:rFonts w:hint="eastAsia" w:ascii="宋体" w:hAnsi="宋体" w:eastAsia="宋体" w:cs="宋体"/>
                <w:szCs w:val="21"/>
                <w:highlight w:val="none"/>
              </w:rPr>
              <w:t>处置方式</w:t>
            </w:r>
          </w:p>
        </w:tc>
        <w:tc>
          <w:tcPr>
            <w:tcW w:w="1455" w:type="pct"/>
            <w:vAlign w:val="center"/>
          </w:tcPr>
          <w:p w14:paraId="13CF925D">
            <w:pPr>
              <w:jc w:val="center"/>
              <w:rPr>
                <w:rFonts w:ascii="宋体" w:hAnsi="宋体" w:eastAsia="宋体" w:cs="宋体"/>
                <w:szCs w:val="21"/>
                <w:highlight w:val="none"/>
              </w:rPr>
            </w:pPr>
            <w:r>
              <w:rPr>
                <w:rFonts w:hint="eastAsia" w:ascii="宋体" w:hAnsi="宋体" w:eastAsia="宋体" w:cs="宋体"/>
                <w:szCs w:val="21"/>
                <w:highlight w:val="none"/>
              </w:rPr>
              <w:t>日处理量（吨/天）</w:t>
            </w:r>
          </w:p>
        </w:tc>
        <w:tc>
          <w:tcPr>
            <w:tcW w:w="968" w:type="pct"/>
            <w:vAlign w:val="center"/>
          </w:tcPr>
          <w:p w14:paraId="06462630">
            <w:pPr>
              <w:jc w:val="center"/>
              <w:rPr>
                <w:rFonts w:ascii="宋体" w:hAnsi="宋体" w:eastAsia="宋体" w:cs="宋体"/>
                <w:szCs w:val="21"/>
                <w:highlight w:val="none"/>
              </w:rPr>
            </w:pPr>
            <w:r>
              <w:rPr>
                <w:rFonts w:hint="eastAsia" w:ascii="宋体" w:hAnsi="宋体" w:eastAsia="宋体" w:cs="宋体"/>
                <w:szCs w:val="21"/>
                <w:highlight w:val="none"/>
              </w:rPr>
              <w:t>备注</w:t>
            </w:r>
          </w:p>
        </w:tc>
      </w:tr>
      <w:tr w14:paraId="333F6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600" w:hRule="exact"/>
          <w:jc w:val="center"/>
        </w:trPr>
        <w:tc>
          <w:tcPr>
            <w:tcW w:w="422" w:type="pct"/>
            <w:vAlign w:val="center"/>
          </w:tcPr>
          <w:p w14:paraId="1E46958E">
            <w:pPr>
              <w:jc w:val="center"/>
              <w:rPr>
                <w:rFonts w:ascii="宋体" w:hAnsi="宋体" w:eastAsia="宋体" w:cs="宋体"/>
                <w:szCs w:val="21"/>
                <w:highlight w:val="none"/>
              </w:rPr>
            </w:pPr>
            <w:r>
              <w:rPr>
                <w:rFonts w:hint="eastAsia" w:ascii="宋体" w:hAnsi="宋体" w:eastAsia="宋体" w:cs="宋体"/>
                <w:szCs w:val="21"/>
                <w:highlight w:val="none"/>
              </w:rPr>
              <w:t>1</w:t>
            </w:r>
          </w:p>
        </w:tc>
        <w:tc>
          <w:tcPr>
            <w:tcW w:w="1095" w:type="pct"/>
            <w:vAlign w:val="center"/>
          </w:tcPr>
          <w:p w14:paraId="40A8938F">
            <w:pPr>
              <w:jc w:val="center"/>
              <w:rPr>
                <w:rFonts w:ascii="宋体" w:hAnsi="宋体" w:eastAsia="宋体" w:cs="宋体"/>
                <w:szCs w:val="21"/>
                <w:highlight w:val="none"/>
              </w:rPr>
            </w:pPr>
          </w:p>
        </w:tc>
        <w:tc>
          <w:tcPr>
            <w:tcW w:w="1057" w:type="pct"/>
            <w:vAlign w:val="center"/>
          </w:tcPr>
          <w:p w14:paraId="5EAEAC00">
            <w:pPr>
              <w:jc w:val="center"/>
              <w:rPr>
                <w:rFonts w:ascii="宋体" w:hAnsi="宋体" w:eastAsia="宋体" w:cs="宋体"/>
                <w:szCs w:val="21"/>
                <w:highlight w:val="none"/>
              </w:rPr>
            </w:pPr>
          </w:p>
        </w:tc>
        <w:tc>
          <w:tcPr>
            <w:tcW w:w="1455" w:type="pct"/>
            <w:vAlign w:val="center"/>
          </w:tcPr>
          <w:p w14:paraId="641EA903">
            <w:pPr>
              <w:jc w:val="center"/>
              <w:rPr>
                <w:rFonts w:ascii="宋体" w:hAnsi="宋体" w:eastAsia="宋体" w:cs="宋体"/>
                <w:szCs w:val="21"/>
                <w:highlight w:val="none"/>
              </w:rPr>
            </w:pPr>
          </w:p>
        </w:tc>
        <w:tc>
          <w:tcPr>
            <w:tcW w:w="968" w:type="pct"/>
            <w:vAlign w:val="center"/>
          </w:tcPr>
          <w:p w14:paraId="24039C78">
            <w:pPr>
              <w:jc w:val="center"/>
              <w:rPr>
                <w:rFonts w:ascii="宋体" w:hAnsi="宋体" w:eastAsia="宋体" w:cs="宋体"/>
                <w:szCs w:val="21"/>
                <w:highlight w:val="none"/>
              </w:rPr>
            </w:pPr>
          </w:p>
        </w:tc>
      </w:tr>
      <w:tr w14:paraId="0664A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620" w:hRule="exact"/>
          <w:jc w:val="center"/>
        </w:trPr>
        <w:tc>
          <w:tcPr>
            <w:tcW w:w="422" w:type="pct"/>
            <w:vAlign w:val="center"/>
          </w:tcPr>
          <w:p w14:paraId="154B6BE1">
            <w:pPr>
              <w:jc w:val="center"/>
              <w:rPr>
                <w:rFonts w:ascii="宋体" w:hAnsi="宋体" w:eastAsia="宋体" w:cs="宋体"/>
                <w:szCs w:val="21"/>
                <w:highlight w:val="none"/>
              </w:rPr>
            </w:pPr>
            <w:r>
              <w:rPr>
                <w:rFonts w:hint="eastAsia" w:ascii="宋体" w:hAnsi="宋体" w:eastAsia="宋体" w:cs="宋体"/>
                <w:szCs w:val="21"/>
                <w:highlight w:val="none"/>
              </w:rPr>
              <w:t>2</w:t>
            </w:r>
          </w:p>
        </w:tc>
        <w:tc>
          <w:tcPr>
            <w:tcW w:w="1095" w:type="pct"/>
            <w:vAlign w:val="center"/>
          </w:tcPr>
          <w:p w14:paraId="4CB64ABC">
            <w:pPr>
              <w:jc w:val="center"/>
              <w:rPr>
                <w:rFonts w:ascii="宋体" w:hAnsi="宋体" w:eastAsia="宋体" w:cs="宋体"/>
                <w:szCs w:val="21"/>
                <w:highlight w:val="none"/>
              </w:rPr>
            </w:pPr>
          </w:p>
        </w:tc>
        <w:tc>
          <w:tcPr>
            <w:tcW w:w="1057" w:type="pct"/>
            <w:vAlign w:val="center"/>
          </w:tcPr>
          <w:p w14:paraId="17D4DFFF">
            <w:pPr>
              <w:jc w:val="center"/>
              <w:rPr>
                <w:rFonts w:ascii="宋体" w:hAnsi="宋体" w:eastAsia="宋体" w:cs="宋体"/>
                <w:szCs w:val="21"/>
                <w:highlight w:val="none"/>
              </w:rPr>
            </w:pPr>
          </w:p>
        </w:tc>
        <w:tc>
          <w:tcPr>
            <w:tcW w:w="1455" w:type="pct"/>
            <w:vAlign w:val="center"/>
          </w:tcPr>
          <w:p w14:paraId="63924780">
            <w:pPr>
              <w:jc w:val="center"/>
              <w:rPr>
                <w:rFonts w:ascii="宋体" w:hAnsi="宋体" w:eastAsia="宋体" w:cs="宋体"/>
                <w:szCs w:val="21"/>
                <w:highlight w:val="none"/>
              </w:rPr>
            </w:pPr>
          </w:p>
        </w:tc>
        <w:tc>
          <w:tcPr>
            <w:tcW w:w="968" w:type="pct"/>
            <w:vAlign w:val="center"/>
          </w:tcPr>
          <w:p w14:paraId="0026A4B8">
            <w:pPr>
              <w:jc w:val="center"/>
              <w:rPr>
                <w:rFonts w:ascii="宋体" w:hAnsi="宋体" w:eastAsia="宋体" w:cs="宋体"/>
                <w:szCs w:val="21"/>
                <w:highlight w:val="none"/>
              </w:rPr>
            </w:pPr>
          </w:p>
        </w:tc>
      </w:tr>
      <w:tr w14:paraId="391CD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520" w:hRule="exact"/>
          <w:jc w:val="center"/>
        </w:trPr>
        <w:tc>
          <w:tcPr>
            <w:tcW w:w="422" w:type="pct"/>
            <w:vAlign w:val="center"/>
          </w:tcPr>
          <w:p w14:paraId="09917332">
            <w:pPr>
              <w:jc w:val="center"/>
              <w:rPr>
                <w:rFonts w:ascii="宋体" w:hAnsi="宋体" w:eastAsia="宋体" w:cs="宋体"/>
                <w:szCs w:val="21"/>
                <w:highlight w:val="none"/>
              </w:rPr>
            </w:pPr>
            <w:r>
              <w:rPr>
                <w:rFonts w:hint="eastAsia" w:ascii="宋体" w:hAnsi="宋体" w:eastAsia="宋体" w:cs="宋体"/>
                <w:szCs w:val="21"/>
                <w:highlight w:val="none"/>
              </w:rPr>
              <w:t>3</w:t>
            </w:r>
          </w:p>
        </w:tc>
        <w:tc>
          <w:tcPr>
            <w:tcW w:w="1095" w:type="pct"/>
            <w:vAlign w:val="center"/>
          </w:tcPr>
          <w:p w14:paraId="4482D798">
            <w:pPr>
              <w:jc w:val="center"/>
              <w:rPr>
                <w:rFonts w:ascii="宋体" w:hAnsi="宋体" w:eastAsia="宋体" w:cs="宋体"/>
                <w:szCs w:val="21"/>
                <w:highlight w:val="none"/>
              </w:rPr>
            </w:pPr>
          </w:p>
        </w:tc>
        <w:tc>
          <w:tcPr>
            <w:tcW w:w="1057" w:type="pct"/>
            <w:vAlign w:val="center"/>
          </w:tcPr>
          <w:p w14:paraId="4C108820">
            <w:pPr>
              <w:jc w:val="center"/>
              <w:rPr>
                <w:rFonts w:ascii="宋体" w:hAnsi="宋体" w:eastAsia="宋体" w:cs="宋体"/>
                <w:szCs w:val="21"/>
                <w:highlight w:val="none"/>
              </w:rPr>
            </w:pPr>
          </w:p>
        </w:tc>
        <w:tc>
          <w:tcPr>
            <w:tcW w:w="1455" w:type="pct"/>
            <w:vAlign w:val="center"/>
          </w:tcPr>
          <w:p w14:paraId="1C4A9614">
            <w:pPr>
              <w:jc w:val="center"/>
              <w:rPr>
                <w:rFonts w:ascii="宋体" w:hAnsi="宋体" w:eastAsia="宋体" w:cs="宋体"/>
                <w:szCs w:val="21"/>
                <w:highlight w:val="none"/>
              </w:rPr>
            </w:pPr>
          </w:p>
        </w:tc>
        <w:tc>
          <w:tcPr>
            <w:tcW w:w="968" w:type="pct"/>
            <w:vAlign w:val="center"/>
          </w:tcPr>
          <w:p w14:paraId="2DA12E16">
            <w:pPr>
              <w:jc w:val="center"/>
              <w:rPr>
                <w:rFonts w:ascii="宋体" w:hAnsi="宋体" w:eastAsia="宋体" w:cs="宋体"/>
                <w:szCs w:val="21"/>
                <w:highlight w:val="none"/>
              </w:rPr>
            </w:pPr>
          </w:p>
        </w:tc>
      </w:tr>
      <w:tr w14:paraId="0A266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760" w:hRule="exact"/>
          <w:jc w:val="center"/>
        </w:trPr>
        <w:tc>
          <w:tcPr>
            <w:tcW w:w="422" w:type="pct"/>
            <w:vAlign w:val="center"/>
          </w:tcPr>
          <w:p w14:paraId="72E58FDC">
            <w:pPr>
              <w:jc w:val="center"/>
              <w:rPr>
                <w:rFonts w:ascii="宋体" w:hAnsi="宋体" w:eastAsia="宋体" w:cs="宋体"/>
                <w:szCs w:val="21"/>
                <w:highlight w:val="none"/>
              </w:rPr>
            </w:pPr>
            <w:r>
              <w:rPr>
                <w:rFonts w:hint="eastAsia" w:ascii="宋体" w:hAnsi="宋体" w:eastAsia="宋体" w:cs="宋体"/>
                <w:szCs w:val="21"/>
                <w:highlight w:val="none"/>
              </w:rPr>
              <w:t>.....</w:t>
            </w:r>
          </w:p>
        </w:tc>
        <w:tc>
          <w:tcPr>
            <w:tcW w:w="1095" w:type="pct"/>
            <w:vAlign w:val="center"/>
          </w:tcPr>
          <w:p w14:paraId="188B8B19">
            <w:pPr>
              <w:jc w:val="center"/>
              <w:rPr>
                <w:rFonts w:ascii="宋体" w:hAnsi="宋体" w:eastAsia="宋体" w:cs="宋体"/>
                <w:szCs w:val="21"/>
                <w:highlight w:val="none"/>
              </w:rPr>
            </w:pPr>
          </w:p>
        </w:tc>
        <w:tc>
          <w:tcPr>
            <w:tcW w:w="1057" w:type="pct"/>
            <w:vAlign w:val="center"/>
          </w:tcPr>
          <w:p w14:paraId="7938B2DA">
            <w:pPr>
              <w:jc w:val="center"/>
              <w:rPr>
                <w:rFonts w:ascii="宋体" w:hAnsi="宋体" w:eastAsia="宋体" w:cs="宋体"/>
                <w:szCs w:val="21"/>
                <w:highlight w:val="none"/>
              </w:rPr>
            </w:pPr>
          </w:p>
        </w:tc>
        <w:tc>
          <w:tcPr>
            <w:tcW w:w="1455" w:type="pct"/>
            <w:vAlign w:val="center"/>
          </w:tcPr>
          <w:p w14:paraId="516AEED9">
            <w:pPr>
              <w:jc w:val="center"/>
              <w:rPr>
                <w:rFonts w:ascii="宋体" w:hAnsi="宋体" w:eastAsia="宋体" w:cs="宋体"/>
                <w:szCs w:val="21"/>
                <w:highlight w:val="none"/>
              </w:rPr>
            </w:pPr>
          </w:p>
        </w:tc>
        <w:tc>
          <w:tcPr>
            <w:tcW w:w="968" w:type="pct"/>
            <w:vAlign w:val="center"/>
          </w:tcPr>
          <w:p w14:paraId="51502AC8">
            <w:pPr>
              <w:jc w:val="center"/>
              <w:rPr>
                <w:rFonts w:ascii="宋体" w:hAnsi="宋体" w:eastAsia="宋体" w:cs="宋体"/>
                <w:szCs w:val="21"/>
                <w:highlight w:val="none"/>
              </w:rPr>
            </w:pPr>
          </w:p>
        </w:tc>
      </w:tr>
    </w:tbl>
    <w:p w14:paraId="601BDF35">
      <w:pPr>
        <w:pStyle w:val="32"/>
        <w:spacing w:line="360" w:lineRule="auto"/>
        <w:rPr>
          <w:rFonts w:hint="eastAsia" w:hAnsi="宋体" w:cs="宋体"/>
          <w:b/>
          <w:kern w:val="2"/>
          <w:sz w:val="21"/>
          <w:szCs w:val="21"/>
          <w:highlight w:val="none"/>
          <w:lang w:val="en-US" w:eastAsia="zh-CN"/>
        </w:rPr>
      </w:pPr>
      <w:r>
        <w:rPr>
          <w:rFonts w:hint="eastAsia" w:hAnsi="宋体" w:cs="宋体"/>
          <w:b/>
          <w:kern w:val="2"/>
          <w:sz w:val="21"/>
          <w:szCs w:val="21"/>
          <w:highlight w:val="none"/>
          <w:lang w:val="en-US" w:eastAsia="zh-CN"/>
        </w:rPr>
        <w:t>备注：</w:t>
      </w:r>
    </w:p>
    <w:p w14:paraId="1FACED09">
      <w:pPr>
        <w:spacing w:line="360" w:lineRule="auto"/>
        <w:ind w:left="605" w:leftChars="18" w:hanging="567" w:hangingChars="270"/>
        <w:rPr>
          <w:rFonts w:hint="eastAsia" w:ascii="宋体" w:hAnsi="宋体" w:eastAsia="宋体" w:cs="宋体"/>
          <w:b w:val="0"/>
          <w:bCs w:val="0"/>
          <w:color w:val="auto"/>
          <w:szCs w:val="21"/>
          <w:highlight w:val="none"/>
          <w:lang w:eastAsia="zh-CN"/>
        </w:rPr>
      </w:pPr>
      <w:r>
        <w:rPr>
          <w:rFonts w:hint="eastAsia" w:ascii="宋体" w:hAnsi="宋体" w:eastAsia="宋体" w:cs="宋体"/>
          <w:b w:val="0"/>
          <w:bCs w:val="0"/>
          <w:color w:val="auto"/>
          <w:szCs w:val="21"/>
          <w:highlight w:val="none"/>
        </w:rPr>
        <w:t>（1）</w:t>
      </w:r>
      <w:r>
        <w:rPr>
          <w:rFonts w:hint="eastAsia" w:ascii="宋体" w:hAnsi="宋体" w:eastAsia="宋体" w:cs="宋体"/>
          <w:b w:val="0"/>
          <w:bCs w:val="0"/>
          <w:color w:val="auto"/>
          <w:szCs w:val="21"/>
          <w:highlight w:val="none"/>
          <w:lang w:val="en-US" w:eastAsia="zh-CN"/>
        </w:rPr>
        <w:t>评审时，评标委员会将根据投标人提供的资格证明文件以及下述要求的证明材料（如有）进行评审。</w:t>
      </w:r>
    </w:p>
    <w:p w14:paraId="3CB298D4">
      <w:pPr>
        <w:spacing w:line="360" w:lineRule="auto"/>
        <w:ind w:left="605" w:leftChars="18" w:hanging="567" w:hangingChars="270"/>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Cs w:val="21"/>
          <w:highlight w:val="none"/>
        </w:rPr>
        <w:t>（</w:t>
      </w:r>
      <w:r>
        <w:rPr>
          <w:rFonts w:hint="eastAsia" w:ascii="宋体" w:hAnsi="宋体" w:eastAsia="宋体" w:cs="宋体"/>
          <w:b w:val="0"/>
          <w:bCs w:val="0"/>
          <w:color w:val="auto"/>
          <w:szCs w:val="21"/>
          <w:highlight w:val="none"/>
          <w:lang w:val="en-US" w:eastAsia="zh-CN"/>
        </w:rPr>
        <w:t>2</w:t>
      </w:r>
      <w:r>
        <w:rPr>
          <w:rFonts w:hint="eastAsia" w:ascii="宋体" w:hAnsi="宋体" w:eastAsia="宋体" w:cs="宋体"/>
          <w:b w:val="0"/>
          <w:bCs w:val="0"/>
          <w:color w:val="auto"/>
          <w:szCs w:val="21"/>
          <w:highlight w:val="none"/>
        </w:rPr>
        <w:t>）</w:t>
      </w:r>
      <w:r>
        <w:rPr>
          <w:rFonts w:hint="eastAsia" w:ascii="宋体" w:hAnsi="宋体" w:eastAsia="宋体" w:cs="宋体"/>
          <w:b w:val="0"/>
          <w:bCs w:val="0"/>
          <w:color w:val="auto"/>
          <w:szCs w:val="21"/>
          <w:highlight w:val="none"/>
          <w:lang w:val="en-US" w:eastAsia="zh-CN"/>
        </w:rPr>
        <w:t>投标人</w:t>
      </w:r>
      <w:r>
        <w:rPr>
          <w:rFonts w:hint="eastAsia" w:ascii="宋体" w:hAnsi="宋体" w:eastAsia="宋体" w:cs="宋体"/>
          <w:b w:val="0"/>
          <w:bCs w:val="0"/>
          <w:color w:val="auto"/>
          <w:sz w:val="21"/>
          <w:szCs w:val="21"/>
          <w:highlight w:val="none"/>
          <w:lang w:val="zh-CN"/>
        </w:rPr>
        <w:t>泥粉/污泥</w:t>
      </w:r>
      <w:r>
        <w:rPr>
          <w:rFonts w:hint="eastAsia" w:ascii="宋体" w:hAnsi="宋体" w:eastAsia="宋体" w:cs="宋体"/>
          <w:b w:val="0"/>
          <w:bCs w:val="0"/>
          <w:color w:val="auto"/>
          <w:szCs w:val="21"/>
          <w:highlight w:val="none"/>
          <w:lang w:val="en-US" w:eastAsia="zh-CN"/>
        </w:rPr>
        <w:t>处置能力</w:t>
      </w:r>
      <w:r>
        <w:rPr>
          <w:rFonts w:hint="eastAsia" w:ascii="宋体" w:hAnsi="宋体" w:eastAsia="宋体" w:cs="宋体"/>
          <w:b w:val="0"/>
          <w:bCs w:val="0"/>
          <w:color w:val="auto"/>
          <w:szCs w:val="21"/>
          <w:highlight w:val="none"/>
        </w:rPr>
        <w:t>以</w:t>
      </w:r>
      <w:r>
        <w:rPr>
          <w:rFonts w:hint="eastAsia" w:ascii="宋体" w:hAnsi="宋体" w:eastAsia="宋体" w:cs="宋体"/>
          <w:b w:val="0"/>
          <w:bCs w:val="0"/>
          <w:color w:val="auto"/>
          <w:szCs w:val="21"/>
          <w:highlight w:val="none"/>
          <w:lang w:val="en-US" w:eastAsia="zh-CN"/>
        </w:rPr>
        <w:t>生态环境主管部门环境影响评价文件的批复文件</w:t>
      </w:r>
      <w:r>
        <w:rPr>
          <w:rFonts w:hint="eastAsia" w:ascii="宋体" w:hAnsi="宋体" w:eastAsia="宋体" w:cs="宋体"/>
          <w:b w:val="0"/>
          <w:bCs w:val="0"/>
          <w:color w:val="auto"/>
          <w:szCs w:val="21"/>
          <w:highlight w:val="none"/>
        </w:rPr>
        <w:t>原件扫描件</w:t>
      </w:r>
      <w:r>
        <w:rPr>
          <w:rFonts w:hint="eastAsia" w:ascii="宋体" w:hAnsi="宋体" w:eastAsia="宋体" w:cs="宋体"/>
          <w:b w:val="0"/>
          <w:bCs w:val="0"/>
          <w:color w:val="auto"/>
          <w:szCs w:val="21"/>
          <w:highlight w:val="none"/>
          <w:lang w:val="en-US" w:eastAsia="zh-CN"/>
        </w:rPr>
        <w:t>为准</w:t>
      </w:r>
      <w:r>
        <w:rPr>
          <w:rFonts w:hint="eastAsia" w:ascii="宋体" w:hAnsi="宋体" w:eastAsia="宋体" w:cs="宋体"/>
          <w:b w:val="0"/>
          <w:bCs w:val="0"/>
          <w:color w:val="auto"/>
          <w:szCs w:val="21"/>
          <w:highlight w:val="none"/>
        </w:rPr>
        <w:t>，</w:t>
      </w:r>
      <w:r>
        <w:rPr>
          <w:rFonts w:hint="eastAsia" w:ascii="宋体" w:hAnsi="宋体" w:eastAsia="宋体" w:cs="宋体"/>
          <w:b w:val="0"/>
          <w:bCs w:val="0"/>
          <w:color w:val="auto"/>
          <w:szCs w:val="21"/>
          <w:highlight w:val="none"/>
          <w:lang w:val="en-US" w:eastAsia="zh-CN"/>
        </w:rPr>
        <w:t>环境影响评价文件批复未明确处置能力的，投标人需提供环境影响评价文件原件扫描件，若环境影响评价文件批复及环境影响评价文件均未明确处置能力的，需提供地级市（或以上）生态环境主管部门或地级市（或以上）污泥主管部门出具的含有明确处置能力证明文件原件扫描件）</w:t>
      </w:r>
      <w:r>
        <w:rPr>
          <w:rFonts w:hint="eastAsia" w:ascii="宋体" w:hAnsi="宋体" w:eastAsia="宋体" w:cs="宋体"/>
          <w:b w:val="0"/>
          <w:bCs w:val="0"/>
          <w:color w:val="auto"/>
          <w:szCs w:val="21"/>
          <w:highlight w:val="none"/>
        </w:rPr>
        <w:t>。</w:t>
      </w:r>
      <w:r>
        <w:rPr>
          <w:rFonts w:hint="eastAsia" w:ascii="宋体" w:hAnsi="宋体" w:eastAsia="宋体" w:cs="宋体"/>
          <w:b w:val="0"/>
          <w:bCs w:val="0"/>
          <w:color w:val="auto"/>
          <w:sz w:val="21"/>
          <w:szCs w:val="21"/>
          <w:highlight w:val="none"/>
          <w:lang w:val="zh-CN"/>
        </w:rPr>
        <w:t>前述不同材料反映的规模不一致的，按最小数值判定该</w:t>
      </w:r>
      <w:r>
        <w:rPr>
          <w:rFonts w:hint="eastAsia" w:ascii="宋体" w:hAnsi="宋体" w:eastAsia="宋体" w:cs="宋体"/>
          <w:b w:val="0"/>
          <w:bCs w:val="0"/>
          <w:color w:val="auto"/>
          <w:sz w:val="21"/>
          <w:szCs w:val="21"/>
          <w:highlight w:val="none"/>
          <w:lang w:val="en-US" w:eastAsia="zh-CN"/>
        </w:rPr>
        <w:t>投标人</w:t>
      </w:r>
      <w:r>
        <w:rPr>
          <w:rFonts w:hint="eastAsia" w:ascii="宋体" w:hAnsi="宋体" w:eastAsia="宋体" w:cs="宋体"/>
          <w:b w:val="0"/>
          <w:bCs w:val="0"/>
          <w:color w:val="auto"/>
          <w:sz w:val="21"/>
          <w:szCs w:val="21"/>
          <w:highlight w:val="none"/>
          <w:lang w:val="zh-CN"/>
        </w:rPr>
        <w:t>的处置规模。</w:t>
      </w:r>
    </w:p>
    <w:p w14:paraId="13F7BAE1">
      <w:pPr>
        <w:spacing w:line="360" w:lineRule="auto"/>
        <w:ind w:left="605" w:leftChars="18" w:hanging="567" w:hangingChars="270"/>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w:t>
      </w:r>
      <w:r>
        <w:rPr>
          <w:rFonts w:hint="eastAsia" w:ascii="宋体" w:hAnsi="宋体" w:eastAsia="宋体" w:cs="宋体"/>
          <w:b w:val="0"/>
          <w:bCs w:val="0"/>
          <w:color w:val="auto"/>
          <w:szCs w:val="21"/>
          <w:highlight w:val="none"/>
          <w:lang w:val="en-US" w:eastAsia="zh-CN"/>
        </w:rPr>
        <w:t>3</w:t>
      </w:r>
      <w:r>
        <w:rPr>
          <w:rFonts w:hint="eastAsia" w:ascii="宋体" w:hAnsi="宋体" w:eastAsia="宋体" w:cs="宋体"/>
          <w:b w:val="0"/>
          <w:bCs w:val="0"/>
          <w:color w:val="auto"/>
          <w:szCs w:val="21"/>
          <w:highlight w:val="none"/>
        </w:rPr>
        <w:t>）处置能力需折算为日处置量，如证明材料中明确处置能力为年度处置量，则按一年365天进行折算为日处置量（例如证明材料处置能力为25万吨/年的，则日处置能力按250000/365=684.93吨/天进行折算）。</w:t>
      </w:r>
    </w:p>
    <w:p w14:paraId="62D9D36F">
      <w:pPr>
        <w:spacing w:line="360" w:lineRule="auto"/>
        <w:ind w:left="605" w:leftChars="18" w:hanging="567" w:hangingChars="270"/>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w:t>
      </w:r>
      <w:r>
        <w:rPr>
          <w:rFonts w:hint="eastAsia" w:ascii="宋体" w:hAnsi="宋体" w:eastAsia="宋体" w:cs="宋体"/>
          <w:b w:val="0"/>
          <w:bCs w:val="0"/>
          <w:color w:val="auto"/>
          <w:szCs w:val="21"/>
          <w:highlight w:val="none"/>
          <w:lang w:val="en-US" w:eastAsia="zh-CN"/>
        </w:rPr>
        <w:t>4</w:t>
      </w:r>
      <w:r>
        <w:rPr>
          <w:rFonts w:hint="eastAsia" w:ascii="宋体" w:hAnsi="宋体" w:eastAsia="宋体" w:cs="宋体"/>
          <w:b w:val="0"/>
          <w:bCs w:val="0"/>
          <w:color w:val="auto"/>
          <w:szCs w:val="21"/>
          <w:highlight w:val="none"/>
        </w:rPr>
        <w:t>）如</w:t>
      </w:r>
      <w:r>
        <w:rPr>
          <w:rFonts w:hint="eastAsia" w:ascii="宋体" w:hAnsi="宋体" w:eastAsia="宋体" w:cs="宋体"/>
          <w:b w:val="0"/>
          <w:bCs w:val="0"/>
          <w:color w:val="auto"/>
          <w:szCs w:val="21"/>
          <w:highlight w:val="none"/>
          <w:lang w:eastAsia="zh-CN"/>
        </w:rPr>
        <w:t>投标人</w:t>
      </w:r>
      <w:r>
        <w:rPr>
          <w:rFonts w:hint="eastAsia" w:ascii="宋体" w:hAnsi="宋体" w:eastAsia="宋体" w:cs="宋体"/>
          <w:b w:val="0"/>
          <w:bCs w:val="0"/>
          <w:color w:val="auto"/>
          <w:szCs w:val="21"/>
          <w:highlight w:val="none"/>
        </w:rPr>
        <w:t>提供多个符合要求的处置</w:t>
      </w:r>
      <w:r>
        <w:rPr>
          <w:rFonts w:hint="eastAsia" w:ascii="宋体" w:hAnsi="宋体" w:eastAsia="宋体" w:cs="宋体"/>
          <w:b w:val="0"/>
          <w:bCs w:val="0"/>
          <w:color w:val="auto"/>
          <w:szCs w:val="21"/>
          <w:highlight w:val="none"/>
          <w:lang w:val="en-US" w:eastAsia="zh-CN"/>
        </w:rPr>
        <w:t>场所</w:t>
      </w:r>
      <w:r>
        <w:rPr>
          <w:rFonts w:hint="eastAsia" w:ascii="宋体" w:hAnsi="宋体" w:eastAsia="宋体" w:cs="宋体"/>
          <w:b w:val="0"/>
          <w:bCs w:val="0"/>
          <w:color w:val="auto"/>
          <w:szCs w:val="21"/>
          <w:highlight w:val="none"/>
        </w:rPr>
        <w:t>，评审时处置能力按符合要求的处置</w:t>
      </w:r>
      <w:r>
        <w:rPr>
          <w:rFonts w:hint="eastAsia" w:ascii="宋体" w:hAnsi="宋体" w:eastAsia="宋体" w:cs="宋体"/>
          <w:b w:val="0"/>
          <w:bCs w:val="0"/>
          <w:color w:val="auto"/>
          <w:szCs w:val="21"/>
          <w:highlight w:val="none"/>
          <w:lang w:val="en-US" w:eastAsia="zh-CN"/>
        </w:rPr>
        <w:t>场所</w:t>
      </w:r>
      <w:r>
        <w:rPr>
          <w:rFonts w:hint="eastAsia" w:ascii="宋体" w:hAnsi="宋体" w:eastAsia="宋体" w:cs="宋体"/>
          <w:b w:val="0"/>
          <w:bCs w:val="0"/>
          <w:color w:val="auto"/>
          <w:szCs w:val="21"/>
          <w:highlight w:val="none"/>
        </w:rPr>
        <w:t>的处置能力之和计算，不符合要求的处置</w:t>
      </w:r>
      <w:r>
        <w:rPr>
          <w:rFonts w:hint="eastAsia" w:ascii="宋体" w:hAnsi="宋体" w:eastAsia="宋体" w:cs="宋体"/>
          <w:b w:val="0"/>
          <w:bCs w:val="0"/>
          <w:color w:val="auto"/>
          <w:szCs w:val="21"/>
          <w:highlight w:val="none"/>
          <w:lang w:val="en-US" w:eastAsia="zh-CN"/>
        </w:rPr>
        <w:t>场所</w:t>
      </w:r>
      <w:r>
        <w:rPr>
          <w:rFonts w:hint="eastAsia" w:ascii="宋体" w:hAnsi="宋体" w:eastAsia="宋体" w:cs="宋体"/>
          <w:b w:val="0"/>
          <w:bCs w:val="0"/>
          <w:color w:val="auto"/>
          <w:szCs w:val="21"/>
          <w:highlight w:val="none"/>
        </w:rPr>
        <w:t>，在评</w:t>
      </w:r>
      <w:r>
        <w:rPr>
          <w:rFonts w:hint="eastAsia" w:ascii="宋体" w:hAnsi="宋体" w:eastAsia="宋体" w:cs="宋体"/>
          <w:b w:val="0"/>
          <w:bCs w:val="0"/>
          <w:color w:val="auto"/>
          <w:szCs w:val="21"/>
          <w:highlight w:val="none"/>
          <w:lang w:val="en-US" w:eastAsia="zh-CN"/>
        </w:rPr>
        <w:t>标</w:t>
      </w:r>
      <w:r>
        <w:rPr>
          <w:rFonts w:hint="eastAsia" w:ascii="宋体" w:hAnsi="宋体" w:eastAsia="宋体" w:cs="宋体"/>
          <w:b w:val="0"/>
          <w:bCs w:val="0"/>
          <w:color w:val="auto"/>
          <w:szCs w:val="21"/>
          <w:highlight w:val="none"/>
        </w:rPr>
        <w:t>时将不予考虑。</w:t>
      </w:r>
    </w:p>
    <w:p w14:paraId="05A93929">
      <w:pPr>
        <w:spacing w:line="360" w:lineRule="auto"/>
        <w:ind w:left="605" w:leftChars="18" w:hanging="567" w:hangingChars="270"/>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w:t>
      </w:r>
      <w:r>
        <w:rPr>
          <w:rFonts w:hint="eastAsia" w:ascii="宋体" w:hAnsi="宋体" w:eastAsia="宋体" w:cs="宋体"/>
          <w:b w:val="0"/>
          <w:bCs w:val="0"/>
          <w:color w:val="auto"/>
          <w:szCs w:val="21"/>
          <w:highlight w:val="none"/>
          <w:lang w:val="en-US" w:eastAsia="zh-CN"/>
        </w:rPr>
        <w:t>5</w:t>
      </w:r>
      <w:r>
        <w:rPr>
          <w:rFonts w:hint="eastAsia" w:ascii="宋体" w:hAnsi="宋体" w:eastAsia="宋体" w:cs="宋体"/>
          <w:b w:val="0"/>
          <w:bCs w:val="0"/>
          <w:color w:val="auto"/>
          <w:szCs w:val="21"/>
          <w:highlight w:val="none"/>
        </w:rPr>
        <w:t>）</w:t>
      </w:r>
      <w:r>
        <w:rPr>
          <w:rFonts w:hint="eastAsia" w:ascii="宋体" w:hAnsi="宋体" w:eastAsia="宋体" w:cs="宋体"/>
          <w:b w:val="0"/>
          <w:bCs w:val="0"/>
          <w:color w:val="auto"/>
          <w:szCs w:val="21"/>
          <w:highlight w:val="none"/>
          <w:lang w:eastAsia="zh-CN"/>
        </w:rPr>
        <w:t>投标人</w:t>
      </w:r>
      <w:r>
        <w:rPr>
          <w:rFonts w:hint="eastAsia" w:ascii="宋体" w:hAnsi="宋体" w:eastAsia="宋体" w:cs="宋体"/>
          <w:b w:val="0"/>
          <w:bCs w:val="0"/>
          <w:color w:val="auto"/>
          <w:szCs w:val="21"/>
          <w:highlight w:val="none"/>
        </w:rPr>
        <w:t>提供处置能力的文件或证明材料需包含</w:t>
      </w:r>
      <w:r>
        <w:rPr>
          <w:rFonts w:hint="eastAsia" w:ascii="宋体" w:hAnsi="宋体" w:eastAsia="宋体" w:cs="宋体"/>
          <w:b w:val="0"/>
          <w:bCs w:val="0"/>
          <w:color w:val="auto"/>
          <w:szCs w:val="21"/>
          <w:highlight w:val="none"/>
          <w:lang w:eastAsia="zh-CN"/>
        </w:rPr>
        <w:t>投标人</w:t>
      </w:r>
      <w:r>
        <w:rPr>
          <w:rFonts w:hint="eastAsia" w:ascii="宋体" w:hAnsi="宋体" w:eastAsia="宋体" w:cs="宋体"/>
          <w:b w:val="0"/>
          <w:bCs w:val="0"/>
          <w:color w:val="auto"/>
          <w:szCs w:val="21"/>
          <w:highlight w:val="none"/>
        </w:rPr>
        <w:t>名称，若</w:t>
      </w:r>
      <w:r>
        <w:rPr>
          <w:rFonts w:hint="eastAsia" w:ascii="宋体" w:hAnsi="宋体" w:eastAsia="宋体" w:cs="宋体"/>
          <w:b w:val="0"/>
          <w:bCs w:val="0"/>
          <w:color w:val="auto"/>
          <w:szCs w:val="21"/>
          <w:highlight w:val="none"/>
          <w:lang w:eastAsia="zh-CN"/>
        </w:rPr>
        <w:t>投标人</w:t>
      </w:r>
      <w:r>
        <w:rPr>
          <w:rFonts w:hint="eastAsia" w:ascii="宋体" w:hAnsi="宋体" w:eastAsia="宋体" w:cs="宋体"/>
          <w:b w:val="0"/>
          <w:bCs w:val="0"/>
          <w:color w:val="auto"/>
          <w:szCs w:val="21"/>
          <w:highlight w:val="none"/>
        </w:rPr>
        <w:t>因公司名称变更导致文件或证明材料中名称和</w:t>
      </w:r>
      <w:r>
        <w:rPr>
          <w:rFonts w:hint="eastAsia" w:ascii="宋体" w:hAnsi="宋体" w:eastAsia="宋体" w:cs="宋体"/>
          <w:b w:val="0"/>
          <w:bCs w:val="0"/>
          <w:color w:val="auto"/>
          <w:szCs w:val="21"/>
          <w:highlight w:val="none"/>
          <w:lang w:eastAsia="zh-CN"/>
        </w:rPr>
        <w:t>投标人</w:t>
      </w:r>
      <w:r>
        <w:rPr>
          <w:rFonts w:hint="eastAsia" w:ascii="宋体" w:hAnsi="宋体" w:eastAsia="宋体" w:cs="宋体"/>
          <w:b w:val="0"/>
          <w:bCs w:val="0"/>
          <w:color w:val="auto"/>
          <w:szCs w:val="21"/>
          <w:highlight w:val="none"/>
        </w:rPr>
        <w:t>名称不一致，需提供公司名称变更登记通知书扫描件，否则，在评</w:t>
      </w:r>
      <w:r>
        <w:rPr>
          <w:rFonts w:hint="eastAsia" w:ascii="宋体" w:hAnsi="宋体" w:eastAsia="宋体" w:cs="宋体"/>
          <w:b w:val="0"/>
          <w:bCs w:val="0"/>
          <w:color w:val="auto"/>
          <w:szCs w:val="21"/>
          <w:highlight w:val="none"/>
          <w:lang w:val="en-US" w:eastAsia="zh-CN"/>
        </w:rPr>
        <w:t>标</w:t>
      </w:r>
      <w:r>
        <w:rPr>
          <w:rFonts w:hint="eastAsia" w:ascii="宋体" w:hAnsi="宋体" w:eastAsia="宋体" w:cs="宋体"/>
          <w:b w:val="0"/>
          <w:bCs w:val="0"/>
          <w:color w:val="auto"/>
          <w:szCs w:val="21"/>
          <w:highlight w:val="none"/>
        </w:rPr>
        <w:t>时将不予考虑。</w:t>
      </w:r>
    </w:p>
    <w:p w14:paraId="278C7649">
      <w:pPr>
        <w:spacing w:line="360" w:lineRule="auto"/>
        <w:ind w:left="605" w:leftChars="18" w:hanging="567" w:hangingChars="270"/>
        <w:rPr>
          <w:rFonts w:hint="eastAsia" w:ascii="宋体" w:hAnsi="宋体" w:eastAsia="宋体" w:cs="宋体"/>
          <w:color w:val="auto"/>
          <w:szCs w:val="21"/>
          <w:highlight w:val="none"/>
          <w:lang w:eastAsia="zh-CN"/>
        </w:rPr>
      </w:pPr>
      <w:r>
        <w:rPr>
          <w:rFonts w:hint="eastAsia" w:ascii="宋体" w:hAnsi="宋体" w:eastAsia="宋体" w:cs="宋体"/>
          <w:b w:val="0"/>
          <w:bCs w:val="0"/>
          <w:color w:val="auto"/>
          <w:szCs w:val="21"/>
          <w:highlight w:val="none"/>
          <w:lang w:eastAsia="zh-CN"/>
        </w:rPr>
        <w:t>（</w:t>
      </w:r>
      <w:r>
        <w:rPr>
          <w:rFonts w:hint="eastAsia" w:ascii="宋体" w:hAnsi="宋体" w:eastAsia="宋体" w:cs="宋体"/>
          <w:b w:val="0"/>
          <w:bCs w:val="0"/>
          <w:color w:val="auto"/>
          <w:szCs w:val="21"/>
          <w:highlight w:val="none"/>
          <w:lang w:val="en-US" w:eastAsia="zh-CN"/>
        </w:rPr>
        <w:t>6</w:t>
      </w:r>
      <w:r>
        <w:rPr>
          <w:rFonts w:hint="eastAsia" w:ascii="宋体" w:hAnsi="宋体" w:eastAsia="宋体" w:cs="宋体"/>
          <w:b w:val="0"/>
          <w:bCs w:val="0"/>
          <w:color w:val="auto"/>
          <w:szCs w:val="21"/>
          <w:highlight w:val="none"/>
          <w:lang w:eastAsia="zh-CN"/>
        </w:rPr>
        <w:t>）未按上述要求提供证明材料，或提供证明材料未明确投标人处置能力的或不符合评分要求的，在评审时将不予考虑。</w:t>
      </w:r>
    </w:p>
    <w:p w14:paraId="6CD533E0">
      <w:pPr>
        <w:autoSpaceDE w:val="0"/>
        <w:autoSpaceDN w:val="0"/>
        <w:adjustRightInd w:val="0"/>
        <w:spacing w:line="360" w:lineRule="auto"/>
        <w:ind w:firstLine="3780" w:firstLineChars="1800"/>
        <w:rPr>
          <w:rFonts w:hint="eastAsia" w:ascii="宋体" w:hAnsi="宋体" w:eastAsia="宋体" w:cs="宋体"/>
          <w:color w:val="auto"/>
          <w:szCs w:val="21"/>
          <w:highlight w:val="none"/>
          <w:lang w:val="zh-CN"/>
        </w:rPr>
      </w:pPr>
    </w:p>
    <w:p w14:paraId="7D7D686C">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1EE722F6">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576DDACD">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40F2E87D">
      <w:pPr>
        <w:numPr>
          <w:ilvl w:val="-1"/>
          <w:numId w:val="0"/>
        </w:numPr>
        <w:tabs>
          <w:tab w:val="left" w:pos="567"/>
        </w:tabs>
        <w:autoSpaceDE w:val="0"/>
        <w:autoSpaceDN w:val="0"/>
        <w:adjustRightInd w:val="0"/>
        <w:spacing w:line="360" w:lineRule="auto"/>
        <w:ind w:firstLine="2530" w:firstLineChars="1200"/>
        <w:jc w:val="left"/>
        <w:outlineLvl w:val="9"/>
        <w:rPr>
          <w:rFonts w:hint="eastAsia" w:ascii="宋体" w:hAnsi="宋体" w:eastAsia="宋体" w:cs="Times New Roman"/>
          <w:b/>
          <w:bCs/>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说明：由投标人使用投标人的企业数字证书电子签名。</w:t>
      </w:r>
    </w:p>
    <w:p w14:paraId="0985790F">
      <w:pPr>
        <w:autoSpaceDE/>
        <w:autoSpaceDN/>
        <w:adjustRightInd/>
        <w:spacing w:line="240" w:lineRule="auto"/>
        <w:jc w:val="left"/>
        <w:outlineLvl w:val="9"/>
        <w:rPr>
          <w:rFonts w:hint="eastAsia" w:ascii="宋体" w:hAnsi="宋体" w:eastAsia="宋体" w:cs="Times New Roman"/>
          <w:b/>
          <w:bCs/>
          <w:color w:val="auto"/>
          <w:szCs w:val="24"/>
          <w:highlight w:val="none"/>
          <w:lang w:val="zh-CN"/>
        </w:rPr>
      </w:pPr>
      <w:r>
        <w:rPr>
          <w:rFonts w:hint="eastAsia" w:ascii="宋体" w:hAnsi="宋体" w:eastAsia="宋体" w:cs="Times New Roman"/>
          <w:b/>
          <w:bCs/>
          <w:color w:val="auto"/>
          <w:szCs w:val="24"/>
          <w:highlight w:val="none"/>
          <w:lang w:val="zh-CN"/>
        </w:rPr>
        <w:br w:type="page"/>
      </w:r>
    </w:p>
    <w:p w14:paraId="62163EE0">
      <w:pPr>
        <w:numPr>
          <w:ilvl w:val="-1"/>
          <w:numId w:val="0"/>
        </w:numPr>
        <w:tabs>
          <w:tab w:val="left" w:pos="567"/>
        </w:tabs>
        <w:autoSpaceDE w:val="0"/>
        <w:autoSpaceDN w:val="0"/>
        <w:adjustRightInd w:val="0"/>
        <w:spacing w:line="360" w:lineRule="auto"/>
        <w:jc w:val="left"/>
        <w:outlineLvl w:val="3"/>
        <w:rPr>
          <w:rFonts w:ascii="宋体" w:hAnsi="宋体" w:eastAsia="宋体" w:cs="宋体"/>
          <w:b/>
          <w:color w:val="auto"/>
          <w:kern w:val="0"/>
          <w:sz w:val="32"/>
          <w:szCs w:val="32"/>
          <w:highlight w:val="none"/>
        </w:rPr>
      </w:pPr>
      <w:r>
        <w:rPr>
          <w:rFonts w:hint="eastAsia" w:ascii="宋体" w:hAnsi="宋体" w:eastAsia="宋体" w:cs="宋体"/>
          <w:b/>
          <w:bCs/>
          <w:color w:val="auto"/>
          <w:kern w:val="0"/>
          <w:sz w:val="30"/>
          <w:szCs w:val="30"/>
          <w:highlight w:val="none"/>
          <w:lang w:val="en-US" w:eastAsia="zh-CN"/>
        </w:rPr>
        <w:t>十</w:t>
      </w:r>
      <w:r>
        <w:rPr>
          <w:rFonts w:hint="eastAsia" w:ascii="宋体" w:hAnsi="宋体" w:eastAsia="宋体" w:cs="宋体"/>
          <w:b/>
          <w:color w:val="auto"/>
          <w:kern w:val="0"/>
          <w:sz w:val="32"/>
          <w:szCs w:val="32"/>
          <w:highlight w:val="none"/>
        </w:rPr>
        <w:t>、业绩表格式</w:t>
      </w:r>
      <w:bookmarkEnd w:id="795"/>
      <w:bookmarkEnd w:id="796"/>
      <w:bookmarkEnd w:id="797"/>
      <w:bookmarkEnd w:id="798"/>
      <w:bookmarkEnd w:id="799"/>
      <w:bookmarkEnd w:id="800"/>
      <w:bookmarkEnd w:id="801"/>
      <w:bookmarkEnd w:id="802"/>
      <w:bookmarkEnd w:id="803"/>
      <w:bookmarkEnd w:id="804"/>
      <w:bookmarkEnd w:id="805"/>
    </w:p>
    <w:p w14:paraId="6C7C2AE8">
      <w:pPr>
        <w:autoSpaceDE w:val="0"/>
        <w:autoSpaceDN w:val="0"/>
        <w:adjustRightInd w:val="0"/>
        <w:spacing w:line="360" w:lineRule="auto"/>
        <w:jc w:val="center"/>
        <w:outlineLvl w:val="9"/>
        <w:rPr>
          <w:rFonts w:ascii="宋体" w:hAnsi="宋体" w:eastAsia="宋体" w:cs="Times New Roman"/>
          <w:b/>
          <w:bCs/>
          <w:color w:val="auto"/>
          <w:sz w:val="30"/>
          <w:szCs w:val="30"/>
          <w:highlight w:val="none"/>
        </w:rPr>
      </w:pPr>
      <w:bookmarkStart w:id="808" w:name="_Toc21352"/>
      <w:bookmarkStart w:id="809" w:name="_Toc195714393"/>
      <w:r>
        <w:rPr>
          <w:rFonts w:hint="eastAsia" w:ascii="宋体" w:hAnsi="宋体" w:eastAsia="宋体" w:cs="宋体"/>
          <w:b/>
          <w:bCs/>
          <w:color w:val="auto"/>
          <w:sz w:val="30"/>
          <w:szCs w:val="30"/>
          <w:highlight w:val="none"/>
          <w:lang w:eastAsia="zh-CN" w:bidi="ar"/>
        </w:rPr>
        <w:t>投标人</w:t>
      </w:r>
      <w:r>
        <w:rPr>
          <w:rFonts w:hint="eastAsia" w:ascii="宋体" w:hAnsi="宋体" w:eastAsia="宋体" w:cs="宋体"/>
          <w:b/>
          <w:bCs/>
          <w:color w:val="auto"/>
          <w:sz w:val="30"/>
          <w:szCs w:val="30"/>
          <w:highlight w:val="none"/>
          <w:lang w:bidi="ar"/>
        </w:rPr>
        <w:t>2022年以来（签订合同的时间要求为2022年1月1日或以后）</w:t>
      </w:r>
      <w:r>
        <w:rPr>
          <w:rFonts w:hint="eastAsia" w:ascii="宋体" w:hAnsi="宋体" w:eastAsia="宋体" w:cs="宋体"/>
          <w:b/>
          <w:bCs/>
          <w:color w:val="auto"/>
          <w:sz w:val="30"/>
          <w:szCs w:val="30"/>
          <w:highlight w:val="none"/>
          <w:lang w:val="en-US" w:eastAsia="zh-CN" w:bidi="ar"/>
        </w:rPr>
        <w:t>承接的泥粉/污泥处置服务</w:t>
      </w:r>
      <w:r>
        <w:rPr>
          <w:rFonts w:hint="eastAsia" w:ascii="宋体" w:hAnsi="宋体" w:eastAsia="宋体" w:cs="宋体"/>
          <w:b/>
          <w:bCs/>
          <w:color w:val="auto"/>
          <w:sz w:val="30"/>
          <w:szCs w:val="30"/>
          <w:highlight w:val="none"/>
          <w:lang w:bidi="ar"/>
        </w:rPr>
        <w:t>业绩表</w:t>
      </w:r>
      <w:bookmarkEnd w:id="808"/>
      <w:bookmarkEnd w:id="809"/>
    </w:p>
    <w:p w14:paraId="258100BB">
      <w:pPr>
        <w:autoSpaceDE w:val="0"/>
        <w:autoSpaceDN w:val="0"/>
        <w:adjustRightInd w:val="0"/>
        <w:snapToGrid w:val="0"/>
        <w:spacing w:line="360" w:lineRule="auto"/>
        <w:ind w:left="186" w:leftChars="-158" w:hanging="518" w:hangingChars="247"/>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bidi="ar"/>
        </w:rPr>
        <w:t xml:space="preserve"> </w:t>
      </w:r>
    </w:p>
    <w:tbl>
      <w:tblPr>
        <w:tblStyle w:val="5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719"/>
        <w:gridCol w:w="1036"/>
        <w:gridCol w:w="1036"/>
        <w:gridCol w:w="1036"/>
        <w:gridCol w:w="1036"/>
        <w:gridCol w:w="1036"/>
        <w:gridCol w:w="1208"/>
        <w:gridCol w:w="1208"/>
        <w:gridCol w:w="1036"/>
        <w:gridCol w:w="861"/>
      </w:tblGrid>
      <w:tr w14:paraId="1CDB2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1092" w:hRule="exact"/>
          <w:jc w:val="center"/>
        </w:trPr>
        <w:tc>
          <w:tcPr>
            <w:tcW w:w="352" w:type="pct"/>
            <w:noWrap w:val="0"/>
            <w:vAlign w:val="center"/>
          </w:tcPr>
          <w:p w14:paraId="652A4AD9">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序号</w:t>
            </w:r>
          </w:p>
        </w:tc>
        <w:tc>
          <w:tcPr>
            <w:tcW w:w="507" w:type="pct"/>
            <w:noWrap w:val="0"/>
            <w:vAlign w:val="center"/>
          </w:tcPr>
          <w:p w14:paraId="5871983D">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项目名称</w:t>
            </w:r>
          </w:p>
        </w:tc>
        <w:tc>
          <w:tcPr>
            <w:tcW w:w="507" w:type="pct"/>
            <w:noWrap w:val="0"/>
            <w:vAlign w:val="center"/>
          </w:tcPr>
          <w:p w14:paraId="23A57C7C">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zh-CN"/>
              </w:rPr>
              <w:t>日处置量（吨）</w:t>
            </w:r>
          </w:p>
        </w:tc>
        <w:tc>
          <w:tcPr>
            <w:tcW w:w="507" w:type="pct"/>
            <w:noWrap w:val="0"/>
            <w:vAlign w:val="center"/>
          </w:tcPr>
          <w:p w14:paraId="637147E0">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合同金额（万元）</w:t>
            </w:r>
          </w:p>
        </w:tc>
        <w:tc>
          <w:tcPr>
            <w:tcW w:w="507" w:type="pct"/>
            <w:noWrap w:val="0"/>
            <w:vAlign w:val="center"/>
          </w:tcPr>
          <w:p w14:paraId="5D3E0E48">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合同主要服务内容</w:t>
            </w:r>
          </w:p>
        </w:tc>
        <w:tc>
          <w:tcPr>
            <w:tcW w:w="507" w:type="pct"/>
            <w:noWrap w:val="0"/>
            <w:vAlign w:val="center"/>
          </w:tcPr>
          <w:p w14:paraId="485D74FF">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处置方式</w:t>
            </w:r>
          </w:p>
        </w:tc>
        <w:tc>
          <w:tcPr>
            <w:tcW w:w="591" w:type="pct"/>
            <w:noWrap w:val="0"/>
            <w:vAlign w:val="center"/>
          </w:tcPr>
          <w:p w14:paraId="2441751D">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签约日期</w:t>
            </w:r>
          </w:p>
        </w:tc>
        <w:tc>
          <w:tcPr>
            <w:tcW w:w="591" w:type="pct"/>
            <w:noWrap w:val="0"/>
            <w:vAlign w:val="center"/>
          </w:tcPr>
          <w:p w14:paraId="6754A41A">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合同到期日期</w:t>
            </w:r>
          </w:p>
        </w:tc>
        <w:tc>
          <w:tcPr>
            <w:tcW w:w="507" w:type="pct"/>
            <w:noWrap w:val="0"/>
            <w:vAlign w:val="center"/>
          </w:tcPr>
          <w:p w14:paraId="5F07EB8B">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业主联系人及电话</w:t>
            </w:r>
          </w:p>
        </w:tc>
        <w:tc>
          <w:tcPr>
            <w:tcW w:w="421" w:type="pct"/>
            <w:noWrap w:val="0"/>
            <w:vAlign w:val="center"/>
          </w:tcPr>
          <w:p w14:paraId="7AAD723D">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备注</w:t>
            </w:r>
          </w:p>
        </w:tc>
      </w:tr>
      <w:tr w14:paraId="1C576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760" w:hRule="exact"/>
          <w:jc w:val="center"/>
        </w:trPr>
        <w:tc>
          <w:tcPr>
            <w:tcW w:w="352" w:type="pct"/>
            <w:noWrap w:val="0"/>
            <w:vAlign w:val="center"/>
          </w:tcPr>
          <w:p w14:paraId="66344D36">
            <w:pPr>
              <w:jc w:val="center"/>
              <w:rPr>
                <w:rFonts w:hint="eastAsia" w:ascii="宋体" w:hAnsi="宋体" w:eastAsia="宋体" w:cs="宋体"/>
                <w:sz w:val="21"/>
                <w:szCs w:val="21"/>
                <w:highlight w:val="none"/>
              </w:rPr>
            </w:pPr>
          </w:p>
        </w:tc>
        <w:tc>
          <w:tcPr>
            <w:tcW w:w="507" w:type="pct"/>
            <w:noWrap w:val="0"/>
            <w:vAlign w:val="center"/>
          </w:tcPr>
          <w:p w14:paraId="16A7B20A">
            <w:pPr>
              <w:jc w:val="center"/>
              <w:rPr>
                <w:rFonts w:hint="eastAsia" w:ascii="宋体" w:hAnsi="宋体" w:eastAsia="宋体" w:cs="宋体"/>
                <w:sz w:val="21"/>
                <w:szCs w:val="21"/>
                <w:highlight w:val="none"/>
              </w:rPr>
            </w:pPr>
          </w:p>
        </w:tc>
        <w:tc>
          <w:tcPr>
            <w:tcW w:w="507" w:type="pct"/>
            <w:noWrap w:val="0"/>
            <w:vAlign w:val="center"/>
          </w:tcPr>
          <w:p w14:paraId="0A1DB2EA">
            <w:pPr>
              <w:jc w:val="center"/>
              <w:rPr>
                <w:rFonts w:hint="eastAsia" w:ascii="宋体" w:hAnsi="宋体" w:eastAsia="宋体" w:cs="宋体"/>
                <w:sz w:val="21"/>
                <w:szCs w:val="21"/>
                <w:highlight w:val="none"/>
              </w:rPr>
            </w:pPr>
          </w:p>
        </w:tc>
        <w:tc>
          <w:tcPr>
            <w:tcW w:w="507" w:type="pct"/>
            <w:noWrap w:val="0"/>
            <w:vAlign w:val="center"/>
          </w:tcPr>
          <w:p w14:paraId="749DFF34">
            <w:pPr>
              <w:jc w:val="center"/>
              <w:rPr>
                <w:rFonts w:hint="eastAsia" w:ascii="宋体" w:hAnsi="宋体" w:eastAsia="宋体" w:cs="宋体"/>
                <w:sz w:val="21"/>
                <w:szCs w:val="21"/>
                <w:highlight w:val="none"/>
              </w:rPr>
            </w:pPr>
          </w:p>
        </w:tc>
        <w:tc>
          <w:tcPr>
            <w:tcW w:w="507" w:type="pct"/>
            <w:noWrap w:val="0"/>
            <w:vAlign w:val="center"/>
          </w:tcPr>
          <w:p w14:paraId="4E947044">
            <w:pPr>
              <w:jc w:val="center"/>
              <w:rPr>
                <w:rFonts w:hint="eastAsia" w:ascii="宋体" w:hAnsi="宋体" w:eastAsia="宋体" w:cs="宋体"/>
                <w:sz w:val="21"/>
                <w:szCs w:val="21"/>
                <w:highlight w:val="none"/>
              </w:rPr>
            </w:pPr>
          </w:p>
        </w:tc>
        <w:tc>
          <w:tcPr>
            <w:tcW w:w="507" w:type="pct"/>
            <w:noWrap w:val="0"/>
            <w:vAlign w:val="center"/>
          </w:tcPr>
          <w:p w14:paraId="38AC525A">
            <w:pPr>
              <w:jc w:val="center"/>
              <w:rPr>
                <w:rFonts w:hint="eastAsia" w:ascii="宋体" w:hAnsi="宋体" w:eastAsia="宋体" w:cs="宋体"/>
                <w:sz w:val="21"/>
                <w:szCs w:val="21"/>
                <w:highlight w:val="none"/>
              </w:rPr>
            </w:pPr>
          </w:p>
        </w:tc>
        <w:tc>
          <w:tcPr>
            <w:tcW w:w="591" w:type="pct"/>
            <w:noWrap w:val="0"/>
            <w:vAlign w:val="center"/>
          </w:tcPr>
          <w:p w14:paraId="164E30FF">
            <w:pPr>
              <w:jc w:val="center"/>
              <w:rPr>
                <w:rFonts w:hint="eastAsia" w:ascii="宋体" w:hAnsi="宋体" w:eastAsia="宋体" w:cs="宋体"/>
                <w:sz w:val="21"/>
                <w:szCs w:val="21"/>
                <w:highlight w:val="none"/>
              </w:rPr>
            </w:pPr>
          </w:p>
        </w:tc>
        <w:tc>
          <w:tcPr>
            <w:tcW w:w="591" w:type="pct"/>
            <w:noWrap w:val="0"/>
            <w:vAlign w:val="center"/>
          </w:tcPr>
          <w:p w14:paraId="042DA8D6">
            <w:pPr>
              <w:jc w:val="center"/>
              <w:rPr>
                <w:rFonts w:hint="eastAsia" w:ascii="宋体" w:hAnsi="宋体" w:eastAsia="宋体" w:cs="宋体"/>
                <w:sz w:val="21"/>
                <w:szCs w:val="21"/>
                <w:highlight w:val="none"/>
              </w:rPr>
            </w:pPr>
          </w:p>
        </w:tc>
        <w:tc>
          <w:tcPr>
            <w:tcW w:w="507" w:type="pct"/>
            <w:noWrap w:val="0"/>
            <w:vAlign w:val="center"/>
          </w:tcPr>
          <w:p w14:paraId="41480E2B">
            <w:pPr>
              <w:jc w:val="center"/>
              <w:rPr>
                <w:rFonts w:hint="eastAsia" w:ascii="宋体" w:hAnsi="宋体" w:eastAsia="宋体" w:cs="宋体"/>
                <w:sz w:val="21"/>
                <w:szCs w:val="21"/>
                <w:highlight w:val="none"/>
              </w:rPr>
            </w:pPr>
          </w:p>
        </w:tc>
        <w:tc>
          <w:tcPr>
            <w:tcW w:w="421" w:type="pct"/>
            <w:noWrap w:val="0"/>
            <w:vAlign w:val="center"/>
          </w:tcPr>
          <w:p w14:paraId="6397E8F9">
            <w:pPr>
              <w:jc w:val="center"/>
              <w:rPr>
                <w:rFonts w:hint="eastAsia" w:ascii="宋体" w:hAnsi="宋体" w:eastAsia="宋体" w:cs="宋体"/>
                <w:sz w:val="21"/>
                <w:szCs w:val="21"/>
                <w:highlight w:val="none"/>
              </w:rPr>
            </w:pPr>
          </w:p>
        </w:tc>
      </w:tr>
      <w:tr w14:paraId="2E01C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760" w:hRule="exact"/>
          <w:jc w:val="center"/>
        </w:trPr>
        <w:tc>
          <w:tcPr>
            <w:tcW w:w="352" w:type="pct"/>
            <w:noWrap w:val="0"/>
            <w:vAlign w:val="center"/>
          </w:tcPr>
          <w:p w14:paraId="1265184B">
            <w:pPr>
              <w:jc w:val="center"/>
              <w:rPr>
                <w:rFonts w:hint="eastAsia" w:ascii="宋体" w:hAnsi="宋体" w:eastAsia="宋体" w:cs="宋体"/>
                <w:sz w:val="21"/>
                <w:szCs w:val="21"/>
                <w:highlight w:val="none"/>
              </w:rPr>
            </w:pPr>
          </w:p>
        </w:tc>
        <w:tc>
          <w:tcPr>
            <w:tcW w:w="507" w:type="pct"/>
            <w:noWrap w:val="0"/>
            <w:vAlign w:val="center"/>
          </w:tcPr>
          <w:p w14:paraId="036D21A5">
            <w:pPr>
              <w:jc w:val="center"/>
              <w:rPr>
                <w:rFonts w:hint="eastAsia" w:ascii="宋体" w:hAnsi="宋体" w:eastAsia="宋体" w:cs="宋体"/>
                <w:sz w:val="21"/>
                <w:szCs w:val="21"/>
                <w:highlight w:val="none"/>
              </w:rPr>
            </w:pPr>
          </w:p>
        </w:tc>
        <w:tc>
          <w:tcPr>
            <w:tcW w:w="507" w:type="pct"/>
            <w:noWrap w:val="0"/>
            <w:vAlign w:val="center"/>
          </w:tcPr>
          <w:p w14:paraId="353B8D11">
            <w:pPr>
              <w:jc w:val="center"/>
              <w:rPr>
                <w:rFonts w:hint="eastAsia" w:ascii="宋体" w:hAnsi="宋体" w:eastAsia="宋体" w:cs="宋体"/>
                <w:sz w:val="21"/>
                <w:szCs w:val="21"/>
                <w:highlight w:val="none"/>
              </w:rPr>
            </w:pPr>
          </w:p>
        </w:tc>
        <w:tc>
          <w:tcPr>
            <w:tcW w:w="507" w:type="pct"/>
            <w:noWrap w:val="0"/>
            <w:vAlign w:val="center"/>
          </w:tcPr>
          <w:p w14:paraId="51ECE6FF">
            <w:pPr>
              <w:jc w:val="center"/>
              <w:rPr>
                <w:rFonts w:hint="eastAsia" w:ascii="宋体" w:hAnsi="宋体" w:eastAsia="宋体" w:cs="宋体"/>
                <w:sz w:val="21"/>
                <w:szCs w:val="21"/>
                <w:highlight w:val="none"/>
              </w:rPr>
            </w:pPr>
          </w:p>
        </w:tc>
        <w:tc>
          <w:tcPr>
            <w:tcW w:w="507" w:type="pct"/>
            <w:noWrap w:val="0"/>
            <w:vAlign w:val="center"/>
          </w:tcPr>
          <w:p w14:paraId="184158BA">
            <w:pPr>
              <w:jc w:val="center"/>
              <w:rPr>
                <w:rFonts w:hint="eastAsia" w:ascii="宋体" w:hAnsi="宋体" w:eastAsia="宋体" w:cs="宋体"/>
                <w:sz w:val="21"/>
                <w:szCs w:val="21"/>
                <w:highlight w:val="none"/>
              </w:rPr>
            </w:pPr>
          </w:p>
        </w:tc>
        <w:tc>
          <w:tcPr>
            <w:tcW w:w="507" w:type="pct"/>
            <w:noWrap w:val="0"/>
            <w:vAlign w:val="center"/>
          </w:tcPr>
          <w:p w14:paraId="45DB7F9F">
            <w:pPr>
              <w:jc w:val="center"/>
              <w:rPr>
                <w:rFonts w:hint="eastAsia" w:ascii="宋体" w:hAnsi="宋体" w:eastAsia="宋体" w:cs="宋体"/>
                <w:sz w:val="21"/>
                <w:szCs w:val="21"/>
                <w:highlight w:val="none"/>
              </w:rPr>
            </w:pPr>
          </w:p>
        </w:tc>
        <w:tc>
          <w:tcPr>
            <w:tcW w:w="591" w:type="pct"/>
            <w:noWrap w:val="0"/>
            <w:vAlign w:val="center"/>
          </w:tcPr>
          <w:p w14:paraId="3B2B9F69">
            <w:pPr>
              <w:jc w:val="center"/>
              <w:rPr>
                <w:rFonts w:hint="eastAsia" w:ascii="宋体" w:hAnsi="宋体" w:eastAsia="宋体" w:cs="宋体"/>
                <w:sz w:val="21"/>
                <w:szCs w:val="21"/>
                <w:highlight w:val="none"/>
              </w:rPr>
            </w:pPr>
          </w:p>
        </w:tc>
        <w:tc>
          <w:tcPr>
            <w:tcW w:w="591" w:type="pct"/>
            <w:noWrap w:val="0"/>
            <w:vAlign w:val="center"/>
          </w:tcPr>
          <w:p w14:paraId="7FCC0B36">
            <w:pPr>
              <w:jc w:val="center"/>
              <w:rPr>
                <w:rFonts w:hint="eastAsia" w:ascii="宋体" w:hAnsi="宋体" w:eastAsia="宋体" w:cs="宋体"/>
                <w:sz w:val="21"/>
                <w:szCs w:val="21"/>
                <w:highlight w:val="none"/>
              </w:rPr>
            </w:pPr>
          </w:p>
        </w:tc>
        <w:tc>
          <w:tcPr>
            <w:tcW w:w="507" w:type="pct"/>
            <w:noWrap w:val="0"/>
            <w:vAlign w:val="center"/>
          </w:tcPr>
          <w:p w14:paraId="4F68F8C3">
            <w:pPr>
              <w:jc w:val="center"/>
              <w:rPr>
                <w:rFonts w:hint="eastAsia" w:ascii="宋体" w:hAnsi="宋体" w:eastAsia="宋体" w:cs="宋体"/>
                <w:sz w:val="21"/>
                <w:szCs w:val="21"/>
                <w:highlight w:val="none"/>
              </w:rPr>
            </w:pPr>
          </w:p>
        </w:tc>
        <w:tc>
          <w:tcPr>
            <w:tcW w:w="421" w:type="pct"/>
            <w:noWrap w:val="0"/>
            <w:vAlign w:val="center"/>
          </w:tcPr>
          <w:p w14:paraId="6EF99FF6">
            <w:pPr>
              <w:jc w:val="center"/>
              <w:rPr>
                <w:rFonts w:hint="eastAsia" w:ascii="宋体" w:hAnsi="宋体" w:eastAsia="宋体" w:cs="宋体"/>
                <w:sz w:val="21"/>
                <w:szCs w:val="21"/>
                <w:highlight w:val="none"/>
              </w:rPr>
            </w:pPr>
          </w:p>
        </w:tc>
      </w:tr>
      <w:tr w14:paraId="705ED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760" w:hRule="exact"/>
          <w:jc w:val="center"/>
        </w:trPr>
        <w:tc>
          <w:tcPr>
            <w:tcW w:w="352" w:type="pct"/>
            <w:noWrap w:val="0"/>
            <w:vAlign w:val="center"/>
          </w:tcPr>
          <w:p w14:paraId="6F67FC3A">
            <w:pPr>
              <w:jc w:val="center"/>
              <w:rPr>
                <w:rFonts w:hint="eastAsia" w:ascii="宋体" w:hAnsi="宋体" w:eastAsia="宋体" w:cs="宋体"/>
                <w:sz w:val="21"/>
                <w:szCs w:val="21"/>
                <w:highlight w:val="none"/>
              </w:rPr>
            </w:pPr>
          </w:p>
        </w:tc>
        <w:tc>
          <w:tcPr>
            <w:tcW w:w="507" w:type="pct"/>
            <w:noWrap w:val="0"/>
            <w:vAlign w:val="center"/>
          </w:tcPr>
          <w:p w14:paraId="752B874C">
            <w:pPr>
              <w:jc w:val="center"/>
              <w:rPr>
                <w:rFonts w:hint="eastAsia" w:ascii="宋体" w:hAnsi="宋体" w:eastAsia="宋体" w:cs="宋体"/>
                <w:sz w:val="21"/>
                <w:szCs w:val="21"/>
                <w:highlight w:val="none"/>
              </w:rPr>
            </w:pPr>
          </w:p>
        </w:tc>
        <w:tc>
          <w:tcPr>
            <w:tcW w:w="507" w:type="pct"/>
            <w:noWrap w:val="0"/>
            <w:vAlign w:val="center"/>
          </w:tcPr>
          <w:p w14:paraId="2DD601FE">
            <w:pPr>
              <w:jc w:val="center"/>
              <w:rPr>
                <w:rFonts w:hint="eastAsia" w:ascii="宋体" w:hAnsi="宋体" w:eastAsia="宋体" w:cs="宋体"/>
                <w:sz w:val="21"/>
                <w:szCs w:val="21"/>
                <w:highlight w:val="none"/>
              </w:rPr>
            </w:pPr>
          </w:p>
        </w:tc>
        <w:tc>
          <w:tcPr>
            <w:tcW w:w="507" w:type="pct"/>
            <w:noWrap w:val="0"/>
            <w:vAlign w:val="center"/>
          </w:tcPr>
          <w:p w14:paraId="53BC8A84">
            <w:pPr>
              <w:jc w:val="center"/>
              <w:rPr>
                <w:rFonts w:hint="eastAsia" w:ascii="宋体" w:hAnsi="宋体" w:eastAsia="宋体" w:cs="宋体"/>
                <w:sz w:val="21"/>
                <w:szCs w:val="21"/>
                <w:highlight w:val="none"/>
              </w:rPr>
            </w:pPr>
          </w:p>
        </w:tc>
        <w:tc>
          <w:tcPr>
            <w:tcW w:w="507" w:type="pct"/>
            <w:noWrap w:val="0"/>
            <w:vAlign w:val="center"/>
          </w:tcPr>
          <w:p w14:paraId="2ABC000C">
            <w:pPr>
              <w:jc w:val="center"/>
              <w:rPr>
                <w:rFonts w:hint="eastAsia" w:ascii="宋体" w:hAnsi="宋体" w:eastAsia="宋体" w:cs="宋体"/>
                <w:sz w:val="21"/>
                <w:szCs w:val="21"/>
                <w:highlight w:val="none"/>
              </w:rPr>
            </w:pPr>
          </w:p>
        </w:tc>
        <w:tc>
          <w:tcPr>
            <w:tcW w:w="507" w:type="pct"/>
            <w:noWrap w:val="0"/>
            <w:vAlign w:val="center"/>
          </w:tcPr>
          <w:p w14:paraId="0FB57A67">
            <w:pPr>
              <w:jc w:val="center"/>
              <w:rPr>
                <w:rFonts w:hint="eastAsia" w:ascii="宋体" w:hAnsi="宋体" w:eastAsia="宋体" w:cs="宋体"/>
                <w:sz w:val="21"/>
                <w:szCs w:val="21"/>
                <w:highlight w:val="none"/>
              </w:rPr>
            </w:pPr>
          </w:p>
        </w:tc>
        <w:tc>
          <w:tcPr>
            <w:tcW w:w="591" w:type="pct"/>
            <w:noWrap w:val="0"/>
            <w:vAlign w:val="center"/>
          </w:tcPr>
          <w:p w14:paraId="54A33867">
            <w:pPr>
              <w:jc w:val="center"/>
              <w:rPr>
                <w:rFonts w:hint="eastAsia" w:ascii="宋体" w:hAnsi="宋体" w:eastAsia="宋体" w:cs="宋体"/>
                <w:sz w:val="21"/>
                <w:szCs w:val="21"/>
                <w:highlight w:val="none"/>
              </w:rPr>
            </w:pPr>
          </w:p>
        </w:tc>
        <w:tc>
          <w:tcPr>
            <w:tcW w:w="591" w:type="pct"/>
            <w:noWrap w:val="0"/>
            <w:vAlign w:val="center"/>
          </w:tcPr>
          <w:p w14:paraId="5C7BAF57">
            <w:pPr>
              <w:jc w:val="center"/>
              <w:rPr>
                <w:rFonts w:hint="eastAsia" w:ascii="宋体" w:hAnsi="宋体" w:eastAsia="宋体" w:cs="宋体"/>
                <w:sz w:val="21"/>
                <w:szCs w:val="21"/>
                <w:highlight w:val="none"/>
              </w:rPr>
            </w:pPr>
          </w:p>
        </w:tc>
        <w:tc>
          <w:tcPr>
            <w:tcW w:w="507" w:type="pct"/>
            <w:noWrap w:val="0"/>
            <w:vAlign w:val="center"/>
          </w:tcPr>
          <w:p w14:paraId="69C0778C">
            <w:pPr>
              <w:jc w:val="center"/>
              <w:rPr>
                <w:rFonts w:hint="eastAsia" w:ascii="宋体" w:hAnsi="宋体" w:eastAsia="宋体" w:cs="宋体"/>
                <w:sz w:val="21"/>
                <w:szCs w:val="21"/>
                <w:highlight w:val="none"/>
              </w:rPr>
            </w:pPr>
          </w:p>
        </w:tc>
        <w:tc>
          <w:tcPr>
            <w:tcW w:w="421" w:type="pct"/>
            <w:noWrap w:val="0"/>
            <w:vAlign w:val="center"/>
          </w:tcPr>
          <w:p w14:paraId="46E8A12E">
            <w:pPr>
              <w:jc w:val="center"/>
              <w:rPr>
                <w:rFonts w:hint="eastAsia" w:ascii="宋体" w:hAnsi="宋体" w:eastAsia="宋体" w:cs="宋体"/>
                <w:sz w:val="21"/>
                <w:szCs w:val="21"/>
                <w:highlight w:val="none"/>
              </w:rPr>
            </w:pPr>
          </w:p>
        </w:tc>
      </w:tr>
      <w:tr w14:paraId="057DC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760" w:hRule="exact"/>
          <w:jc w:val="center"/>
        </w:trPr>
        <w:tc>
          <w:tcPr>
            <w:tcW w:w="352" w:type="pct"/>
            <w:noWrap w:val="0"/>
            <w:vAlign w:val="center"/>
          </w:tcPr>
          <w:p w14:paraId="64A4F2A0">
            <w:pPr>
              <w:jc w:val="center"/>
              <w:rPr>
                <w:rFonts w:hint="eastAsia" w:ascii="宋体" w:hAnsi="宋体" w:eastAsia="宋体" w:cs="宋体"/>
                <w:sz w:val="21"/>
                <w:szCs w:val="21"/>
                <w:highlight w:val="none"/>
              </w:rPr>
            </w:pPr>
          </w:p>
        </w:tc>
        <w:tc>
          <w:tcPr>
            <w:tcW w:w="507" w:type="pct"/>
            <w:noWrap w:val="0"/>
            <w:vAlign w:val="center"/>
          </w:tcPr>
          <w:p w14:paraId="6DE6E522">
            <w:pPr>
              <w:jc w:val="center"/>
              <w:rPr>
                <w:rFonts w:hint="eastAsia" w:ascii="宋体" w:hAnsi="宋体" w:eastAsia="宋体" w:cs="宋体"/>
                <w:sz w:val="21"/>
                <w:szCs w:val="21"/>
                <w:highlight w:val="none"/>
              </w:rPr>
            </w:pPr>
          </w:p>
        </w:tc>
        <w:tc>
          <w:tcPr>
            <w:tcW w:w="507" w:type="pct"/>
            <w:noWrap w:val="0"/>
            <w:vAlign w:val="center"/>
          </w:tcPr>
          <w:p w14:paraId="1E72FBF2">
            <w:pPr>
              <w:jc w:val="center"/>
              <w:rPr>
                <w:rFonts w:hint="eastAsia" w:ascii="宋体" w:hAnsi="宋体" w:eastAsia="宋体" w:cs="宋体"/>
                <w:sz w:val="21"/>
                <w:szCs w:val="21"/>
                <w:highlight w:val="none"/>
              </w:rPr>
            </w:pPr>
          </w:p>
        </w:tc>
        <w:tc>
          <w:tcPr>
            <w:tcW w:w="507" w:type="pct"/>
            <w:noWrap w:val="0"/>
            <w:vAlign w:val="center"/>
          </w:tcPr>
          <w:p w14:paraId="29FA08F4">
            <w:pPr>
              <w:jc w:val="center"/>
              <w:rPr>
                <w:rFonts w:hint="eastAsia" w:ascii="宋体" w:hAnsi="宋体" w:eastAsia="宋体" w:cs="宋体"/>
                <w:sz w:val="21"/>
                <w:szCs w:val="21"/>
                <w:highlight w:val="none"/>
              </w:rPr>
            </w:pPr>
          </w:p>
        </w:tc>
        <w:tc>
          <w:tcPr>
            <w:tcW w:w="507" w:type="pct"/>
            <w:noWrap w:val="0"/>
            <w:vAlign w:val="center"/>
          </w:tcPr>
          <w:p w14:paraId="23F47D46">
            <w:pPr>
              <w:jc w:val="center"/>
              <w:rPr>
                <w:rFonts w:hint="eastAsia" w:ascii="宋体" w:hAnsi="宋体" w:eastAsia="宋体" w:cs="宋体"/>
                <w:sz w:val="21"/>
                <w:szCs w:val="21"/>
                <w:highlight w:val="none"/>
              </w:rPr>
            </w:pPr>
          </w:p>
        </w:tc>
        <w:tc>
          <w:tcPr>
            <w:tcW w:w="507" w:type="pct"/>
            <w:noWrap w:val="0"/>
            <w:vAlign w:val="center"/>
          </w:tcPr>
          <w:p w14:paraId="46F1489D">
            <w:pPr>
              <w:jc w:val="center"/>
              <w:rPr>
                <w:rFonts w:hint="eastAsia" w:ascii="宋体" w:hAnsi="宋体" w:eastAsia="宋体" w:cs="宋体"/>
                <w:sz w:val="21"/>
                <w:szCs w:val="21"/>
                <w:highlight w:val="none"/>
              </w:rPr>
            </w:pPr>
          </w:p>
        </w:tc>
        <w:tc>
          <w:tcPr>
            <w:tcW w:w="591" w:type="pct"/>
            <w:noWrap w:val="0"/>
            <w:vAlign w:val="center"/>
          </w:tcPr>
          <w:p w14:paraId="77976C65">
            <w:pPr>
              <w:jc w:val="center"/>
              <w:rPr>
                <w:rFonts w:hint="eastAsia" w:ascii="宋体" w:hAnsi="宋体" w:eastAsia="宋体" w:cs="宋体"/>
                <w:sz w:val="21"/>
                <w:szCs w:val="21"/>
                <w:highlight w:val="none"/>
              </w:rPr>
            </w:pPr>
          </w:p>
        </w:tc>
        <w:tc>
          <w:tcPr>
            <w:tcW w:w="591" w:type="pct"/>
            <w:noWrap w:val="0"/>
            <w:vAlign w:val="center"/>
          </w:tcPr>
          <w:p w14:paraId="6FB2CA6C">
            <w:pPr>
              <w:jc w:val="center"/>
              <w:rPr>
                <w:rFonts w:hint="eastAsia" w:ascii="宋体" w:hAnsi="宋体" w:eastAsia="宋体" w:cs="宋体"/>
                <w:sz w:val="21"/>
                <w:szCs w:val="21"/>
                <w:highlight w:val="none"/>
              </w:rPr>
            </w:pPr>
          </w:p>
        </w:tc>
        <w:tc>
          <w:tcPr>
            <w:tcW w:w="507" w:type="pct"/>
            <w:noWrap w:val="0"/>
            <w:vAlign w:val="center"/>
          </w:tcPr>
          <w:p w14:paraId="09F0B24A">
            <w:pPr>
              <w:jc w:val="center"/>
              <w:rPr>
                <w:rFonts w:hint="eastAsia" w:ascii="宋体" w:hAnsi="宋体" w:eastAsia="宋体" w:cs="宋体"/>
                <w:sz w:val="21"/>
                <w:szCs w:val="21"/>
                <w:highlight w:val="none"/>
              </w:rPr>
            </w:pPr>
          </w:p>
        </w:tc>
        <w:tc>
          <w:tcPr>
            <w:tcW w:w="421" w:type="pct"/>
            <w:noWrap w:val="0"/>
            <w:vAlign w:val="center"/>
          </w:tcPr>
          <w:p w14:paraId="78803AE0">
            <w:pPr>
              <w:jc w:val="center"/>
              <w:rPr>
                <w:rFonts w:hint="eastAsia" w:ascii="宋体" w:hAnsi="宋体" w:eastAsia="宋体" w:cs="宋体"/>
                <w:sz w:val="21"/>
                <w:szCs w:val="21"/>
                <w:highlight w:val="none"/>
              </w:rPr>
            </w:pPr>
          </w:p>
        </w:tc>
      </w:tr>
    </w:tbl>
    <w:p w14:paraId="08165CCF">
      <w:pPr>
        <w:autoSpaceDE w:val="0"/>
        <w:autoSpaceDN w:val="0"/>
        <w:adjustRightInd w:val="0"/>
        <w:snapToGrid w:val="0"/>
        <w:spacing w:line="360" w:lineRule="auto"/>
        <w:ind w:left="481" w:leftChars="-41" w:hanging="567" w:hangingChars="270"/>
        <w:jc w:val="left"/>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备注：</w:t>
      </w:r>
    </w:p>
    <w:p w14:paraId="16DF5983">
      <w:pPr>
        <w:numPr>
          <w:ilvl w:val="0"/>
          <w:numId w:val="3"/>
        </w:numPr>
        <w:autoSpaceDE w:val="0"/>
        <w:autoSpaceDN w:val="0"/>
        <w:adjustRightInd w:val="0"/>
        <w:snapToGrid w:val="0"/>
        <w:spacing w:line="360" w:lineRule="auto"/>
        <w:ind w:left="481" w:leftChars="-41" w:hanging="567" w:hangingChars="270"/>
        <w:jc w:val="left"/>
        <w:rPr>
          <w:rFonts w:hint="eastAsia" w:ascii="宋体" w:hAnsi="宋体" w:eastAsia="宋体" w:cs="宋体"/>
          <w:b w:val="0"/>
          <w:bCs w:val="0"/>
          <w:color w:val="auto"/>
          <w:szCs w:val="21"/>
          <w:highlight w:val="none"/>
          <w:lang w:bidi="ar"/>
        </w:rPr>
      </w:pPr>
      <w:r>
        <w:rPr>
          <w:rFonts w:ascii="宋体" w:hAnsi="宋体" w:eastAsia="宋体" w:cs="宋体"/>
          <w:szCs w:val="21"/>
          <w:highlight w:val="none"/>
        </w:rPr>
        <w:t>业</w:t>
      </w:r>
      <w:r>
        <w:rPr>
          <w:rFonts w:ascii="宋体" w:hAnsi="宋体" w:eastAsia="宋体" w:cs="宋体"/>
          <w:b w:val="0"/>
          <w:bCs w:val="0"/>
          <w:szCs w:val="21"/>
          <w:highlight w:val="none"/>
        </w:rPr>
        <w:t>绩按</w:t>
      </w:r>
      <w:r>
        <w:rPr>
          <w:rFonts w:hint="eastAsia" w:ascii="宋体" w:hAnsi="宋体" w:eastAsia="宋体" w:cs="宋体"/>
          <w:b w:val="0"/>
          <w:bCs w:val="0"/>
          <w:szCs w:val="21"/>
          <w:highlight w:val="none"/>
        </w:rPr>
        <w:t>日处置量</w:t>
      </w:r>
      <w:r>
        <w:rPr>
          <w:rFonts w:ascii="宋体" w:hAnsi="宋体" w:eastAsia="宋体" w:cs="宋体"/>
          <w:b w:val="0"/>
          <w:bCs w:val="0"/>
          <w:szCs w:val="21"/>
          <w:highlight w:val="none"/>
        </w:rPr>
        <w:t>从高到低的方式排列</w:t>
      </w:r>
      <w:r>
        <w:rPr>
          <w:rFonts w:hint="eastAsia" w:ascii="宋体" w:hAnsi="宋体" w:eastAsia="宋体" w:cs="宋体"/>
          <w:b w:val="0"/>
          <w:bCs w:val="0"/>
          <w:color w:val="auto"/>
          <w:szCs w:val="21"/>
          <w:highlight w:val="none"/>
          <w:lang w:val="en-US" w:eastAsia="zh-CN" w:bidi="ar"/>
        </w:rPr>
        <w:t>。</w:t>
      </w:r>
    </w:p>
    <w:p w14:paraId="0A68F1F6">
      <w:pPr>
        <w:numPr>
          <w:ilvl w:val="0"/>
          <w:numId w:val="3"/>
        </w:numPr>
        <w:autoSpaceDE w:val="0"/>
        <w:autoSpaceDN w:val="0"/>
        <w:adjustRightInd w:val="0"/>
        <w:snapToGrid w:val="0"/>
        <w:spacing w:line="360" w:lineRule="auto"/>
        <w:ind w:left="481" w:leftChars="-41" w:hanging="567" w:hangingChars="270"/>
        <w:jc w:val="left"/>
        <w:rPr>
          <w:rFonts w:hint="eastAsia" w:ascii="宋体" w:hAnsi="宋体" w:eastAsia="宋体" w:cs="宋体"/>
          <w:b w:val="0"/>
          <w:bCs w:val="0"/>
          <w:color w:val="auto"/>
          <w:szCs w:val="21"/>
          <w:highlight w:val="none"/>
          <w:lang w:bidi="ar"/>
        </w:rPr>
      </w:pPr>
      <w:r>
        <w:rPr>
          <w:rFonts w:hint="eastAsia" w:ascii="宋体" w:hAnsi="宋体" w:eastAsia="宋体" w:cs="宋体"/>
          <w:b w:val="0"/>
          <w:bCs w:val="0"/>
          <w:szCs w:val="21"/>
          <w:highlight w:val="none"/>
        </w:rPr>
        <w:t>业绩必须附合同原件扫描件（合同服务提供方为</w:t>
      </w:r>
      <w:r>
        <w:rPr>
          <w:rFonts w:hint="eastAsia" w:ascii="宋体" w:hAnsi="宋体" w:eastAsia="宋体" w:cs="宋体"/>
          <w:b w:val="0"/>
          <w:bCs w:val="0"/>
          <w:szCs w:val="21"/>
          <w:highlight w:val="none"/>
          <w:lang w:eastAsia="zh-CN"/>
        </w:rPr>
        <w:t>投标人</w:t>
      </w:r>
      <w:r>
        <w:rPr>
          <w:rFonts w:hint="eastAsia" w:ascii="宋体" w:hAnsi="宋体" w:eastAsia="宋体" w:cs="宋体"/>
          <w:b w:val="0"/>
          <w:bCs w:val="0"/>
          <w:szCs w:val="21"/>
          <w:highlight w:val="none"/>
        </w:rPr>
        <w:t>）。合同必须反映评分条件（合同签订日期、服务内容、日处置量、合同期限），合同服务内容必须含有市政（生活/城市/城镇污水处理厂、净水厂）泥粉/污泥处理或处置</w:t>
      </w:r>
      <w:r>
        <w:rPr>
          <w:rFonts w:hint="eastAsia" w:ascii="宋体" w:hAnsi="宋体" w:eastAsia="宋体" w:cs="宋体"/>
          <w:b w:val="0"/>
          <w:bCs w:val="0"/>
          <w:szCs w:val="21"/>
          <w:highlight w:val="none"/>
          <w:lang w:eastAsia="zh-CN"/>
        </w:rPr>
        <w:t>，</w:t>
      </w:r>
      <w:r>
        <w:rPr>
          <w:rFonts w:hint="eastAsia" w:ascii="宋体" w:hAnsi="宋体" w:eastAsia="宋体" w:cs="宋体"/>
          <w:b w:val="0"/>
          <w:bCs w:val="0"/>
          <w:szCs w:val="21"/>
          <w:highlight w:val="none"/>
        </w:rPr>
        <w:t>否则，需同时提供服务委托方出具的书面补充情况说明文件原件扫描件（需加盖服务委托方公章，即原件扫描件能显示服务委托方公章）或提供加盖委托方公章反映评分条件的招标文件扫描件，否则不得分。业绩为框架式协议或资格入围无明确处置量的合同则按本项第（</w:t>
      </w:r>
      <w:r>
        <w:rPr>
          <w:rFonts w:hint="eastAsia" w:ascii="宋体" w:hAnsi="宋体" w:eastAsia="宋体" w:cs="宋体"/>
          <w:b w:val="0"/>
          <w:bCs w:val="0"/>
          <w:szCs w:val="21"/>
          <w:highlight w:val="none"/>
          <w:lang w:val="en-US" w:eastAsia="zh-CN"/>
        </w:rPr>
        <w:t>3</w:t>
      </w:r>
      <w:r>
        <w:rPr>
          <w:rFonts w:hint="eastAsia" w:ascii="宋体" w:hAnsi="宋体" w:eastAsia="宋体" w:cs="宋体"/>
          <w:b w:val="0"/>
          <w:bCs w:val="0"/>
          <w:szCs w:val="21"/>
          <w:highlight w:val="none"/>
        </w:rPr>
        <w:t>）点要求提供证明材料。</w:t>
      </w:r>
    </w:p>
    <w:p w14:paraId="686DAC27">
      <w:pPr>
        <w:numPr>
          <w:ilvl w:val="0"/>
          <w:numId w:val="3"/>
        </w:numPr>
        <w:autoSpaceDE w:val="0"/>
        <w:autoSpaceDN w:val="0"/>
        <w:adjustRightInd w:val="0"/>
        <w:snapToGrid w:val="0"/>
        <w:spacing w:line="360" w:lineRule="auto"/>
        <w:ind w:left="481" w:leftChars="-41" w:hanging="567" w:hangingChars="270"/>
        <w:jc w:val="left"/>
        <w:rPr>
          <w:rFonts w:hint="eastAsia" w:ascii="宋体" w:hAnsi="宋体" w:eastAsia="宋体" w:cs="宋体"/>
          <w:color w:val="auto"/>
          <w:szCs w:val="21"/>
          <w:highlight w:val="none"/>
          <w:lang w:bidi="ar"/>
        </w:rPr>
      </w:pPr>
      <w:r>
        <w:rPr>
          <w:rFonts w:hint="eastAsia" w:ascii="宋体" w:hAnsi="宋体" w:eastAsia="宋体" w:cs="宋体"/>
          <w:b w:val="0"/>
          <w:bCs w:val="0"/>
          <w:color w:val="auto"/>
          <w:szCs w:val="21"/>
          <w:highlight w:val="none"/>
          <w:lang w:val="zh-CN" w:bidi="ar"/>
        </w:rPr>
        <w:t>若业绩为框架式协议或资格入围</w:t>
      </w:r>
      <w:r>
        <w:rPr>
          <w:rFonts w:hint="eastAsia" w:ascii="宋体" w:hAnsi="宋体" w:eastAsia="宋体" w:cs="宋体"/>
          <w:b w:val="0"/>
          <w:bCs w:val="0"/>
          <w:color w:val="auto"/>
          <w:szCs w:val="21"/>
          <w:highlight w:val="none"/>
          <w:lang w:val="en-US" w:eastAsia="zh-CN" w:bidi="ar"/>
        </w:rPr>
        <w:t>等</w:t>
      </w:r>
      <w:r>
        <w:rPr>
          <w:rFonts w:hint="eastAsia" w:ascii="宋体" w:hAnsi="宋体" w:eastAsia="宋体" w:cs="宋体"/>
          <w:b w:val="0"/>
          <w:bCs w:val="0"/>
          <w:color w:val="auto"/>
          <w:szCs w:val="21"/>
          <w:highlight w:val="none"/>
          <w:lang w:val="zh-CN" w:bidi="ar"/>
        </w:rPr>
        <w:t>无明确日处置量的合同，必须提供合同期限内单个月份已处置的泥粉/污泥处置量统计表和泥粉/污泥</w:t>
      </w:r>
      <w:r>
        <w:rPr>
          <w:rFonts w:hint="eastAsia" w:ascii="宋体" w:hAnsi="宋体" w:eastAsia="宋体" w:cs="宋体"/>
          <w:color w:val="auto"/>
          <w:szCs w:val="21"/>
          <w:highlight w:val="none"/>
          <w:lang w:val="zh-CN" w:bidi="ar"/>
        </w:rPr>
        <w:t>转运联单扫描件（无转运联单的，提供服务发票扫描件及折算处置量数据或泥粉/污泥产生单位盖章的证明文件原件扫描件替代）以证明日处置量，日处置量按合同期限内单个月份已处置的泥粉/污泥量除以单个月份自然天数进行计算，并以此进行评审。</w:t>
      </w:r>
    </w:p>
    <w:p w14:paraId="7523E60A">
      <w:pPr>
        <w:autoSpaceDE w:val="0"/>
        <w:autoSpaceDN w:val="0"/>
        <w:adjustRightInd w:val="0"/>
        <w:snapToGrid w:val="0"/>
        <w:spacing w:line="360" w:lineRule="auto"/>
        <w:ind w:left="481" w:leftChars="-41" w:hanging="567" w:hangingChars="270"/>
        <w:jc w:val="left"/>
        <w:rPr>
          <w:rFonts w:hint="eastAsia" w:ascii="宋体" w:hAnsi="宋体" w:eastAsia="宋体" w:cs="宋体"/>
          <w:b w:val="0"/>
          <w:bCs w:val="0"/>
          <w:color w:val="auto"/>
          <w:szCs w:val="21"/>
          <w:highlight w:val="none"/>
          <w:lang w:eastAsia="zh-CN" w:bidi="ar"/>
        </w:rPr>
      </w:pPr>
      <w:r>
        <w:rPr>
          <w:rFonts w:hint="eastAsia" w:ascii="宋体" w:hAnsi="宋体" w:eastAsia="宋体" w:cs="宋体"/>
          <w:color w:val="auto"/>
          <w:szCs w:val="21"/>
          <w:highlight w:val="none"/>
          <w:lang w:bidi="ar"/>
        </w:rPr>
        <w:t>（</w:t>
      </w:r>
      <w:r>
        <w:rPr>
          <w:rFonts w:hint="eastAsia" w:ascii="宋体" w:hAnsi="宋体" w:eastAsia="宋体" w:cs="宋体"/>
          <w:color w:val="auto"/>
          <w:szCs w:val="21"/>
          <w:highlight w:val="none"/>
          <w:lang w:val="en-US" w:eastAsia="zh-CN" w:bidi="ar"/>
        </w:rPr>
        <w:t>4</w:t>
      </w:r>
      <w:r>
        <w:rPr>
          <w:rFonts w:hint="eastAsia" w:ascii="宋体" w:hAnsi="宋体" w:eastAsia="宋体" w:cs="宋体"/>
          <w:color w:val="auto"/>
          <w:szCs w:val="21"/>
          <w:highlight w:val="none"/>
          <w:lang w:bidi="ar"/>
        </w:rPr>
        <w:t>）处置量按日处置量进行评</w:t>
      </w:r>
      <w:r>
        <w:rPr>
          <w:rFonts w:hint="eastAsia" w:ascii="宋体" w:hAnsi="宋体" w:eastAsia="宋体" w:cs="宋体"/>
          <w:color w:val="auto"/>
          <w:szCs w:val="21"/>
          <w:highlight w:val="none"/>
          <w:lang w:val="en-US" w:eastAsia="zh-CN" w:bidi="ar"/>
        </w:rPr>
        <w:t>标</w:t>
      </w:r>
      <w:r>
        <w:rPr>
          <w:rFonts w:hint="eastAsia" w:ascii="宋体" w:hAnsi="宋体" w:eastAsia="宋体" w:cs="宋体"/>
          <w:color w:val="auto"/>
          <w:szCs w:val="21"/>
          <w:highlight w:val="none"/>
          <w:lang w:bidi="ar"/>
        </w:rPr>
        <w:t>，如业绩合同中的处置量为合同服务期限内处置总量，则按合同服务期限的天数进行折</w:t>
      </w:r>
      <w:r>
        <w:rPr>
          <w:rFonts w:hint="eastAsia" w:ascii="宋体" w:hAnsi="宋体" w:eastAsia="宋体" w:cs="宋体"/>
          <w:b w:val="0"/>
          <w:bCs w:val="0"/>
          <w:color w:val="auto"/>
          <w:szCs w:val="21"/>
          <w:highlight w:val="none"/>
          <w:lang w:bidi="ar"/>
        </w:rPr>
        <w:t>算为日处置量（例如业绩合同的处置能力为3万吨的，合同服务期限为300天，则日处置量按30000/300=100吨/天进行折算）</w:t>
      </w:r>
      <w:r>
        <w:rPr>
          <w:rFonts w:hint="eastAsia" w:ascii="宋体" w:hAnsi="宋体" w:eastAsia="宋体" w:cs="宋体"/>
          <w:b w:val="0"/>
          <w:bCs w:val="0"/>
          <w:color w:val="auto"/>
          <w:szCs w:val="21"/>
          <w:highlight w:val="none"/>
          <w:lang w:val="en-US" w:eastAsia="zh-CN" w:bidi="ar"/>
        </w:rPr>
        <w:t>.</w:t>
      </w:r>
    </w:p>
    <w:p w14:paraId="02E8C175">
      <w:pPr>
        <w:autoSpaceDE/>
        <w:autoSpaceDN/>
        <w:adjustRightInd/>
        <w:snapToGrid w:val="0"/>
        <w:spacing w:line="360" w:lineRule="auto"/>
        <w:ind w:left="481" w:leftChars="-41" w:hanging="567" w:hangingChars="270"/>
        <w:jc w:val="left"/>
        <w:rPr>
          <w:rFonts w:ascii="宋体" w:hAnsi="宋体" w:eastAsia="宋体" w:cs="宋体"/>
          <w:color w:val="auto"/>
          <w:kern w:val="0"/>
          <w:szCs w:val="21"/>
          <w:highlight w:val="none"/>
        </w:rPr>
      </w:pPr>
      <w:r>
        <w:rPr>
          <w:rFonts w:hint="eastAsia" w:ascii="宋体" w:hAnsi="宋体" w:eastAsia="宋体" w:cs="宋体"/>
          <w:b w:val="0"/>
          <w:bCs w:val="0"/>
          <w:color w:val="auto"/>
          <w:szCs w:val="21"/>
          <w:highlight w:val="none"/>
          <w:lang w:eastAsia="zh-CN" w:bidi="ar"/>
        </w:rPr>
        <w:t>（</w:t>
      </w:r>
      <w:r>
        <w:rPr>
          <w:rFonts w:hint="eastAsia" w:ascii="宋体" w:hAnsi="宋体" w:eastAsia="宋体" w:cs="宋体"/>
          <w:b w:val="0"/>
          <w:bCs w:val="0"/>
          <w:color w:val="auto"/>
          <w:szCs w:val="21"/>
          <w:highlight w:val="none"/>
          <w:lang w:val="en-US" w:eastAsia="zh-CN" w:bidi="ar"/>
        </w:rPr>
        <w:t>5</w:t>
      </w:r>
      <w:r>
        <w:rPr>
          <w:rFonts w:hint="eastAsia" w:ascii="宋体" w:hAnsi="宋体" w:eastAsia="宋体" w:cs="宋体"/>
          <w:b w:val="0"/>
          <w:bCs w:val="0"/>
          <w:color w:val="auto"/>
          <w:szCs w:val="21"/>
          <w:highlight w:val="none"/>
          <w:lang w:eastAsia="zh-CN" w:bidi="ar"/>
        </w:rPr>
        <w:t>）</w:t>
      </w:r>
      <w:r>
        <w:rPr>
          <w:rFonts w:hint="eastAsia" w:ascii="宋体" w:hAnsi="宋体" w:eastAsia="宋体" w:cs="宋体"/>
          <w:b w:val="0"/>
          <w:bCs w:val="0"/>
          <w:color w:val="auto"/>
          <w:szCs w:val="21"/>
          <w:highlight w:val="none"/>
          <w:lang w:bidi="ar"/>
        </w:rPr>
        <w:t>未按上述要求提供证明材料的业绩，或所附材料无法证明填报项目</w:t>
      </w:r>
      <w:r>
        <w:rPr>
          <w:rFonts w:hint="eastAsia" w:ascii="宋体" w:hAnsi="宋体" w:eastAsia="宋体" w:cs="宋体"/>
          <w:b w:val="0"/>
          <w:bCs w:val="0"/>
          <w:szCs w:val="21"/>
          <w:highlight w:val="none"/>
        </w:rPr>
        <w:t>属</w:t>
      </w:r>
      <w:r>
        <w:rPr>
          <w:rFonts w:hint="eastAsia" w:ascii="宋体" w:hAnsi="宋体" w:eastAsia="宋体" w:cs="宋体"/>
          <w:b w:val="0"/>
          <w:bCs w:val="0"/>
          <w:szCs w:val="21"/>
          <w:highlight w:val="none"/>
          <w:lang w:val="en-US" w:eastAsia="zh-CN"/>
        </w:rPr>
        <w:t>投标人</w:t>
      </w:r>
      <w:r>
        <w:rPr>
          <w:rFonts w:hint="eastAsia" w:ascii="宋体" w:hAnsi="宋体" w:eastAsia="宋体" w:cs="宋体"/>
          <w:b w:val="0"/>
          <w:bCs w:val="0"/>
          <w:szCs w:val="21"/>
          <w:highlight w:val="none"/>
        </w:rPr>
        <w:t>完成的或</w:t>
      </w:r>
      <w:r>
        <w:rPr>
          <w:rFonts w:hint="eastAsia" w:ascii="宋体" w:hAnsi="宋体" w:eastAsia="宋体" w:cs="宋体"/>
          <w:b w:val="0"/>
          <w:bCs w:val="0"/>
          <w:color w:val="auto"/>
          <w:szCs w:val="21"/>
          <w:highlight w:val="none"/>
          <w:lang w:bidi="ar"/>
        </w:rPr>
        <w:t>符合评分要求的业绩，在</w:t>
      </w:r>
      <w:r>
        <w:rPr>
          <w:rFonts w:hint="eastAsia" w:ascii="宋体" w:hAnsi="宋体" w:eastAsia="宋体" w:cs="宋体"/>
          <w:b w:val="0"/>
          <w:bCs w:val="0"/>
          <w:color w:val="auto"/>
          <w:szCs w:val="21"/>
          <w:highlight w:val="none"/>
          <w:lang w:eastAsia="zh-CN" w:bidi="ar"/>
        </w:rPr>
        <w:t>评</w:t>
      </w:r>
      <w:r>
        <w:rPr>
          <w:rFonts w:hint="eastAsia" w:ascii="宋体" w:hAnsi="宋体" w:eastAsia="宋体" w:cs="宋体"/>
          <w:b w:val="0"/>
          <w:bCs w:val="0"/>
          <w:color w:val="auto"/>
          <w:szCs w:val="21"/>
          <w:highlight w:val="none"/>
          <w:lang w:val="en-US" w:eastAsia="zh-CN" w:bidi="ar"/>
        </w:rPr>
        <w:t>标</w:t>
      </w:r>
      <w:r>
        <w:rPr>
          <w:rFonts w:hint="eastAsia" w:ascii="宋体" w:hAnsi="宋体" w:eastAsia="宋体" w:cs="宋体"/>
          <w:b w:val="0"/>
          <w:bCs w:val="0"/>
          <w:color w:val="auto"/>
          <w:szCs w:val="21"/>
          <w:highlight w:val="none"/>
          <w:lang w:bidi="ar"/>
        </w:rPr>
        <w:t>时将不予考虑。</w:t>
      </w:r>
    </w:p>
    <w:p w14:paraId="53A5C000">
      <w:pPr>
        <w:autoSpaceDE w:val="0"/>
        <w:autoSpaceDN w:val="0"/>
        <w:adjustRightInd w:val="0"/>
        <w:spacing w:line="360" w:lineRule="auto"/>
        <w:ind w:firstLine="5040" w:firstLineChars="2400"/>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bidi="ar"/>
        </w:rPr>
        <w:t xml:space="preserve"> </w:t>
      </w:r>
    </w:p>
    <w:p w14:paraId="5B3354F3">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2F55EE88">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19FF0945">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11E33F9F">
      <w:pPr>
        <w:widowControl/>
        <w:autoSpaceDE w:val="0"/>
        <w:autoSpaceDN w:val="0"/>
        <w:adjustRightInd w:val="0"/>
        <w:spacing w:line="360" w:lineRule="auto"/>
        <w:ind w:left="0" w:leftChars="0"/>
        <w:jc w:val="center"/>
        <w:rPr>
          <w:rFonts w:hint="eastAsia" w:ascii="宋体" w:hAnsi="宋体" w:eastAsia="宋体" w:cs="Times New Roman"/>
          <w:b/>
          <w:bCs/>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说明：由投标人使用投标人的企业数字证书电子签名。</w:t>
      </w:r>
      <w:bookmarkEnd w:id="806"/>
      <w:bookmarkEnd w:id="807"/>
      <w:bookmarkStart w:id="810" w:name="_Toc29652"/>
      <w:bookmarkStart w:id="811" w:name="_Toc102860428"/>
      <w:bookmarkStart w:id="812" w:name="_Toc94107221"/>
      <w:bookmarkStart w:id="813" w:name="_Toc2007"/>
      <w:bookmarkStart w:id="814" w:name="_Toc140596939"/>
      <w:bookmarkStart w:id="815" w:name="_Toc24616"/>
      <w:bookmarkStart w:id="816" w:name="_Toc142508379"/>
      <w:bookmarkStart w:id="817" w:name="_Toc1977738"/>
      <w:bookmarkStart w:id="818" w:name="_Toc104991886"/>
      <w:bookmarkStart w:id="819" w:name="_Toc102860084"/>
      <w:bookmarkStart w:id="820" w:name="_Toc533708134"/>
      <w:bookmarkStart w:id="821" w:name="_Toc486167721"/>
    </w:p>
    <w:p w14:paraId="52C220C6">
      <w:pPr>
        <w:widowControl/>
        <w:autoSpaceDE/>
        <w:autoSpaceDN/>
        <w:adjustRightInd/>
        <w:spacing w:line="240" w:lineRule="auto"/>
        <w:ind w:left="0" w:leftChars="0"/>
        <w:jc w:val="left"/>
        <w:rPr>
          <w:rFonts w:hint="eastAsia" w:ascii="宋体" w:hAnsi="宋体" w:eastAsia="宋体" w:cs="Times New Roman"/>
          <w:b/>
          <w:bCs/>
          <w:color w:val="auto"/>
          <w:szCs w:val="24"/>
          <w:highlight w:val="none"/>
          <w:lang w:val="zh-CN"/>
        </w:rPr>
      </w:pPr>
      <w:r>
        <w:rPr>
          <w:rFonts w:hint="eastAsia" w:ascii="宋体" w:hAnsi="宋体" w:eastAsia="宋体" w:cs="Times New Roman"/>
          <w:b/>
          <w:bCs/>
          <w:color w:val="auto"/>
          <w:szCs w:val="24"/>
          <w:highlight w:val="none"/>
          <w:lang w:val="zh-CN"/>
        </w:rPr>
        <w:br w:type="page"/>
      </w:r>
    </w:p>
    <w:p w14:paraId="55B8AB33">
      <w:pPr>
        <w:pageBreakBefore w:val="0"/>
        <w:numPr>
          <w:ilvl w:val="-1"/>
          <w:numId w:val="0"/>
        </w:numPr>
        <w:tabs>
          <w:tab w:val="left" w:pos="567"/>
        </w:tabs>
        <w:autoSpaceDE w:val="0"/>
        <w:autoSpaceDN w:val="0"/>
        <w:adjustRightInd w:val="0"/>
        <w:spacing w:line="360" w:lineRule="auto"/>
        <w:ind w:left="357" w:leftChars="-100" w:hanging="567"/>
        <w:jc w:val="left"/>
        <w:outlineLvl w:val="3"/>
        <w:rPr>
          <w:rFonts w:hint="eastAsia" w:ascii="宋体" w:hAnsi="宋体" w:eastAsia="宋体" w:cs="宋体"/>
          <w:b/>
          <w:color w:val="auto"/>
          <w:sz w:val="32"/>
          <w:szCs w:val="32"/>
          <w:highlight w:val="none"/>
          <w:lang w:val="en-US" w:eastAsia="zh-CN"/>
        </w:rPr>
      </w:pPr>
      <w:bookmarkStart w:id="822" w:name="_Toc6421"/>
      <w:r>
        <w:rPr>
          <w:rFonts w:hint="eastAsia" w:ascii="宋体" w:hAnsi="宋体" w:eastAsia="宋体" w:cs="宋体"/>
          <w:b/>
          <w:bCs/>
          <w:color w:val="auto"/>
          <w:kern w:val="0"/>
          <w:sz w:val="32"/>
          <w:szCs w:val="32"/>
          <w:highlight w:val="none"/>
          <w:lang w:val="en-US" w:eastAsia="zh-CN"/>
        </w:rPr>
        <w:t>十一</w:t>
      </w:r>
      <w:r>
        <w:rPr>
          <w:rFonts w:hint="eastAsia" w:ascii="宋体" w:hAnsi="宋体" w:eastAsia="宋体" w:cs="宋体"/>
          <w:b/>
          <w:bCs/>
          <w:color w:val="auto"/>
          <w:kern w:val="0"/>
          <w:sz w:val="32"/>
          <w:szCs w:val="32"/>
          <w:highlight w:val="none"/>
          <w:lang w:val="zh-CN"/>
        </w:rPr>
        <w:t>、</w:t>
      </w:r>
      <w:bookmarkEnd w:id="822"/>
      <w:r>
        <w:rPr>
          <w:rFonts w:hint="eastAsia" w:ascii="宋体" w:hAnsi="宋体" w:eastAsia="宋体" w:cs="宋体"/>
          <w:b/>
          <w:bCs/>
          <w:color w:val="auto"/>
          <w:kern w:val="0"/>
          <w:sz w:val="32"/>
          <w:szCs w:val="32"/>
          <w:highlight w:val="none"/>
          <w:lang w:val="zh-CN"/>
        </w:rPr>
        <w:t>服务便利性响应时间承诺表</w:t>
      </w:r>
      <w:r>
        <w:rPr>
          <w:rFonts w:hint="eastAsia" w:ascii="宋体" w:hAnsi="宋体" w:cs="宋体"/>
          <w:b/>
          <w:bCs/>
          <w:color w:val="auto"/>
          <w:kern w:val="0"/>
          <w:sz w:val="32"/>
          <w:szCs w:val="32"/>
          <w:highlight w:val="none"/>
          <w:lang w:val="en-US" w:eastAsia="zh-CN"/>
        </w:rPr>
        <w:t>格式</w:t>
      </w:r>
    </w:p>
    <w:p w14:paraId="7914AF60">
      <w:pPr>
        <w:ind w:left="657" w:hanging="867"/>
        <w:jc w:val="center"/>
        <w:rPr>
          <w:rFonts w:hint="eastAsia" w:ascii="宋体" w:hAnsi="宋体" w:eastAsia="宋体" w:cs="宋体"/>
          <w:b/>
          <w:color w:val="auto"/>
          <w:sz w:val="32"/>
          <w:szCs w:val="32"/>
          <w:highlight w:val="none"/>
        </w:rPr>
      </w:pPr>
    </w:p>
    <w:p w14:paraId="6031B104">
      <w:pPr>
        <w:ind w:left="657" w:hanging="867"/>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服务便利性响应时间承诺表</w:t>
      </w:r>
    </w:p>
    <w:tbl>
      <w:tblPr>
        <w:tblStyle w:val="5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6"/>
        <w:gridCol w:w="8912"/>
      </w:tblGrid>
      <w:tr w14:paraId="2C3E3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1456" w:type="dxa"/>
            <w:vAlign w:val="center"/>
          </w:tcPr>
          <w:p w14:paraId="7C89CC65">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8912" w:type="dxa"/>
            <w:vAlign w:val="center"/>
          </w:tcPr>
          <w:p w14:paraId="1CAF5177">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承诺事项</w:t>
            </w:r>
          </w:p>
        </w:tc>
      </w:tr>
      <w:tr w14:paraId="738AD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1" w:hRule="atLeast"/>
          <w:jc w:val="center"/>
        </w:trPr>
        <w:tc>
          <w:tcPr>
            <w:tcW w:w="1456" w:type="dxa"/>
            <w:vAlign w:val="center"/>
          </w:tcPr>
          <w:p w14:paraId="0B324382">
            <w:pPr>
              <w:keepNext w:val="0"/>
              <w:keepLines w:val="0"/>
              <w:suppressLineNumbers w:val="0"/>
              <w:spacing w:before="0" w:beforeAutospacing="0" w:after="0" w:afterAutospacing="0" w:line="360" w:lineRule="auto"/>
              <w:ind w:left="-210" w:right="0"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8912" w:type="dxa"/>
            <w:vAlign w:val="center"/>
          </w:tcPr>
          <w:p w14:paraId="63F1EF02">
            <w:pPr>
              <w:keepNext w:val="0"/>
              <w:keepLines w:val="0"/>
              <w:suppressLineNumbers w:val="0"/>
              <w:spacing w:before="0" w:beforeAutospacing="0" w:after="0" w:afterAutospacing="0" w:line="360" w:lineRule="auto"/>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我方承诺</w:t>
            </w:r>
            <w:r>
              <w:rPr>
                <w:rFonts w:hint="eastAsia" w:ascii="宋体" w:hAnsi="宋体" w:eastAsia="宋体" w:cs="宋体"/>
                <w:color w:val="auto"/>
                <w:szCs w:val="21"/>
                <w:highlight w:val="none"/>
                <w:lang w:val="en-US" w:eastAsia="zh-CN"/>
              </w:rPr>
              <w:t>在</w:t>
            </w:r>
            <w:r>
              <w:rPr>
                <w:rFonts w:hint="eastAsia" w:ascii="宋体" w:hAnsi="宋体" w:eastAsia="宋体" w:cs="宋体"/>
                <w:color w:val="auto"/>
                <w:szCs w:val="21"/>
                <w:highlight w:val="none"/>
              </w:rPr>
              <w:t>合同履行期间，</w:t>
            </w:r>
            <w:r>
              <w:rPr>
                <w:rFonts w:hint="eastAsia" w:ascii="宋体" w:hAnsi="宋体" w:eastAsia="宋体" w:cs="宋体"/>
                <w:b w:val="0"/>
                <w:bCs/>
                <w:color w:val="auto"/>
                <w:kern w:val="2"/>
                <w:sz w:val="21"/>
                <w:szCs w:val="21"/>
                <w:highlight w:val="none"/>
                <w:lang w:val="en-US" w:eastAsia="zh-CN"/>
              </w:rPr>
              <w:t>从我方处置场所到达招标人办公地点（地址：东莞市南城街道石鼓社区沿河路西东莞市利源有机资源再生利用项目），能在</w:t>
            </w:r>
            <w:r>
              <w:rPr>
                <w:rFonts w:hint="eastAsia" w:ascii="宋体" w:hAnsi="宋体" w:eastAsia="宋体" w:cs="宋体"/>
                <w:b w:val="0"/>
                <w:bCs/>
                <w:color w:val="auto"/>
                <w:kern w:val="2"/>
                <w:sz w:val="21"/>
                <w:szCs w:val="21"/>
                <w:highlight w:val="none"/>
                <w:u w:val="single"/>
                <w:lang w:val="en-US" w:eastAsia="zh-CN"/>
              </w:rPr>
              <w:t xml:space="preserve">      </w:t>
            </w:r>
            <w:r>
              <w:rPr>
                <w:rFonts w:hint="eastAsia" w:ascii="宋体" w:hAnsi="宋体" w:eastAsia="宋体" w:cs="宋体"/>
                <w:b w:val="0"/>
                <w:bCs/>
                <w:color w:val="auto"/>
                <w:kern w:val="2"/>
                <w:sz w:val="21"/>
                <w:szCs w:val="21"/>
                <w:highlight w:val="none"/>
                <w:lang w:val="en-US" w:eastAsia="zh-CN"/>
              </w:rPr>
              <w:t>分钟到达的</w:t>
            </w:r>
            <w:r>
              <w:rPr>
                <w:rFonts w:hint="eastAsia" w:ascii="宋体" w:hAnsi="宋体" w:eastAsia="宋体" w:cs="宋体"/>
                <w:color w:val="auto"/>
                <w:szCs w:val="21"/>
                <w:highlight w:val="none"/>
              </w:rPr>
              <w:t>。</w:t>
            </w:r>
          </w:p>
        </w:tc>
      </w:tr>
    </w:tbl>
    <w:p w14:paraId="1D971179">
      <w:pPr>
        <w:spacing w:line="360" w:lineRule="auto"/>
        <w:ind w:left="-210" w:right="420" w:firstLine="3255" w:firstLineChars="1550"/>
        <w:rPr>
          <w:rFonts w:hint="eastAsia" w:ascii="宋体" w:hAnsi="宋体" w:eastAsia="宋体" w:cs="宋体"/>
          <w:color w:val="auto"/>
          <w:highlight w:val="none"/>
        </w:rPr>
      </w:pPr>
    </w:p>
    <w:p w14:paraId="0A9673E4">
      <w:pPr>
        <w:spacing w:line="360" w:lineRule="auto"/>
        <w:ind w:left="-210" w:firstLine="422" w:firstLineChars="200"/>
        <w:rPr>
          <w:rFonts w:hint="eastAsia" w:ascii="宋体" w:hAnsi="宋体" w:eastAsia="宋体" w:cs="宋体"/>
          <w:b/>
          <w:color w:val="auto"/>
          <w:highlight w:val="none"/>
        </w:rPr>
      </w:pPr>
      <w:r>
        <w:rPr>
          <w:rFonts w:hint="eastAsia" w:ascii="宋体" w:hAnsi="宋体" w:eastAsia="宋体" w:cs="宋体"/>
          <w:b/>
          <w:color w:val="auto"/>
          <w:highlight w:val="none"/>
        </w:rPr>
        <w:t>备注：</w:t>
      </w:r>
    </w:p>
    <w:p w14:paraId="2DDCE257">
      <w:pPr>
        <w:autoSpaceDE w:val="0"/>
        <w:autoSpaceDN w:val="0"/>
        <w:adjustRightInd w:val="0"/>
        <w:snapToGrid w:val="0"/>
        <w:spacing w:line="360" w:lineRule="auto"/>
        <w:ind w:left="691" w:leftChars="59" w:hanging="567" w:hangingChars="270"/>
        <w:jc w:val="left"/>
        <w:outlineLvl w:val="9"/>
        <w:rPr>
          <w:rFonts w:hint="eastAsia" w:ascii="宋体" w:hAnsi="宋体" w:eastAsia="宋体" w:cs="宋体"/>
          <w:b w:val="0"/>
          <w:color w:val="auto"/>
          <w:szCs w:val="24"/>
          <w:highlight w:val="none"/>
        </w:rPr>
      </w:pPr>
      <w:r>
        <w:rPr>
          <w:rFonts w:hint="eastAsia" w:ascii="宋体" w:hAnsi="宋体" w:eastAsia="宋体" w:cs="宋体"/>
          <w:color w:val="auto"/>
          <w:szCs w:val="24"/>
          <w:highlight w:val="none"/>
          <w:lang w:val="en-US" w:eastAsia="zh-CN"/>
        </w:rPr>
        <w:t>（1）</w:t>
      </w:r>
      <w:r>
        <w:rPr>
          <w:rFonts w:hint="eastAsia" w:ascii="宋体" w:hAnsi="宋体" w:eastAsia="宋体" w:cs="宋体"/>
          <w:b w:val="0"/>
          <w:color w:val="auto"/>
          <w:szCs w:val="24"/>
          <w:highlight w:val="none"/>
        </w:rPr>
        <w:t>本表承诺事项若未填或漏填的，视为</w:t>
      </w:r>
      <w:r>
        <w:rPr>
          <w:rFonts w:hint="eastAsia" w:ascii="宋体" w:hAnsi="宋体" w:eastAsia="宋体" w:cs="宋体"/>
          <w:b w:val="0"/>
          <w:color w:val="auto"/>
          <w:szCs w:val="24"/>
          <w:highlight w:val="none"/>
          <w:lang w:val="en-US" w:eastAsia="zh-CN"/>
        </w:rPr>
        <w:t>投标人</w:t>
      </w:r>
      <w:r>
        <w:rPr>
          <w:rFonts w:hint="eastAsia" w:ascii="宋体" w:hAnsi="宋体" w:eastAsia="宋体" w:cs="宋体"/>
          <w:b w:val="0"/>
          <w:color w:val="auto"/>
          <w:szCs w:val="24"/>
          <w:highlight w:val="none"/>
        </w:rPr>
        <w:t>不作响应，对应商务部分服务便利性评审内容不得分。</w:t>
      </w:r>
    </w:p>
    <w:p w14:paraId="23D8007B">
      <w:pPr>
        <w:numPr>
          <w:ilvl w:val="-1"/>
          <w:numId w:val="0"/>
        </w:numPr>
        <w:autoSpaceDE w:val="0"/>
        <w:autoSpaceDN w:val="0"/>
        <w:adjustRightInd w:val="0"/>
        <w:snapToGrid w:val="0"/>
        <w:spacing w:line="360" w:lineRule="auto"/>
        <w:ind w:left="691" w:leftChars="59" w:hanging="567" w:hangingChars="270"/>
        <w:jc w:val="left"/>
        <w:outlineLvl w:val="9"/>
        <w:rPr>
          <w:rFonts w:hint="eastAsia" w:ascii="宋体" w:hAnsi="宋体" w:eastAsia="宋体" w:cs="宋体"/>
          <w:b w:val="0"/>
          <w:color w:val="auto"/>
          <w:szCs w:val="24"/>
          <w:highlight w:val="none"/>
        </w:rPr>
      </w:pPr>
      <w:r>
        <w:rPr>
          <w:rFonts w:hint="eastAsia" w:ascii="宋体" w:hAnsi="宋体" w:eastAsia="宋体" w:cs="宋体"/>
          <w:color w:val="auto"/>
          <w:szCs w:val="24"/>
          <w:highlight w:val="none"/>
          <w:lang w:val="en-US" w:eastAsia="zh-CN"/>
        </w:rPr>
        <w:t>（2）</w:t>
      </w:r>
      <w:r>
        <w:rPr>
          <w:rFonts w:hint="eastAsia" w:ascii="宋体" w:hAnsi="宋体" w:eastAsia="宋体" w:cs="宋体"/>
          <w:b w:val="0"/>
          <w:color w:val="auto"/>
          <w:szCs w:val="24"/>
          <w:highlight w:val="none"/>
        </w:rPr>
        <w:t>本表承诺事项若与</w:t>
      </w:r>
      <w:r>
        <w:rPr>
          <w:rFonts w:hint="eastAsia" w:ascii="宋体" w:hAnsi="宋体" w:eastAsia="宋体" w:cs="宋体"/>
          <w:b w:val="0"/>
          <w:color w:val="auto"/>
          <w:szCs w:val="24"/>
          <w:highlight w:val="none"/>
          <w:lang w:val="en-US" w:eastAsia="zh-CN"/>
        </w:rPr>
        <w:t>投标文件</w:t>
      </w:r>
      <w:r>
        <w:rPr>
          <w:rFonts w:hint="eastAsia" w:ascii="宋体" w:hAnsi="宋体" w:eastAsia="宋体" w:cs="宋体"/>
          <w:b w:val="0"/>
          <w:color w:val="auto"/>
          <w:szCs w:val="24"/>
          <w:highlight w:val="none"/>
        </w:rPr>
        <w:t>其他地方表述不一致的，以本承诺表为准。</w:t>
      </w:r>
    </w:p>
    <w:p w14:paraId="4594F038">
      <w:pPr>
        <w:keepNext w:val="0"/>
        <w:keepLines w:val="0"/>
        <w:widowControl/>
        <w:numPr>
          <w:ilvl w:val="-1"/>
          <w:numId w:val="0"/>
        </w:numPr>
        <w:suppressLineNumbers w:val="0"/>
        <w:autoSpaceDE w:val="0"/>
        <w:autoSpaceDN w:val="0"/>
        <w:adjustRightInd w:val="0"/>
        <w:snapToGrid w:val="0"/>
        <w:spacing w:before="0" w:beforeAutospacing="0" w:after="0" w:afterAutospacing="0" w:line="360" w:lineRule="auto"/>
        <w:ind w:left="691" w:leftChars="59" w:right="0" w:hanging="567" w:hangingChars="270"/>
        <w:jc w:val="left"/>
        <w:outlineLvl w:val="9"/>
        <w:rPr>
          <w:rFonts w:hint="eastAsia" w:ascii="宋体" w:hAnsi="宋体" w:eastAsia="宋体" w:cs="宋体"/>
          <w:b w:val="0"/>
          <w:color w:val="auto"/>
          <w:szCs w:val="24"/>
          <w:highlight w:val="none"/>
          <w:lang w:eastAsia="zh-CN"/>
        </w:rPr>
      </w:pPr>
      <w:r>
        <w:rPr>
          <w:rFonts w:hint="eastAsia" w:ascii="宋体" w:hAnsi="宋体" w:eastAsia="宋体" w:cs="宋体"/>
          <w:color w:val="auto"/>
          <w:szCs w:val="24"/>
          <w:highlight w:val="none"/>
          <w:lang w:val="en-US" w:eastAsia="zh-CN"/>
        </w:rPr>
        <w:t>（3）</w:t>
      </w:r>
      <w:r>
        <w:rPr>
          <w:rFonts w:hint="eastAsia" w:ascii="宋体" w:hAnsi="宋体" w:eastAsia="宋体" w:cs="宋体"/>
          <w:b w:val="0"/>
          <w:color w:val="auto"/>
          <w:szCs w:val="24"/>
          <w:highlight w:val="none"/>
        </w:rPr>
        <w:t>处置场所是</w:t>
      </w:r>
      <w:r>
        <w:rPr>
          <w:rFonts w:hint="eastAsia" w:ascii="宋体" w:hAnsi="宋体" w:eastAsia="宋体" w:cs="宋体"/>
          <w:b w:val="0"/>
          <w:color w:val="auto"/>
          <w:szCs w:val="24"/>
          <w:highlight w:val="none"/>
          <w:lang w:eastAsia="zh-CN"/>
        </w:rPr>
        <w:t>投标人</w:t>
      </w:r>
      <w:r>
        <w:rPr>
          <w:rFonts w:hint="eastAsia" w:ascii="宋体" w:hAnsi="宋体" w:eastAsia="宋体" w:cs="宋体"/>
          <w:b w:val="0"/>
          <w:color w:val="auto"/>
          <w:szCs w:val="24"/>
          <w:highlight w:val="none"/>
        </w:rPr>
        <w:t>自有的须提供处置场所的产权证明文件扫描件；处置场所是</w:t>
      </w:r>
      <w:r>
        <w:rPr>
          <w:rFonts w:hint="eastAsia" w:ascii="宋体" w:hAnsi="宋体" w:eastAsia="宋体" w:cs="宋体"/>
          <w:b w:val="0"/>
          <w:color w:val="auto"/>
          <w:szCs w:val="24"/>
          <w:highlight w:val="none"/>
          <w:lang w:eastAsia="zh-CN"/>
        </w:rPr>
        <w:t>投标人</w:t>
      </w:r>
      <w:r>
        <w:rPr>
          <w:rFonts w:hint="eastAsia" w:ascii="宋体" w:hAnsi="宋体" w:eastAsia="宋体" w:cs="宋体"/>
          <w:b w:val="0"/>
          <w:color w:val="auto"/>
          <w:szCs w:val="24"/>
          <w:highlight w:val="none"/>
        </w:rPr>
        <w:t>租赁的或与第三方合作使用的须提供场所的租赁合同扫描件或</w:t>
      </w:r>
      <w:r>
        <w:rPr>
          <w:rFonts w:hint="eastAsia" w:ascii="宋体" w:hAnsi="宋体" w:eastAsia="宋体" w:cs="宋体"/>
          <w:b w:val="0"/>
          <w:color w:val="auto"/>
          <w:szCs w:val="24"/>
          <w:highlight w:val="none"/>
          <w:lang w:eastAsia="zh-CN"/>
        </w:rPr>
        <w:t>投标人</w:t>
      </w:r>
      <w:r>
        <w:rPr>
          <w:rFonts w:hint="eastAsia" w:ascii="宋体" w:hAnsi="宋体" w:eastAsia="宋体" w:cs="宋体"/>
          <w:b w:val="0"/>
          <w:color w:val="auto"/>
          <w:szCs w:val="24"/>
          <w:highlight w:val="none"/>
        </w:rPr>
        <w:t>与第三方合作使用的相关合作协议扫描件；产权证明或租赁合同或</w:t>
      </w:r>
      <w:r>
        <w:rPr>
          <w:rFonts w:hint="eastAsia" w:ascii="宋体" w:hAnsi="宋体" w:eastAsia="宋体" w:cs="宋体"/>
          <w:b w:val="0"/>
          <w:color w:val="auto"/>
          <w:szCs w:val="24"/>
          <w:highlight w:val="none"/>
          <w:lang w:eastAsia="zh-CN"/>
        </w:rPr>
        <w:t>投标人</w:t>
      </w:r>
      <w:r>
        <w:rPr>
          <w:rFonts w:hint="eastAsia" w:ascii="宋体" w:hAnsi="宋体" w:eastAsia="宋体" w:cs="宋体"/>
          <w:b w:val="0"/>
          <w:color w:val="auto"/>
          <w:szCs w:val="24"/>
          <w:highlight w:val="none"/>
        </w:rPr>
        <w:t>与第三方合作使用的相关合作协议的期限须至202</w:t>
      </w:r>
      <w:r>
        <w:rPr>
          <w:rFonts w:hint="eastAsia" w:ascii="宋体" w:hAnsi="宋体" w:eastAsia="宋体" w:cs="宋体"/>
          <w:b w:val="0"/>
          <w:color w:val="auto"/>
          <w:szCs w:val="24"/>
          <w:highlight w:val="none"/>
          <w:lang w:val="en-US" w:eastAsia="zh-CN"/>
        </w:rPr>
        <w:t>7</w:t>
      </w:r>
      <w:r>
        <w:rPr>
          <w:rFonts w:hint="eastAsia" w:ascii="宋体" w:hAnsi="宋体" w:eastAsia="宋体" w:cs="宋体"/>
          <w:b w:val="0"/>
          <w:color w:val="auto"/>
          <w:szCs w:val="24"/>
          <w:highlight w:val="none"/>
        </w:rPr>
        <w:t>年</w:t>
      </w:r>
      <w:r>
        <w:rPr>
          <w:rFonts w:hint="eastAsia" w:ascii="宋体" w:hAnsi="宋体" w:eastAsia="宋体" w:cs="宋体"/>
          <w:b w:val="0"/>
          <w:color w:val="auto"/>
          <w:szCs w:val="24"/>
          <w:highlight w:val="none"/>
          <w:lang w:val="en-US" w:eastAsia="zh-CN"/>
        </w:rPr>
        <w:t>6</w:t>
      </w:r>
      <w:r>
        <w:rPr>
          <w:rFonts w:hint="eastAsia" w:ascii="宋体" w:hAnsi="宋体" w:eastAsia="宋体" w:cs="宋体"/>
          <w:b w:val="0"/>
          <w:color w:val="auto"/>
          <w:szCs w:val="24"/>
          <w:highlight w:val="none"/>
        </w:rPr>
        <w:t>月</w:t>
      </w:r>
      <w:r>
        <w:rPr>
          <w:rFonts w:hint="eastAsia" w:ascii="宋体" w:hAnsi="宋体" w:eastAsia="宋体" w:cs="宋体"/>
          <w:b w:val="0"/>
          <w:color w:val="auto"/>
          <w:szCs w:val="24"/>
          <w:highlight w:val="none"/>
          <w:lang w:val="en-US" w:eastAsia="zh-CN"/>
        </w:rPr>
        <w:t>30</w:t>
      </w:r>
      <w:r>
        <w:rPr>
          <w:rFonts w:hint="eastAsia" w:ascii="宋体" w:hAnsi="宋体" w:eastAsia="宋体" w:cs="宋体"/>
          <w:b w:val="0"/>
          <w:color w:val="auto"/>
          <w:szCs w:val="24"/>
          <w:highlight w:val="none"/>
        </w:rPr>
        <w:t>日或以后，否则在评</w:t>
      </w:r>
      <w:r>
        <w:rPr>
          <w:rFonts w:hint="eastAsia" w:ascii="宋体" w:hAnsi="宋体" w:eastAsia="宋体" w:cs="宋体"/>
          <w:b w:val="0"/>
          <w:color w:val="auto"/>
          <w:szCs w:val="24"/>
          <w:highlight w:val="none"/>
          <w:lang w:val="en-US" w:eastAsia="zh-CN"/>
        </w:rPr>
        <w:t>标</w:t>
      </w:r>
      <w:r>
        <w:rPr>
          <w:rFonts w:hint="eastAsia" w:ascii="宋体" w:hAnsi="宋体" w:eastAsia="宋体" w:cs="宋体"/>
          <w:b w:val="0"/>
          <w:color w:val="auto"/>
          <w:szCs w:val="24"/>
          <w:highlight w:val="none"/>
        </w:rPr>
        <w:t>时将不予考虑</w:t>
      </w:r>
      <w:r>
        <w:rPr>
          <w:rFonts w:hint="eastAsia" w:ascii="宋体" w:hAnsi="宋体" w:eastAsia="宋体" w:cs="宋体"/>
          <w:b w:val="0"/>
          <w:color w:val="auto"/>
          <w:szCs w:val="24"/>
          <w:highlight w:val="none"/>
          <w:lang w:eastAsia="zh-CN"/>
        </w:rPr>
        <w:t>。</w:t>
      </w:r>
    </w:p>
    <w:p w14:paraId="36BD603F">
      <w:pPr>
        <w:widowControl/>
        <w:numPr>
          <w:ilvl w:val="-1"/>
          <w:numId w:val="0"/>
        </w:numPr>
        <w:autoSpaceDE w:val="0"/>
        <w:autoSpaceDN w:val="0"/>
        <w:adjustRightInd w:val="0"/>
        <w:snapToGrid w:val="0"/>
        <w:spacing w:line="360" w:lineRule="auto"/>
        <w:ind w:left="691" w:leftChars="59" w:hanging="567" w:hangingChars="270"/>
        <w:jc w:val="left"/>
        <w:outlineLvl w:val="9"/>
        <w:rPr>
          <w:rFonts w:hint="eastAsia" w:ascii="宋体" w:hAnsi="宋体" w:eastAsia="宋体" w:cs="宋体"/>
          <w:b w:val="0"/>
          <w:color w:val="auto"/>
          <w:szCs w:val="24"/>
          <w:highlight w:val="none"/>
          <w:lang w:eastAsia="zh-CN"/>
        </w:rPr>
      </w:pPr>
      <w:r>
        <w:rPr>
          <w:rFonts w:hint="eastAsia" w:ascii="宋体" w:hAnsi="宋体" w:eastAsia="宋体" w:cs="宋体"/>
          <w:color w:val="auto"/>
          <w:szCs w:val="24"/>
          <w:highlight w:val="none"/>
          <w:lang w:val="en-US" w:eastAsia="zh-CN"/>
        </w:rPr>
        <w:t>（4）</w:t>
      </w:r>
      <w:r>
        <w:rPr>
          <w:rFonts w:hint="eastAsia" w:ascii="宋体" w:hAnsi="宋体" w:eastAsia="宋体" w:cs="宋体"/>
          <w:b w:val="0"/>
          <w:color w:val="auto"/>
          <w:kern w:val="2"/>
          <w:sz w:val="21"/>
          <w:szCs w:val="24"/>
          <w:highlight w:val="none"/>
          <w:lang w:val="en-US" w:eastAsia="zh-CN"/>
        </w:rPr>
        <w:t>投标人需提供从投标人处置场所到招标人办公地点的路线图导航截屏（需体现投标人处置场所至招标人办公地点的名称、距离以及用时等关键因素），未提供相关证明资料或不符合本项评分要求的，在评标时将不予考虑。</w:t>
      </w:r>
    </w:p>
    <w:p w14:paraId="5129F6D9">
      <w:pPr>
        <w:autoSpaceDE w:val="0"/>
        <w:autoSpaceDN w:val="0"/>
        <w:adjustRightInd w:val="0"/>
        <w:spacing w:line="360" w:lineRule="auto"/>
        <w:ind w:firstLine="5040" w:firstLineChars="2400"/>
        <w:jc w:val="left"/>
        <w:outlineLvl w:val="9"/>
        <w:rPr>
          <w:rFonts w:hint="eastAsia" w:ascii="宋体" w:hAnsi="宋体" w:eastAsia="宋体" w:cs="宋体"/>
          <w:color w:val="auto"/>
          <w:szCs w:val="24"/>
          <w:highlight w:val="none"/>
          <w:lang w:val="zh-CN"/>
        </w:rPr>
      </w:pPr>
    </w:p>
    <w:p w14:paraId="4F11DCBD">
      <w:pPr>
        <w:autoSpaceDE w:val="0"/>
        <w:autoSpaceDN w:val="0"/>
        <w:adjustRightInd w:val="0"/>
        <w:spacing w:line="360" w:lineRule="auto"/>
        <w:ind w:firstLine="5040" w:firstLineChars="2400"/>
        <w:jc w:val="left"/>
        <w:outlineLvl w:val="9"/>
        <w:rPr>
          <w:rFonts w:hint="eastAsia" w:ascii="宋体" w:hAnsi="宋体" w:eastAsia="宋体" w:cs="宋体"/>
          <w:color w:val="auto"/>
          <w:szCs w:val="24"/>
          <w:highlight w:val="none"/>
          <w:lang w:val="zh-CN"/>
        </w:rPr>
      </w:pPr>
    </w:p>
    <w:p w14:paraId="488CDE7D">
      <w:pPr>
        <w:autoSpaceDE w:val="0"/>
        <w:autoSpaceDN w:val="0"/>
        <w:adjustRightInd w:val="0"/>
        <w:spacing w:line="360" w:lineRule="auto"/>
        <w:ind w:firstLine="5040" w:firstLineChars="2400"/>
        <w:jc w:val="left"/>
        <w:outlineLvl w:val="9"/>
        <w:rPr>
          <w:rFonts w:hint="eastAsia" w:ascii="宋体" w:hAnsi="宋体" w:eastAsia="宋体" w:cs="宋体"/>
          <w:color w:val="auto"/>
          <w:szCs w:val="24"/>
          <w:highlight w:val="none"/>
          <w:lang w:val="zh-CN"/>
        </w:rPr>
      </w:pPr>
    </w:p>
    <w:p w14:paraId="25584D2E">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7AD57DD4">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0E2E184C">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13112085">
      <w:pPr>
        <w:widowControl/>
        <w:autoSpaceDE w:val="0"/>
        <w:autoSpaceDN w:val="0"/>
        <w:adjustRightInd w:val="0"/>
        <w:spacing w:line="360" w:lineRule="auto"/>
        <w:ind w:left="0" w:leftChars="0"/>
        <w:jc w:val="center"/>
        <w:rPr>
          <w:rFonts w:hint="eastAsia" w:ascii="宋体" w:hAnsi="宋体" w:eastAsia="宋体" w:cs="Times New Roman"/>
          <w:b/>
          <w:bCs/>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说明：由投标人使用投标人的企业数字证书电子签名。</w:t>
      </w:r>
    </w:p>
    <w:p w14:paraId="1B0E2C2F">
      <w:pPr>
        <w:rPr>
          <w:rFonts w:ascii="宋体" w:hAnsi="宋体" w:eastAsia="宋体" w:cs="宋体"/>
          <w:b/>
          <w:bCs/>
          <w:color w:val="auto"/>
          <w:kern w:val="0"/>
          <w:sz w:val="32"/>
          <w:szCs w:val="32"/>
          <w:highlight w:val="none"/>
          <w:lang w:val="zh-CN"/>
        </w:rPr>
      </w:pPr>
      <w:r>
        <w:rPr>
          <w:rFonts w:hint="eastAsia" w:ascii="宋体" w:hAnsi="宋体" w:eastAsia="宋体" w:cs="宋体"/>
          <w:b/>
          <w:bCs/>
          <w:color w:val="auto"/>
          <w:kern w:val="0"/>
          <w:sz w:val="32"/>
          <w:szCs w:val="32"/>
          <w:highlight w:val="none"/>
          <w:lang w:val="zh-CN"/>
        </w:rPr>
        <w:br w:type="page"/>
      </w:r>
    </w:p>
    <w:p w14:paraId="6463224D">
      <w:pPr>
        <w:tabs>
          <w:tab w:val="left" w:pos="567"/>
        </w:tabs>
        <w:autoSpaceDE w:val="0"/>
        <w:autoSpaceDN w:val="0"/>
        <w:adjustRightInd w:val="0"/>
        <w:spacing w:line="360" w:lineRule="auto"/>
        <w:ind w:left="357" w:leftChars="-100" w:hanging="567"/>
        <w:jc w:val="left"/>
        <w:outlineLvl w:val="3"/>
        <w:rPr>
          <w:rFonts w:ascii="宋体" w:hAnsi="宋体" w:eastAsia="宋体" w:cs="宋体"/>
          <w:b/>
          <w:color w:val="auto"/>
          <w:kern w:val="0"/>
          <w:sz w:val="32"/>
          <w:szCs w:val="32"/>
          <w:highlight w:val="none"/>
        </w:rPr>
        <w:sectPr>
          <w:pgSz w:w="12240" w:h="15840"/>
          <w:pgMar w:top="1191" w:right="1043" w:bottom="1191" w:left="1043" w:header="720" w:footer="720" w:gutter="0"/>
          <w:pgNumType w:fmt="decimal"/>
          <w:cols w:space="720" w:num="1"/>
          <w:titlePg/>
          <w:docGrid w:linePitch="326" w:charSpace="0"/>
        </w:sectPr>
      </w:pPr>
      <w:bookmarkStart w:id="823" w:name="_Toc28042"/>
      <w:bookmarkStart w:id="824" w:name="_Toc195714398"/>
      <w:r>
        <w:rPr>
          <w:rFonts w:hint="eastAsia" w:ascii="宋体" w:hAnsi="宋体" w:eastAsia="宋体" w:cs="宋体"/>
          <w:b/>
          <w:bCs/>
          <w:color w:val="auto"/>
          <w:kern w:val="0"/>
          <w:sz w:val="32"/>
          <w:szCs w:val="32"/>
          <w:highlight w:val="none"/>
          <w:lang w:val="en-US" w:eastAsia="zh-CN"/>
        </w:rPr>
        <w:t>十二</w:t>
      </w:r>
      <w:r>
        <w:rPr>
          <w:rFonts w:hint="eastAsia" w:ascii="宋体" w:hAnsi="宋体" w:eastAsia="宋体" w:cs="宋体"/>
          <w:b/>
          <w:bCs/>
          <w:color w:val="auto"/>
          <w:kern w:val="0"/>
          <w:sz w:val="32"/>
          <w:szCs w:val="32"/>
          <w:highlight w:val="none"/>
          <w:lang w:val="zh-CN"/>
        </w:rPr>
        <w:t>、投标人资格证明文件以外的其他资质证书、知识产权证书及获得的相关获奖、认证证书、社会评价资料证明文件扫描件等投标人认为有需要证明其具备为本次</w:t>
      </w:r>
      <w:r>
        <w:rPr>
          <w:rFonts w:hint="eastAsia" w:ascii="宋体" w:hAnsi="宋体" w:eastAsia="宋体" w:cs="宋体"/>
          <w:b/>
          <w:bCs/>
          <w:color w:val="auto"/>
          <w:kern w:val="0"/>
          <w:sz w:val="32"/>
          <w:szCs w:val="32"/>
          <w:highlight w:val="none"/>
          <w:lang w:val="en-US" w:eastAsia="zh-CN"/>
        </w:rPr>
        <w:t>招标</w:t>
      </w:r>
      <w:r>
        <w:rPr>
          <w:rFonts w:hint="eastAsia" w:ascii="宋体" w:hAnsi="宋体" w:eastAsia="宋体" w:cs="宋体"/>
          <w:b/>
          <w:bCs/>
          <w:color w:val="auto"/>
          <w:kern w:val="0"/>
          <w:sz w:val="32"/>
          <w:szCs w:val="32"/>
          <w:highlight w:val="none"/>
          <w:lang w:val="zh-CN"/>
        </w:rPr>
        <w:t>项目提供有关服务能力的有关其它商务文件（不做强制要求）</w:t>
      </w:r>
      <w:bookmarkEnd w:id="810"/>
      <w:bookmarkEnd w:id="811"/>
      <w:bookmarkEnd w:id="812"/>
      <w:bookmarkEnd w:id="813"/>
      <w:bookmarkEnd w:id="814"/>
      <w:bookmarkEnd w:id="815"/>
      <w:bookmarkEnd w:id="816"/>
      <w:bookmarkEnd w:id="817"/>
      <w:bookmarkEnd w:id="818"/>
      <w:bookmarkEnd w:id="819"/>
      <w:bookmarkEnd w:id="823"/>
      <w:bookmarkEnd w:id="824"/>
    </w:p>
    <w:p w14:paraId="0468DDFB">
      <w:pPr>
        <w:jc w:val="center"/>
        <w:outlineLvl w:val="1"/>
        <w:rPr>
          <w:rFonts w:hint="eastAsia" w:ascii="宋体" w:hAnsi="宋体" w:eastAsia="宋体" w:cs="宋体"/>
          <w:b/>
          <w:color w:val="auto"/>
          <w:kern w:val="0"/>
          <w:sz w:val="32"/>
          <w:szCs w:val="32"/>
          <w:highlight w:val="none"/>
        </w:rPr>
      </w:pPr>
      <w:bookmarkStart w:id="825" w:name="_Toc14921"/>
      <w:bookmarkStart w:id="826" w:name="_Toc23832"/>
      <w:bookmarkStart w:id="827" w:name="_Toc31461"/>
      <w:bookmarkStart w:id="828" w:name="_Toc17509"/>
      <w:bookmarkStart w:id="829" w:name="_Toc29237"/>
      <w:bookmarkStart w:id="830" w:name="_Toc4972"/>
      <w:bookmarkStart w:id="831" w:name="_Toc195714399"/>
      <w:bookmarkStart w:id="832" w:name="_Toc27482"/>
      <w:bookmarkStart w:id="833" w:name="_Toc102860085"/>
      <w:bookmarkStart w:id="834" w:name="_Toc1977739"/>
      <w:bookmarkStart w:id="835" w:name="_Toc102860429"/>
      <w:bookmarkStart w:id="836" w:name="_Toc104991887"/>
      <w:bookmarkStart w:id="837" w:name="_Toc140596940"/>
      <w:bookmarkStart w:id="838" w:name="_Toc31916"/>
      <w:bookmarkStart w:id="839" w:name="_Toc94107222"/>
      <w:bookmarkStart w:id="840" w:name="_Toc142508380"/>
      <w:bookmarkStart w:id="841" w:name="_Toc18038"/>
      <w:r>
        <w:rPr>
          <w:rFonts w:hint="eastAsia" w:ascii="宋体" w:hAnsi="宋体" w:eastAsia="宋体" w:cs="宋体"/>
          <w:b/>
          <w:color w:val="auto"/>
          <w:kern w:val="0"/>
          <w:sz w:val="32"/>
          <w:szCs w:val="32"/>
          <w:highlight w:val="none"/>
        </w:rPr>
        <w:t>第二部分 技术标格式</w:t>
      </w:r>
      <w:bookmarkEnd w:id="825"/>
      <w:bookmarkEnd w:id="826"/>
      <w:bookmarkEnd w:id="827"/>
      <w:bookmarkEnd w:id="828"/>
      <w:bookmarkEnd w:id="829"/>
    </w:p>
    <w:bookmarkEnd w:id="830"/>
    <w:bookmarkEnd w:id="831"/>
    <w:p w14:paraId="10506EAD">
      <w:pPr>
        <w:jc w:val="left"/>
        <w:rPr>
          <w:rFonts w:ascii="宋体" w:hAnsi="宋体" w:eastAsia="宋体" w:cs="宋体"/>
          <w:b/>
          <w:color w:val="auto"/>
          <w:kern w:val="0"/>
          <w:sz w:val="32"/>
          <w:szCs w:val="32"/>
          <w:highlight w:val="none"/>
        </w:rPr>
      </w:pPr>
    </w:p>
    <w:bookmarkEnd w:id="820"/>
    <w:bookmarkEnd w:id="832"/>
    <w:bookmarkEnd w:id="833"/>
    <w:bookmarkEnd w:id="834"/>
    <w:bookmarkEnd w:id="835"/>
    <w:bookmarkEnd w:id="836"/>
    <w:bookmarkEnd w:id="837"/>
    <w:bookmarkEnd w:id="838"/>
    <w:bookmarkEnd w:id="839"/>
    <w:bookmarkEnd w:id="840"/>
    <w:bookmarkEnd w:id="841"/>
    <w:p w14:paraId="796579BB">
      <w:pPr>
        <w:pStyle w:val="16"/>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br w:type="page"/>
      </w:r>
      <w:bookmarkEnd w:id="821"/>
      <w:bookmarkStart w:id="842" w:name="_Toc1977740"/>
      <w:bookmarkStart w:id="843" w:name="_Toc142508381"/>
      <w:bookmarkStart w:id="844" w:name="_Toc94107223"/>
      <w:bookmarkStart w:id="845" w:name="_Toc104991888"/>
      <w:bookmarkStart w:id="846" w:name="_Toc533708135"/>
      <w:bookmarkStart w:id="847" w:name="_Toc102860086"/>
      <w:bookmarkStart w:id="848" w:name="_Toc140596941"/>
      <w:bookmarkStart w:id="849" w:name="_Toc102860430"/>
    </w:p>
    <w:p w14:paraId="1957D20C">
      <w:pPr>
        <w:pStyle w:val="16"/>
        <w:spacing w:line="360" w:lineRule="auto"/>
        <w:jc w:val="center"/>
        <w:rPr>
          <w:rFonts w:ascii="宋体" w:hAnsi="宋体" w:cs="宋体"/>
          <w:b/>
          <w:color w:val="auto"/>
          <w:kern w:val="0"/>
          <w:szCs w:val="21"/>
          <w:highlight w:val="none"/>
        </w:rPr>
      </w:pPr>
    </w:p>
    <w:p w14:paraId="127F6FFB">
      <w:pPr>
        <w:pStyle w:val="16"/>
        <w:spacing w:line="360" w:lineRule="auto"/>
        <w:jc w:val="center"/>
        <w:rPr>
          <w:rFonts w:ascii="宋体" w:hAnsi="宋体" w:cs="宋体"/>
          <w:b/>
          <w:color w:val="auto"/>
          <w:kern w:val="0"/>
          <w:szCs w:val="21"/>
          <w:highlight w:val="none"/>
        </w:rPr>
      </w:pPr>
    </w:p>
    <w:p w14:paraId="5CB00CC7">
      <w:pPr>
        <w:pStyle w:val="16"/>
        <w:spacing w:line="360" w:lineRule="auto"/>
        <w:jc w:val="center"/>
        <w:rPr>
          <w:rFonts w:ascii="宋体" w:hAnsi="宋体" w:cs="宋体"/>
          <w:b/>
          <w:color w:val="auto"/>
          <w:kern w:val="0"/>
          <w:szCs w:val="21"/>
          <w:highlight w:val="none"/>
        </w:rPr>
      </w:pPr>
    </w:p>
    <w:p w14:paraId="7B9BF698">
      <w:pPr>
        <w:pStyle w:val="16"/>
        <w:spacing w:line="360" w:lineRule="auto"/>
        <w:jc w:val="center"/>
        <w:rPr>
          <w:rFonts w:ascii="宋体" w:hAnsi="宋体" w:cs="宋体"/>
          <w:b/>
          <w:color w:val="auto"/>
          <w:kern w:val="0"/>
          <w:szCs w:val="21"/>
          <w:highlight w:val="none"/>
        </w:rPr>
      </w:pPr>
    </w:p>
    <w:p w14:paraId="786B7B83">
      <w:pPr>
        <w:pStyle w:val="16"/>
        <w:spacing w:line="360" w:lineRule="auto"/>
        <w:jc w:val="center"/>
        <w:rPr>
          <w:rFonts w:ascii="宋体" w:hAnsi="宋体" w:cs="宋体"/>
          <w:b/>
          <w:color w:val="auto"/>
          <w:kern w:val="0"/>
          <w:szCs w:val="21"/>
          <w:highlight w:val="none"/>
        </w:rPr>
      </w:pPr>
    </w:p>
    <w:p w14:paraId="778B4DC9">
      <w:pPr>
        <w:pStyle w:val="16"/>
        <w:spacing w:line="360" w:lineRule="auto"/>
        <w:jc w:val="center"/>
        <w:rPr>
          <w:rFonts w:ascii="宋体" w:hAnsi="宋体" w:cs="宋体"/>
          <w:b/>
          <w:color w:val="auto"/>
          <w:kern w:val="0"/>
          <w:szCs w:val="21"/>
          <w:highlight w:val="none"/>
        </w:rPr>
      </w:pPr>
    </w:p>
    <w:p w14:paraId="52F86D26">
      <w:pPr>
        <w:pStyle w:val="16"/>
        <w:spacing w:line="360" w:lineRule="auto"/>
        <w:jc w:val="center"/>
        <w:rPr>
          <w:rFonts w:ascii="宋体" w:hAnsi="宋体" w:cs="宋体"/>
          <w:b/>
          <w:color w:val="auto"/>
          <w:kern w:val="0"/>
          <w:szCs w:val="21"/>
          <w:highlight w:val="none"/>
        </w:rPr>
      </w:pPr>
    </w:p>
    <w:p w14:paraId="231C07F3">
      <w:pPr>
        <w:pStyle w:val="16"/>
        <w:spacing w:line="360" w:lineRule="auto"/>
        <w:jc w:val="center"/>
        <w:rPr>
          <w:rFonts w:ascii="宋体" w:hAnsi="宋体" w:cs="宋体"/>
          <w:b/>
          <w:color w:val="auto"/>
          <w:kern w:val="0"/>
          <w:szCs w:val="21"/>
          <w:highlight w:val="none"/>
        </w:rPr>
      </w:pPr>
    </w:p>
    <w:p w14:paraId="388BEEE4">
      <w:pPr>
        <w:pStyle w:val="16"/>
        <w:spacing w:line="360" w:lineRule="auto"/>
        <w:jc w:val="center"/>
        <w:rPr>
          <w:rFonts w:hint="eastAsia" w:ascii="宋体" w:hAnsi="宋体" w:cs="宋体"/>
          <w:color w:val="auto"/>
          <w:sz w:val="84"/>
          <w:highlight w:val="none"/>
        </w:rPr>
      </w:pPr>
      <w:r>
        <w:rPr>
          <w:rFonts w:hint="eastAsia" w:ascii="宋体" w:hAnsi="宋体" w:cs="宋体"/>
          <w:color w:val="auto"/>
          <w:sz w:val="84"/>
          <w:highlight w:val="none"/>
        </w:rPr>
        <w:t>投 标 文 件</w:t>
      </w:r>
    </w:p>
    <w:p w14:paraId="1C247ECD">
      <w:pPr>
        <w:pStyle w:val="16"/>
        <w:spacing w:line="360" w:lineRule="auto"/>
        <w:rPr>
          <w:rFonts w:ascii="宋体" w:hAnsi="宋体" w:cs="宋体"/>
          <w:color w:val="auto"/>
          <w:highlight w:val="none"/>
        </w:rPr>
      </w:pPr>
    </w:p>
    <w:p w14:paraId="700A7959">
      <w:pPr>
        <w:pStyle w:val="16"/>
        <w:spacing w:line="360" w:lineRule="auto"/>
        <w:rPr>
          <w:rFonts w:ascii="宋体" w:hAnsi="宋体" w:cs="宋体"/>
          <w:color w:val="auto"/>
          <w:highlight w:val="none"/>
        </w:rPr>
      </w:pPr>
    </w:p>
    <w:p w14:paraId="774F8546">
      <w:pPr>
        <w:pStyle w:val="16"/>
        <w:spacing w:line="360" w:lineRule="auto"/>
        <w:rPr>
          <w:rFonts w:ascii="宋体" w:hAnsi="宋体" w:cs="宋体"/>
          <w:color w:val="auto"/>
          <w:highlight w:val="none"/>
        </w:rPr>
      </w:pPr>
    </w:p>
    <w:p w14:paraId="798B1C65">
      <w:pPr>
        <w:pStyle w:val="16"/>
        <w:spacing w:line="360" w:lineRule="auto"/>
        <w:rPr>
          <w:rFonts w:ascii="宋体" w:hAnsi="宋体" w:cs="宋体"/>
          <w:color w:val="auto"/>
          <w:highlight w:val="none"/>
        </w:rPr>
      </w:pPr>
    </w:p>
    <w:p w14:paraId="09129CFD">
      <w:pPr>
        <w:pStyle w:val="16"/>
        <w:spacing w:line="360" w:lineRule="auto"/>
        <w:rPr>
          <w:rFonts w:ascii="宋体" w:hAnsi="宋体" w:cs="宋体"/>
          <w:color w:val="auto"/>
          <w:highlight w:val="none"/>
        </w:rPr>
      </w:pPr>
    </w:p>
    <w:p w14:paraId="5F7D3F04">
      <w:pPr>
        <w:pStyle w:val="16"/>
        <w:spacing w:line="360" w:lineRule="auto"/>
        <w:rPr>
          <w:rFonts w:ascii="宋体" w:hAnsi="宋体" w:cs="宋体"/>
          <w:color w:val="auto"/>
          <w:highlight w:val="none"/>
        </w:rPr>
      </w:pPr>
    </w:p>
    <w:p w14:paraId="426F0336">
      <w:pPr>
        <w:pStyle w:val="16"/>
        <w:spacing w:line="360" w:lineRule="auto"/>
        <w:ind w:firstLine="1875" w:firstLineChars="625"/>
        <w:rPr>
          <w:rFonts w:hint="eastAsia" w:ascii="宋体" w:hAnsi="宋体" w:cs="宋体"/>
          <w:color w:val="auto"/>
          <w:sz w:val="30"/>
          <w:highlight w:val="none"/>
        </w:rPr>
      </w:pPr>
      <w:r>
        <w:rPr>
          <w:rFonts w:hint="eastAsia" w:ascii="宋体" w:hAnsi="宋体" w:cs="宋体"/>
          <w:color w:val="auto"/>
          <w:sz w:val="30"/>
          <w:highlight w:val="none"/>
        </w:rPr>
        <w:t>招标编号：</w:t>
      </w:r>
      <w:r>
        <w:rPr>
          <w:rFonts w:hint="eastAsia" w:ascii="宋体" w:hAnsi="宋体" w:cs="宋体"/>
          <w:color w:val="auto"/>
          <w:sz w:val="30"/>
          <w:highlight w:val="none"/>
          <w:u w:val="single"/>
        </w:rPr>
        <w:t xml:space="preserve">                                </w:t>
      </w:r>
    </w:p>
    <w:p w14:paraId="06407878">
      <w:pPr>
        <w:pStyle w:val="16"/>
        <w:spacing w:line="360" w:lineRule="auto"/>
        <w:ind w:firstLine="1875" w:firstLineChars="625"/>
        <w:rPr>
          <w:rFonts w:hint="eastAsia" w:ascii="宋体" w:hAnsi="宋体" w:cs="宋体"/>
          <w:color w:val="auto"/>
          <w:sz w:val="30"/>
          <w:highlight w:val="none"/>
          <w:u w:val="single"/>
        </w:rPr>
      </w:pPr>
      <w:r>
        <w:rPr>
          <w:rFonts w:hint="eastAsia" w:ascii="宋体" w:hAnsi="宋体" w:cs="宋体"/>
          <w:color w:val="auto"/>
          <w:sz w:val="30"/>
          <w:highlight w:val="none"/>
        </w:rPr>
        <w:t>项目名称：</w:t>
      </w:r>
      <w:r>
        <w:rPr>
          <w:rFonts w:hint="eastAsia" w:ascii="宋体" w:hAnsi="宋体" w:cs="宋体"/>
          <w:color w:val="auto"/>
          <w:sz w:val="30"/>
          <w:highlight w:val="none"/>
          <w:u w:val="single"/>
        </w:rPr>
        <w:t xml:space="preserve">                                </w:t>
      </w:r>
    </w:p>
    <w:p w14:paraId="28EAC7C9">
      <w:pPr>
        <w:pStyle w:val="16"/>
        <w:spacing w:line="360" w:lineRule="auto"/>
        <w:ind w:firstLine="1875" w:firstLineChars="625"/>
        <w:rPr>
          <w:rFonts w:hint="eastAsia" w:ascii="宋体" w:hAnsi="宋体" w:cs="宋体"/>
          <w:color w:val="auto"/>
          <w:sz w:val="30"/>
          <w:highlight w:val="none"/>
          <w:u w:val="single"/>
        </w:rPr>
      </w:pPr>
      <w:r>
        <w:rPr>
          <w:rFonts w:hint="eastAsia" w:ascii="宋体" w:hAnsi="宋体" w:cs="宋体"/>
          <w:color w:val="auto"/>
          <w:sz w:val="30"/>
          <w:highlight w:val="none"/>
        </w:rPr>
        <w:t>投标文件内容：</w:t>
      </w:r>
      <w:r>
        <w:rPr>
          <w:rFonts w:hint="eastAsia" w:ascii="宋体" w:hAnsi="宋体" w:cs="宋体"/>
          <w:color w:val="auto"/>
          <w:sz w:val="30"/>
          <w:highlight w:val="none"/>
          <w:u w:val="single"/>
        </w:rPr>
        <w:t xml:space="preserve">       投标文件技术标       </w:t>
      </w:r>
    </w:p>
    <w:p w14:paraId="54AD8949">
      <w:pPr>
        <w:pStyle w:val="16"/>
        <w:spacing w:line="360" w:lineRule="auto"/>
        <w:ind w:firstLine="1875" w:firstLineChars="625"/>
        <w:rPr>
          <w:rFonts w:hint="eastAsia" w:ascii="宋体" w:hAnsi="宋体" w:cs="宋体"/>
          <w:color w:val="auto"/>
          <w:sz w:val="30"/>
          <w:highlight w:val="none"/>
        </w:rPr>
      </w:pPr>
      <w:r>
        <w:rPr>
          <w:rFonts w:hint="eastAsia" w:ascii="宋体" w:hAnsi="宋体" w:cs="宋体"/>
          <w:color w:val="auto"/>
          <w:sz w:val="30"/>
          <w:highlight w:val="none"/>
        </w:rPr>
        <w:t>招标人：</w:t>
      </w:r>
      <w:r>
        <w:rPr>
          <w:rFonts w:hint="eastAsia" w:ascii="宋体" w:hAnsi="宋体" w:cs="宋体"/>
          <w:color w:val="auto"/>
          <w:sz w:val="30"/>
          <w:highlight w:val="none"/>
          <w:u w:val="single"/>
        </w:rPr>
        <w:t xml:space="preserve">                                  </w:t>
      </w:r>
    </w:p>
    <w:p w14:paraId="760B1938">
      <w:pPr>
        <w:pStyle w:val="16"/>
        <w:spacing w:line="360" w:lineRule="auto"/>
        <w:ind w:firstLine="1875" w:firstLineChars="625"/>
        <w:rPr>
          <w:rFonts w:hint="eastAsia" w:ascii="宋体" w:hAnsi="宋体" w:cs="宋体"/>
          <w:color w:val="auto"/>
          <w:sz w:val="30"/>
          <w:highlight w:val="none"/>
          <w:u w:val="single"/>
        </w:rPr>
      </w:pPr>
      <w:r>
        <w:rPr>
          <w:rFonts w:hint="eastAsia" w:ascii="宋体" w:hAnsi="宋体" w:cs="宋体"/>
          <w:color w:val="auto"/>
          <w:sz w:val="30"/>
          <w:highlight w:val="none"/>
        </w:rPr>
        <w:t>投标人：</w:t>
      </w:r>
      <w:r>
        <w:rPr>
          <w:rFonts w:hint="eastAsia" w:ascii="宋体" w:hAnsi="宋体" w:cs="宋体"/>
          <w:color w:val="auto"/>
          <w:sz w:val="30"/>
          <w:highlight w:val="none"/>
          <w:u w:val="single"/>
        </w:rPr>
        <w:t xml:space="preserve">          （企业数字证书电子签名）</w:t>
      </w:r>
    </w:p>
    <w:p w14:paraId="14894432">
      <w:pPr>
        <w:pStyle w:val="16"/>
        <w:spacing w:line="360" w:lineRule="auto"/>
        <w:ind w:firstLine="1875" w:firstLineChars="625"/>
        <w:rPr>
          <w:rFonts w:hint="eastAsia" w:ascii="宋体" w:hAnsi="宋体" w:cs="宋体"/>
          <w:color w:val="auto"/>
          <w:sz w:val="30"/>
          <w:highlight w:val="none"/>
        </w:rPr>
      </w:pPr>
      <w:r>
        <w:rPr>
          <w:rFonts w:hint="eastAsia" w:ascii="宋体" w:hAnsi="宋体" w:cs="宋体"/>
          <w:color w:val="auto"/>
          <w:sz w:val="30"/>
          <w:highlight w:val="none"/>
        </w:rPr>
        <w:t>日  期：</w:t>
      </w:r>
      <w:r>
        <w:rPr>
          <w:rFonts w:hint="eastAsia" w:ascii="宋体" w:hAnsi="宋体" w:cs="宋体"/>
          <w:color w:val="auto"/>
          <w:sz w:val="30"/>
          <w:highlight w:val="none"/>
          <w:u w:val="single"/>
        </w:rPr>
        <w:t xml:space="preserve">     </w:t>
      </w:r>
      <w:r>
        <w:rPr>
          <w:rFonts w:hint="eastAsia" w:ascii="宋体" w:hAnsi="宋体" w:cs="宋体"/>
          <w:color w:val="auto"/>
          <w:sz w:val="30"/>
          <w:highlight w:val="none"/>
        </w:rPr>
        <w:t>年</w:t>
      </w:r>
      <w:r>
        <w:rPr>
          <w:rFonts w:hint="eastAsia" w:ascii="宋体" w:hAnsi="宋体" w:cs="宋体"/>
          <w:color w:val="auto"/>
          <w:sz w:val="30"/>
          <w:highlight w:val="none"/>
          <w:u w:val="single"/>
        </w:rPr>
        <w:t xml:space="preserve">    </w:t>
      </w:r>
      <w:r>
        <w:rPr>
          <w:rFonts w:hint="eastAsia" w:ascii="宋体" w:hAnsi="宋体" w:cs="宋体"/>
          <w:color w:val="auto"/>
          <w:sz w:val="30"/>
          <w:highlight w:val="none"/>
        </w:rPr>
        <w:t>月</w:t>
      </w:r>
      <w:r>
        <w:rPr>
          <w:rFonts w:hint="eastAsia" w:ascii="宋体" w:hAnsi="宋体" w:cs="宋体"/>
          <w:color w:val="auto"/>
          <w:sz w:val="30"/>
          <w:highlight w:val="none"/>
          <w:u w:val="single"/>
        </w:rPr>
        <w:t xml:space="preserve">    </w:t>
      </w:r>
      <w:r>
        <w:rPr>
          <w:rFonts w:hint="eastAsia" w:ascii="宋体" w:hAnsi="宋体" w:cs="宋体"/>
          <w:color w:val="auto"/>
          <w:sz w:val="30"/>
          <w:highlight w:val="none"/>
        </w:rPr>
        <w:t>日</w:t>
      </w:r>
    </w:p>
    <w:p w14:paraId="58878444">
      <w:pPr>
        <w:pStyle w:val="16"/>
        <w:spacing w:line="360" w:lineRule="auto"/>
        <w:rPr>
          <w:rFonts w:ascii="宋体" w:hAnsi="宋体" w:cs="宋体"/>
          <w:color w:val="auto"/>
          <w:highlight w:val="none"/>
        </w:rPr>
      </w:pPr>
    </w:p>
    <w:p w14:paraId="58C18247">
      <w:pPr>
        <w:pStyle w:val="16"/>
        <w:spacing w:line="360" w:lineRule="auto"/>
        <w:rPr>
          <w:rFonts w:ascii="宋体" w:hAnsi="宋体" w:cs="宋体"/>
          <w:color w:val="auto"/>
          <w:highlight w:val="none"/>
        </w:rPr>
      </w:pPr>
      <w:r>
        <w:rPr>
          <w:rFonts w:hint="eastAsia" w:ascii="宋体" w:hAnsi="宋体" w:cs="宋体"/>
          <w:color w:val="auto"/>
          <w:highlight w:val="none"/>
        </w:rPr>
        <w:br w:type="page"/>
      </w:r>
    </w:p>
    <w:p w14:paraId="1687786B">
      <w:pPr>
        <w:keepNext w:val="0"/>
        <w:keepLines w:val="0"/>
        <w:pageBreakBefore w:val="0"/>
        <w:widowControl w:val="0"/>
        <w:tabs>
          <w:tab w:val="left" w:pos="567"/>
        </w:tabs>
        <w:kinsoku/>
        <w:wordWrap/>
        <w:overflowPunct/>
        <w:topLinePunct w:val="0"/>
        <w:autoSpaceDE w:val="0"/>
        <w:autoSpaceDN w:val="0"/>
        <w:bidi w:val="0"/>
        <w:adjustRightInd w:val="0"/>
        <w:snapToGrid/>
        <w:spacing w:line="360" w:lineRule="auto"/>
        <w:ind w:left="357" w:leftChars="-100" w:hanging="567"/>
        <w:jc w:val="center"/>
        <w:textAlignment w:val="auto"/>
        <w:outlineLvl w:val="3"/>
        <w:rPr>
          <w:rFonts w:ascii="宋体" w:hAnsi="宋体" w:eastAsia="宋体" w:cs="宋体"/>
          <w:b/>
          <w:color w:val="auto"/>
          <w:kern w:val="0"/>
          <w:sz w:val="24"/>
          <w:szCs w:val="24"/>
          <w:highlight w:val="none"/>
        </w:rPr>
      </w:pPr>
      <w:bookmarkStart w:id="850" w:name="_Toc195714400"/>
      <w:bookmarkStart w:id="851" w:name="_Toc14054"/>
      <w:r>
        <w:rPr>
          <w:rFonts w:hint="eastAsia" w:ascii="宋体" w:hAnsi="宋体" w:eastAsia="宋体" w:cs="宋体"/>
          <w:b/>
          <w:color w:val="auto"/>
          <w:kern w:val="0"/>
          <w:sz w:val="24"/>
          <w:szCs w:val="24"/>
          <w:highlight w:val="none"/>
        </w:rPr>
        <w:t>目录</w:t>
      </w:r>
      <w:bookmarkEnd w:id="850"/>
      <w:bookmarkEnd w:id="851"/>
    </w:p>
    <w:p w14:paraId="6CCFB3AE">
      <w:pPr>
        <w:spacing w:line="360" w:lineRule="auto"/>
        <w:ind w:left="0" w:leftChars="0" w:firstLine="0" w:firstLineChars="0"/>
        <w:rPr>
          <w:rFonts w:hint="eastAsia" w:ascii="宋体" w:hAnsi="宋体" w:eastAsia="宋体" w:cs="宋体"/>
          <w:color w:val="auto"/>
          <w:kern w:val="0"/>
          <w:szCs w:val="21"/>
          <w:highlight w:val="none"/>
        </w:rPr>
      </w:pPr>
    </w:p>
    <w:p w14:paraId="1863EC3B">
      <w:pPr>
        <w:spacing w:line="360" w:lineRule="auto"/>
        <w:ind w:left="443" w:leftChars="77" w:hanging="281" w:hangingChars="134"/>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一、用户需求响应程度（</w:t>
      </w:r>
      <w:r>
        <w:rPr>
          <w:rFonts w:hint="eastAsia" w:ascii="宋体" w:hAnsi="宋体" w:eastAsia="宋体" w:cs="宋体"/>
          <w:color w:val="auto"/>
          <w:kern w:val="0"/>
          <w:szCs w:val="21"/>
          <w:highlight w:val="none"/>
          <w:lang w:val="en-US" w:eastAsia="zh-CN"/>
        </w:rPr>
        <w:t>即</w:t>
      </w:r>
      <w:r>
        <w:rPr>
          <w:rFonts w:hint="eastAsia" w:ascii="宋体" w:hAnsi="宋体" w:eastAsia="宋体" w:cs="宋体"/>
          <w:color w:val="auto"/>
          <w:kern w:val="0"/>
          <w:szCs w:val="21"/>
          <w:highlight w:val="none"/>
        </w:rPr>
        <w:t>用户需求偏离表）；</w:t>
      </w:r>
    </w:p>
    <w:p w14:paraId="7BBF2F97">
      <w:pPr>
        <w:spacing w:line="360" w:lineRule="auto"/>
        <w:ind w:left="443" w:leftChars="77" w:hanging="281" w:hangingChars="134"/>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二、半干化泥粉/污泥处置服务方案；</w:t>
      </w:r>
    </w:p>
    <w:p w14:paraId="03F1B11B">
      <w:pPr>
        <w:spacing w:line="360" w:lineRule="auto"/>
        <w:ind w:left="443" w:leftChars="77" w:hanging="281" w:hangingChars="134"/>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三、半干化泥粉/污泥处置方式；</w:t>
      </w:r>
    </w:p>
    <w:p w14:paraId="12F145DB">
      <w:pPr>
        <w:spacing w:line="360" w:lineRule="auto"/>
        <w:ind w:left="443" w:leftChars="77" w:hanging="281" w:hangingChars="134"/>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四、应急预案和保障措施；</w:t>
      </w:r>
    </w:p>
    <w:p w14:paraId="7B2D5CA5">
      <w:pPr>
        <w:spacing w:line="360" w:lineRule="auto"/>
        <w:ind w:left="443" w:leftChars="77" w:hanging="281" w:hangingChars="134"/>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五、</w:t>
      </w:r>
      <w:r>
        <w:rPr>
          <w:rFonts w:hint="eastAsia" w:ascii="宋体" w:hAnsi="宋体" w:eastAsia="宋体" w:cs="宋体"/>
          <w:color w:val="auto"/>
          <w:kern w:val="0"/>
          <w:szCs w:val="21"/>
          <w:highlight w:val="none"/>
          <w:lang w:eastAsia="zh-CN"/>
        </w:rPr>
        <w:t>投标人</w:t>
      </w:r>
      <w:r>
        <w:rPr>
          <w:rFonts w:hint="eastAsia" w:ascii="宋体" w:hAnsi="宋体" w:eastAsia="宋体" w:cs="宋体"/>
          <w:color w:val="auto"/>
          <w:kern w:val="0"/>
          <w:szCs w:val="21"/>
          <w:highlight w:val="none"/>
        </w:rPr>
        <w:t>认为有必要提供的其它材料（不做强制要求）。</w:t>
      </w:r>
    </w:p>
    <w:p w14:paraId="570FF603">
      <w:pPr>
        <w:rPr>
          <w:rFonts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br w:type="page"/>
      </w:r>
    </w:p>
    <w:p w14:paraId="4871CAC1">
      <w:pPr>
        <w:tabs>
          <w:tab w:val="left" w:pos="567"/>
        </w:tabs>
        <w:autoSpaceDE w:val="0"/>
        <w:autoSpaceDN w:val="0"/>
        <w:adjustRightInd w:val="0"/>
        <w:spacing w:line="360" w:lineRule="auto"/>
        <w:jc w:val="left"/>
        <w:outlineLvl w:val="3"/>
        <w:rPr>
          <w:rFonts w:ascii="宋体" w:hAnsi="宋体" w:eastAsia="宋体" w:cs="宋体"/>
          <w:b/>
          <w:color w:val="auto"/>
          <w:kern w:val="0"/>
          <w:sz w:val="30"/>
          <w:szCs w:val="30"/>
          <w:highlight w:val="none"/>
        </w:rPr>
      </w:pPr>
      <w:bookmarkStart w:id="852" w:name="_Toc27934"/>
      <w:bookmarkStart w:id="853" w:name="_Toc18999"/>
      <w:bookmarkStart w:id="854" w:name="_Toc24129"/>
      <w:bookmarkStart w:id="855" w:name="_Toc30448"/>
      <w:bookmarkStart w:id="856" w:name="_Toc195714401"/>
      <w:r>
        <w:rPr>
          <w:rFonts w:hint="eastAsia" w:ascii="宋体" w:hAnsi="宋体" w:eastAsia="宋体" w:cs="宋体"/>
          <w:b/>
          <w:color w:val="auto"/>
          <w:kern w:val="0"/>
          <w:sz w:val="30"/>
          <w:szCs w:val="30"/>
          <w:highlight w:val="none"/>
        </w:rPr>
        <w:t>一、用户需求偏离表</w:t>
      </w:r>
      <w:bookmarkEnd w:id="842"/>
      <w:bookmarkEnd w:id="843"/>
      <w:bookmarkEnd w:id="844"/>
      <w:bookmarkEnd w:id="845"/>
      <w:bookmarkEnd w:id="846"/>
      <w:bookmarkEnd w:id="847"/>
      <w:bookmarkEnd w:id="848"/>
      <w:bookmarkEnd w:id="849"/>
      <w:bookmarkEnd w:id="852"/>
      <w:bookmarkEnd w:id="853"/>
      <w:bookmarkEnd w:id="854"/>
      <w:bookmarkEnd w:id="855"/>
      <w:bookmarkEnd w:id="856"/>
    </w:p>
    <w:p w14:paraId="62EE66FC">
      <w:pPr>
        <w:spacing w:before="120" w:after="120" w:line="360" w:lineRule="auto"/>
        <w:jc w:val="center"/>
        <w:rPr>
          <w:rFonts w:ascii="宋体" w:hAnsi="宋体" w:eastAsia="宋体" w:cs="Times New Roman"/>
          <w:color w:val="auto"/>
          <w:kern w:val="0"/>
          <w:szCs w:val="21"/>
          <w:highlight w:val="none"/>
        </w:rPr>
      </w:pPr>
      <w:bookmarkStart w:id="857" w:name="_Toc17449_WPSOffice_Level3"/>
      <w:r>
        <w:rPr>
          <w:rFonts w:hint="eastAsia" w:ascii="宋体" w:hAnsi="宋体" w:eastAsia="宋体" w:cs="宋体"/>
          <w:b/>
          <w:color w:val="auto"/>
          <w:kern w:val="0"/>
          <w:sz w:val="30"/>
          <w:szCs w:val="30"/>
          <w:highlight w:val="none"/>
          <w:lang w:val="zh-CN"/>
        </w:rPr>
        <w:t>用户需求偏离表</w:t>
      </w:r>
      <w:bookmarkEnd w:id="857"/>
    </w:p>
    <w:tbl>
      <w:tblPr>
        <w:tblStyle w:val="5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2"/>
        <w:gridCol w:w="952"/>
        <w:gridCol w:w="6413"/>
        <w:gridCol w:w="722"/>
        <w:gridCol w:w="867"/>
        <w:gridCol w:w="844"/>
      </w:tblGrid>
      <w:tr w14:paraId="12B61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76" w:type="pct"/>
            <w:vMerge w:val="restart"/>
            <w:vAlign w:val="center"/>
          </w:tcPr>
          <w:p w14:paraId="6F88F3B5">
            <w:pPr>
              <w:spacing w:line="400" w:lineRule="exact"/>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序号</w:t>
            </w:r>
          </w:p>
        </w:tc>
        <w:tc>
          <w:tcPr>
            <w:tcW w:w="3551" w:type="pct"/>
            <w:gridSpan w:val="2"/>
            <w:vAlign w:val="center"/>
          </w:tcPr>
          <w:p w14:paraId="560ACE1A">
            <w:pPr>
              <w:spacing w:line="400" w:lineRule="exact"/>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招标文件</w:t>
            </w:r>
            <w:r>
              <w:rPr>
                <w:rFonts w:hint="eastAsia" w:ascii="宋体" w:hAnsi="宋体" w:eastAsia="宋体" w:cs="宋体"/>
                <w:color w:val="auto"/>
                <w:kern w:val="0"/>
                <w:sz w:val="21"/>
                <w:szCs w:val="21"/>
                <w:highlight w:val="none"/>
              </w:rPr>
              <w:t>要求</w:t>
            </w:r>
          </w:p>
        </w:tc>
        <w:tc>
          <w:tcPr>
            <w:tcW w:w="1172" w:type="pct"/>
            <w:gridSpan w:val="3"/>
            <w:vAlign w:val="center"/>
          </w:tcPr>
          <w:p w14:paraId="19640CFE">
            <w:pPr>
              <w:spacing w:line="400" w:lineRule="exact"/>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投标文件</w:t>
            </w:r>
            <w:r>
              <w:rPr>
                <w:rFonts w:hint="eastAsia" w:ascii="宋体" w:hAnsi="宋体" w:eastAsia="宋体" w:cs="宋体"/>
                <w:color w:val="auto"/>
                <w:kern w:val="0"/>
                <w:sz w:val="21"/>
                <w:szCs w:val="21"/>
                <w:highlight w:val="none"/>
              </w:rPr>
              <w:t>内容</w:t>
            </w:r>
          </w:p>
        </w:tc>
      </w:tr>
      <w:tr w14:paraId="1EE54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76" w:type="pct"/>
            <w:vMerge w:val="continue"/>
            <w:vAlign w:val="center"/>
          </w:tcPr>
          <w:p w14:paraId="1B5A6972">
            <w:pPr>
              <w:keepNext/>
              <w:keepLines/>
              <w:spacing w:line="400" w:lineRule="exact"/>
              <w:jc w:val="center"/>
              <w:outlineLvl w:val="0"/>
              <w:rPr>
                <w:rFonts w:ascii="宋体" w:hAnsi="宋体" w:eastAsia="宋体" w:cs="宋体"/>
                <w:color w:val="auto"/>
                <w:kern w:val="0"/>
                <w:sz w:val="21"/>
                <w:szCs w:val="21"/>
                <w:highlight w:val="none"/>
              </w:rPr>
            </w:pPr>
          </w:p>
        </w:tc>
        <w:tc>
          <w:tcPr>
            <w:tcW w:w="459" w:type="pct"/>
            <w:vAlign w:val="center"/>
          </w:tcPr>
          <w:p w14:paraId="3A8243B7">
            <w:pPr>
              <w:spacing w:line="400" w:lineRule="exact"/>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条款号</w:t>
            </w:r>
          </w:p>
        </w:tc>
        <w:tc>
          <w:tcPr>
            <w:tcW w:w="3092" w:type="pct"/>
            <w:vAlign w:val="center"/>
          </w:tcPr>
          <w:p w14:paraId="4B559434">
            <w:pPr>
              <w:spacing w:line="400" w:lineRule="exact"/>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简要内容</w:t>
            </w:r>
          </w:p>
        </w:tc>
        <w:tc>
          <w:tcPr>
            <w:tcW w:w="348" w:type="pct"/>
            <w:vAlign w:val="center"/>
          </w:tcPr>
          <w:p w14:paraId="2A363009">
            <w:pPr>
              <w:spacing w:line="400" w:lineRule="exact"/>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偏离情况</w:t>
            </w:r>
          </w:p>
        </w:tc>
        <w:tc>
          <w:tcPr>
            <w:tcW w:w="418" w:type="pct"/>
            <w:vAlign w:val="center"/>
          </w:tcPr>
          <w:p w14:paraId="097FACF1">
            <w:pPr>
              <w:spacing w:line="400" w:lineRule="exact"/>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实质性响应的具体内容</w:t>
            </w:r>
          </w:p>
        </w:tc>
        <w:tc>
          <w:tcPr>
            <w:tcW w:w="405" w:type="pct"/>
            <w:vAlign w:val="center"/>
          </w:tcPr>
          <w:p w14:paraId="1E7A9987">
            <w:pPr>
              <w:spacing w:line="400" w:lineRule="exact"/>
              <w:jc w:val="center"/>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对应证明材料页码</w:t>
            </w:r>
          </w:p>
        </w:tc>
      </w:tr>
      <w:tr w14:paraId="03E3A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276" w:type="pct"/>
            <w:vAlign w:val="center"/>
          </w:tcPr>
          <w:p w14:paraId="4E5910C4">
            <w:pPr>
              <w:spacing w:line="400" w:lineRule="exact"/>
              <w:jc w:val="center"/>
              <w:rPr>
                <w:rFonts w:hint="eastAsia" w:ascii="宋体" w:hAnsi="宋体" w:eastAsia="宋体" w:cs="宋体"/>
                <w:color w:val="auto"/>
                <w:kern w:val="0"/>
                <w:sz w:val="21"/>
                <w:szCs w:val="21"/>
                <w:highlight w:val="none"/>
                <w:lang w:val="en-US" w:eastAsia="zh-CN"/>
              </w:rPr>
            </w:pPr>
            <w:bookmarkStart w:id="858" w:name="_Toc32583"/>
            <w:bookmarkStart w:id="859" w:name="_Toc195714402"/>
            <w:r>
              <w:rPr>
                <w:rFonts w:hint="eastAsia" w:ascii="宋体" w:hAnsi="宋体" w:eastAsia="宋体" w:cs="宋体"/>
                <w:color w:val="auto"/>
                <w:kern w:val="0"/>
                <w:sz w:val="21"/>
                <w:szCs w:val="21"/>
                <w:highlight w:val="none"/>
                <w:lang w:val="en-US" w:eastAsia="zh-CN"/>
              </w:rPr>
              <w:t>1</w:t>
            </w:r>
          </w:p>
        </w:tc>
        <w:tc>
          <w:tcPr>
            <w:tcW w:w="459" w:type="pct"/>
            <w:vAlign w:val="center"/>
          </w:tcPr>
          <w:p w14:paraId="64E5CCFF">
            <w:pPr>
              <w:jc w:val="center"/>
              <w:rPr>
                <w:rFonts w:hint="eastAsia" w:ascii="宋体" w:hAnsi="宋体" w:eastAsia="宋体"/>
                <w:bCs/>
                <w:color w:val="auto"/>
                <w:sz w:val="21"/>
                <w:szCs w:val="21"/>
                <w:highlight w:val="none"/>
                <w:lang w:val="en-US" w:eastAsia="zh-CN"/>
              </w:rPr>
            </w:pPr>
            <w:r>
              <w:rPr>
                <w:rFonts w:hint="eastAsia" w:ascii="宋体" w:hAnsi="宋体" w:eastAsia="宋体"/>
                <w:bCs/>
                <w:color w:val="auto"/>
                <w:sz w:val="21"/>
                <w:szCs w:val="21"/>
                <w:highlight w:val="none"/>
                <w:lang w:val="en-US" w:eastAsia="zh-CN"/>
              </w:rPr>
              <w:t>一</w:t>
            </w:r>
          </w:p>
        </w:tc>
        <w:tc>
          <w:tcPr>
            <w:tcW w:w="3092" w:type="pct"/>
            <w:vAlign w:val="center"/>
          </w:tcPr>
          <w:p w14:paraId="1138B173">
            <w:pPr>
              <w:jc w:val="left"/>
              <w:rPr>
                <w:rFonts w:ascii="宋体" w:hAnsi="宋体" w:eastAsia="宋体"/>
                <w:color w:val="auto"/>
                <w:sz w:val="21"/>
                <w:szCs w:val="21"/>
                <w:highlight w:val="none"/>
              </w:rPr>
            </w:pPr>
            <w:r>
              <w:rPr>
                <w:rFonts w:hint="eastAsia" w:ascii="宋体" w:hAnsi="宋体" w:eastAsia="宋体"/>
                <w:color w:val="auto"/>
                <w:sz w:val="21"/>
                <w:szCs w:val="21"/>
                <w:highlight w:val="none"/>
              </w:rPr>
              <w:t>项目概况</w:t>
            </w:r>
          </w:p>
        </w:tc>
        <w:tc>
          <w:tcPr>
            <w:tcW w:w="348" w:type="pct"/>
            <w:vAlign w:val="center"/>
          </w:tcPr>
          <w:p w14:paraId="02697D4A">
            <w:pPr>
              <w:keepNext/>
              <w:keepLines/>
              <w:spacing w:line="400" w:lineRule="exact"/>
              <w:jc w:val="center"/>
              <w:outlineLvl w:val="2"/>
              <w:rPr>
                <w:rFonts w:ascii="宋体" w:hAnsi="宋体" w:eastAsia="宋体" w:cs="宋体"/>
                <w:color w:val="auto"/>
                <w:kern w:val="0"/>
                <w:sz w:val="21"/>
                <w:szCs w:val="21"/>
                <w:highlight w:val="none"/>
              </w:rPr>
            </w:pPr>
          </w:p>
        </w:tc>
        <w:tc>
          <w:tcPr>
            <w:tcW w:w="418" w:type="pct"/>
            <w:vAlign w:val="center"/>
          </w:tcPr>
          <w:p w14:paraId="394A6666">
            <w:pPr>
              <w:keepNext/>
              <w:keepLines/>
              <w:spacing w:line="400" w:lineRule="exact"/>
              <w:jc w:val="center"/>
              <w:outlineLvl w:val="2"/>
              <w:rPr>
                <w:rFonts w:ascii="宋体" w:hAnsi="宋体" w:eastAsia="宋体" w:cs="宋体"/>
                <w:color w:val="auto"/>
                <w:kern w:val="0"/>
                <w:sz w:val="21"/>
                <w:szCs w:val="21"/>
                <w:highlight w:val="none"/>
              </w:rPr>
            </w:pPr>
          </w:p>
        </w:tc>
        <w:tc>
          <w:tcPr>
            <w:tcW w:w="405" w:type="pct"/>
            <w:vAlign w:val="center"/>
          </w:tcPr>
          <w:p w14:paraId="4A056A01">
            <w:pPr>
              <w:keepNext/>
              <w:keepLines/>
              <w:spacing w:line="400" w:lineRule="exact"/>
              <w:jc w:val="center"/>
              <w:outlineLvl w:val="2"/>
              <w:rPr>
                <w:rFonts w:ascii="宋体" w:hAnsi="宋体" w:eastAsia="宋体" w:cs="宋体"/>
                <w:color w:val="auto"/>
                <w:kern w:val="0"/>
                <w:sz w:val="21"/>
                <w:szCs w:val="21"/>
                <w:highlight w:val="none"/>
              </w:rPr>
            </w:pPr>
          </w:p>
        </w:tc>
      </w:tr>
      <w:tr w14:paraId="2C5B9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Align w:val="center"/>
          </w:tcPr>
          <w:p w14:paraId="09A8FF2C">
            <w:pPr>
              <w:spacing w:line="400" w:lineRule="exact"/>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w:t>
            </w:r>
          </w:p>
        </w:tc>
        <w:tc>
          <w:tcPr>
            <w:tcW w:w="459" w:type="pct"/>
            <w:vAlign w:val="center"/>
          </w:tcPr>
          <w:p w14:paraId="6184292D">
            <w:pPr>
              <w:jc w:val="center"/>
              <w:rPr>
                <w:rFonts w:hint="eastAsia" w:ascii="宋体" w:hAnsi="宋体" w:eastAsia="宋体"/>
                <w:bCs/>
                <w:color w:val="auto"/>
                <w:sz w:val="21"/>
                <w:szCs w:val="21"/>
                <w:highlight w:val="none"/>
                <w:lang w:val="en-US" w:eastAsia="zh-CN"/>
              </w:rPr>
            </w:pPr>
            <w:r>
              <w:rPr>
                <w:rFonts w:hint="eastAsia" w:ascii="宋体" w:hAnsi="宋体" w:eastAsia="宋体"/>
                <w:bCs/>
                <w:color w:val="auto"/>
                <w:sz w:val="21"/>
                <w:szCs w:val="21"/>
                <w:highlight w:val="none"/>
                <w:lang w:val="en-US" w:eastAsia="zh-CN"/>
              </w:rPr>
              <w:t>二</w:t>
            </w:r>
          </w:p>
        </w:tc>
        <w:tc>
          <w:tcPr>
            <w:tcW w:w="3092" w:type="pct"/>
            <w:vAlign w:val="center"/>
          </w:tcPr>
          <w:p w14:paraId="28407A80">
            <w:pPr>
              <w:jc w:val="left"/>
              <w:rPr>
                <w:rFonts w:ascii="宋体" w:hAnsi="宋体" w:eastAsia="宋体"/>
                <w:color w:val="auto"/>
                <w:sz w:val="21"/>
                <w:szCs w:val="21"/>
                <w:highlight w:val="none"/>
              </w:rPr>
            </w:pPr>
            <w:r>
              <w:rPr>
                <w:rFonts w:hint="eastAsia" w:ascii="宋体" w:hAnsi="宋体" w:eastAsia="宋体"/>
                <w:color w:val="auto"/>
                <w:sz w:val="21"/>
                <w:szCs w:val="21"/>
                <w:highlight w:val="none"/>
                <w:lang w:val="en-US" w:eastAsia="zh-CN"/>
              </w:rPr>
              <w:t>供应商库的使用方式</w:t>
            </w:r>
          </w:p>
        </w:tc>
        <w:tc>
          <w:tcPr>
            <w:tcW w:w="348" w:type="pct"/>
            <w:vAlign w:val="center"/>
          </w:tcPr>
          <w:p w14:paraId="060625D5">
            <w:pPr>
              <w:keepNext/>
              <w:keepLines/>
              <w:spacing w:line="400" w:lineRule="exact"/>
              <w:jc w:val="center"/>
              <w:outlineLvl w:val="2"/>
              <w:rPr>
                <w:rFonts w:ascii="宋体" w:hAnsi="宋体" w:eastAsia="宋体" w:cs="宋体"/>
                <w:color w:val="auto"/>
                <w:kern w:val="0"/>
                <w:sz w:val="21"/>
                <w:szCs w:val="21"/>
                <w:highlight w:val="none"/>
              </w:rPr>
            </w:pPr>
          </w:p>
        </w:tc>
        <w:tc>
          <w:tcPr>
            <w:tcW w:w="418" w:type="pct"/>
            <w:vAlign w:val="center"/>
          </w:tcPr>
          <w:p w14:paraId="27AB49EE">
            <w:pPr>
              <w:keepNext/>
              <w:keepLines/>
              <w:spacing w:line="400" w:lineRule="exact"/>
              <w:jc w:val="center"/>
              <w:outlineLvl w:val="2"/>
              <w:rPr>
                <w:rFonts w:ascii="宋体" w:hAnsi="宋体" w:eastAsia="宋体" w:cs="宋体"/>
                <w:color w:val="auto"/>
                <w:kern w:val="0"/>
                <w:sz w:val="21"/>
                <w:szCs w:val="21"/>
                <w:highlight w:val="none"/>
              </w:rPr>
            </w:pPr>
          </w:p>
        </w:tc>
        <w:tc>
          <w:tcPr>
            <w:tcW w:w="405" w:type="pct"/>
            <w:vAlign w:val="center"/>
          </w:tcPr>
          <w:p w14:paraId="0BE284CA">
            <w:pPr>
              <w:keepNext/>
              <w:keepLines/>
              <w:spacing w:line="400" w:lineRule="exact"/>
              <w:jc w:val="center"/>
              <w:outlineLvl w:val="2"/>
              <w:rPr>
                <w:rFonts w:ascii="宋体" w:hAnsi="宋体" w:eastAsia="宋体" w:cs="宋体"/>
                <w:color w:val="auto"/>
                <w:kern w:val="0"/>
                <w:sz w:val="21"/>
                <w:szCs w:val="21"/>
                <w:highlight w:val="none"/>
              </w:rPr>
            </w:pPr>
          </w:p>
        </w:tc>
      </w:tr>
      <w:tr w14:paraId="3E25C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Align w:val="center"/>
          </w:tcPr>
          <w:p w14:paraId="5B85BC3A">
            <w:pPr>
              <w:spacing w:line="400" w:lineRule="exact"/>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w:t>
            </w:r>
          </w:p>
        </w:tc>
        <w:tc>
          <w:tcPr>
            <w:tcW w:w="459" w:type="pct"/>
            <w:vAlign w:val="center"/>
          </w:tcPr>
          <w:p w14:paraId="16A4656F">
            <w:pPr>
              <w:jc w:val="center"/>
              <w:rPr>
                <w:rFonts w:hint="eastAsia" w:ascii="宋体" w:hAnsi="宋体" w:eastAsia="宋体"/>
                <w:bCs/>
                <w:color w:val="auto"/>
                <w:sz w:val="21"/>
                <w:szCs w:val="21"/>
                <w:highlight w:val="none"/>
                <w:lang w:val="en-US" w:eastAsia="zh-CN"/>
              </w:rPr>
            </w:pPr>
            <w:r>
              <w:rPr>
                <w:rFonts w:hint="eastAsia" w:ascii="宋体" w:hAnsi="宋体" w:eastAsia="宋体"/>
                <w:bCs/>
                <w:color w:val="auto"/>
                <w:sz w:val="21"/>
                <w:szCs w:val="21"/>
                <w:highlight w:val="none"/>
                <w:lang w:val="en-US" w:eastAsia="zh-CN"/>
              </w:rPr>
              <w:t>三</w:t>
            </w:r>
          </w:p>
        </w:tc>
        <w:tc>
          <w:tcPr>
            <w:tcW w:w="3092" w:type="pct"/>
            <w:vAlign w:val="center"/>
          </w:tcPr>
          <w:p w14:paraId="79DD8EEB">
            <w:pPr>
              <w:jc w:val="left"/>
              <w:rPr>
                <w:rFonts w:ascii="宋体" w:hAnsi="宋体" w:eastAsia="宋体"/>
                <w:color w:val="auto"/>
                <w:sz w:val="21"/>
                <w:szCs w:val="21"/>
                <w:highlight w:val="none"/>
              </w:rPr>
            </w:pPr>
            <w:r>
              <w:rPr>
                <w:rFonts w:hint="eastAsia" w:ascii="宋体" w:hAnsi="宋体" w:eastAsia="宋体"/>
                <w:color w:val="auto"/>
                <w:sz w:val="21"/>
                <w:szCs w:val="21"/>
                <w:highlight w:val="none"/>
                <w:lang w:val="en-US" w:eastAsia="zh-CN"/>
              </w:rPr>
              <w:t>退出机制</w:t>
            </w:r>
          </w:p>
        </w:tc>
        <w:tc>
          <w:tcPr>
            <w:tcW w:w="348" w:type="pct"/>
            <w:vAlign w:val="center"/>
          </w:tcPr>
          <w:p w14:paraId="195B188B">
            <w:pPr>
              <w:keepNext/>
              <w:keepLines/>
              <w:spacing w:line="400" w:lineRule="exact"/>
              <w:jc w:val="center"/>
              <w:outlineLvl w:val="2"/>
              <w:rPr>
                <w:rFonts w:ascii="宋体" w:hAnsi="宋体" w:eastAsia="宋体" w:cs="宋体"/>
                <w:color w:val="auto"/>
                <w:kern w:val="0"/>
                <w:sz w:val="21"/>
                <w:szCs w:val="21"/>
                <w:highlight w:val="none"/>
              </w:rPr>
            </w:pPr>
          </w:p>
        </w:tc>
        <w:tc>
          <w:tcPr>
            <w:tcW w:w="418" w:type="pct"/>
            <w:vAlign w:val="center"/>
          </w:tcPr>
          <w:p w14:paraId="02A05B0A">
            <w:pPr>
              <w:keepNext/>
              <w:keepLines/>
              <w:spacing w:line="400" w:lineRule="exact"/>
              <w:jc w:val="center"/>
              <w:outlineLvl w:val="2"/>
              <w:rPr>
                <w:rFonts w:ascii="宋体" w:hAnsi="宋体" w:eastAsia="宋体" w:cs="宋体"/>
                <w:color w:val="auto"/>
                <w:kern w:val="0"/>
                <w:sz w:val="21"/>
                <w:szCs w:val="21"/>
                <w:highlight w:val="none"/>
              </w:rPr>
            </w:pPr>
          </w:p>
        </w:tc>
        <w:tc>
          <w:tcPr>
            <w:tcW w:w="405" w:type="pct"/>
            <w:vAlign w:val="center"/>
          </w:tcPr>
          <w:p w14:paraId="11A433E5">
            <w:pPr>
              <w:keepNext/>
              <w:keepLines/>
              <w:spacing w:line="400" w:lineRule="exact"/>
              <w:jc w:val="center"/>
              <w:outlineLvl w:val="2"/>
              <w:rPr>
                <w:rFonts w:ascii="宋体" w:hAnsi="宋体" w:eastAsia="宋体" w:cs="宋体"/>
                <w:color w:val="auto"/>
                <w:kern w:val="0"/>
                <w:sz w:val="21"/>
                <w:szCs w:val="21"/>
                <w:highlight w:val="none"/>
              </w:rPr>
            </w:pPr>
          </w:p>
        </w:tc>
      </w:tr>
      <w:tr w14:paraId="1EDC3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Align w:val="center"/>
          </w:tcPr>
          <w:p w14:paraId="64E32A5B">
            <w:pPr>
              <w:spacing w:line="400" w:lineRule="exact"/>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4</w:t>
            </w:r>
          </w:p>
        </w:tc>
        <w:tc>
          <w:tcPr>
            <w:tcW w:w="459" w:type="pct"/>
            <w:vAlign w:val="center"/>
          </w:tcPr>
          <w:p w14:paraId="5DD38549">
            <w:pPr>
              <w:jc w:val="center"/>
              <w:rPr>
                <w:rFonts w:hint="default" w:ascii="宋体" w:hAnsi="宋体" w:eastAsia="宋体"/>
                <w:bCs/>
                <w:color w:val="auto"/>
                <w:sz w:val="21"/>
                <w:szCs w:val="21"/>
                <w:highlight w:val="none"/>
                <w:lang w:val="en-US" w:eastAsia="zh-CN"/>
              </w:rPr>
            </w:pPr>
            <w:r>
              <w:rPr>
                <w:rFonts w:hint="eastAsia" w:ascii="宋体" w:hAnsi="宋体" w:eastAsia="宋体"/>
                <w:bCs/>
                <w:color w:val="auto"/>
                <w:sz w:val="21"/>
                <w:szCs w:val="21"/>
                <w:highlight w:val="none"/>
                <w:lang w:val="en-US" w:eastAsia="zh-CN"/>
              </w:rPr>
              <w:t>四</w:t>
            </w:r>
          </w:p>
        </w:tc>
        <w:tc>
          <w:tcPr>
            <w:tcW w:w="3092" w:type="pct"/>
            <w:vAlign w:val="center"/>
          </w:tcPr>
          <w:p w14:paraId="3CDD9F45">
            <w:pPr>
              <w:jc w:val="left"/>
              <w:rPr>
                <w:rFonts w:hint="eastAsia" w:ascii="宋体" w:hAnsi="宋体" w:eastAsia="宋体"/>
                <w:color w:val="auto"/>
                <w:sz w:val="21"/>
                <w:szCs w:val="21"/>
                <w:highlight w:val="none"/>
              </w:rPr>
            </w:pPr>
            <w:r>
              <w:rPr>
                <w:rFonts w:hint="eastAsia" w:ascii="宋体" w:hAnsi="宋体" w:eastAsia="宋体"/>
                <w:color w:val="auto"/>
                <w:sz w:val="21"/>
                <w:szCs w:val="21"/>
                <w:highlight w:val="none"/>
                <w:lang w:val="en-US" w:eastAsia="zh-CN"/>
              </w:rPr>
              <w:t>供应商管理</w:t>
            </w:r>
          </w:p>
        </w:tc>
        <w:tc>
          <w:tcPr>
            <w:tcW w:w="348" w:type="pct"/>
            <w:vAlign w:val="center"/>
          </w:tcPr>
          <w:p w14:paraId="7D99BC6B">
            <w:pPr>
              <w:keepNext/>
              <w:keepLines/>
              <w:spacing w:line="400" w:lineRule="exact"/>
              <w:jc w:val="center"/>
              <w:outlineLvl w:val="2"/>
              <w:rPr>
                <w:rFonts w:ascii="宋体" w:hAnsi="宋体" w:eastAsia="宋体" w:cs="宋体"/>
                <w:color w:val="auto"/>
                <w:kern w:val="0"/>
                <w:sz w:val="21"/>
                <w:szCs w:val="21"/>
                <w:highlight w:val="none"/>
              </w:rPr>
            </w:pPr>
          </w:p>
        </w:tc>
        <w:tc>
          <w:tcPr>
            <w:tcW w:w="418" w:type="pct"/>
            <w:vAlign w:val="center"/>
          </w:tcPr>
          <w:p w14:paraId="1026080B">
            <w:pPr>
              <w:keepNext/>
              <w:keepLines/>
              <w:spacing w:line="400" w:lineRule="exact"/>
              <w:jc w:val="center"/>
              <w:outlineLvl w:val="2"/>
              <w:rPr>
                <w:rFonts w:ascii="宋体" w:hAnsi="宋体" w:eastAsia="宋体" w:cs="宋体"/>
                <w:color w:val="auto"/>
                <w:kern w:val="0"/>
                <w:sz w:val="21"/>
                <w:szCs w:val="21"/>
                <w:highlight w:val="none"/>
              </w:rPr>
            </w:pPr>
          </w:p>
        </w:tc>
        <w:tc>
          <w:tcPr>
            <w:tcW w:w="405" w:type="pct"/>
            <w:vAlign w:val="center"/>
          </w:tcPr>
          <w:p w14:paraId="6760937A">
            <w:pPr>
              <w:keepNext/>
              <w:keepLines/>
              <w:spacing w:line="400" w:lineRule="exact"/>
              <w:jc w:val="center"/>
              <w:outlineLvl w:val="2"/>
              <w:rPr>
                <w:rFonts w:ascii="宋体" w:hAnsi="宋体" w:eastAsia="宋体" w:cs="宋体"/>
                <w:color w:val="auto"/>
                <w:kern w:val="0"/>
                <w:sz w:val="21"/>
                <w:szCs w:val="21"/>
                <w:highlight w:val="none"/>
              </w:rPr>
            </w:pPr>
          </w:p>
        </w:tc>
      </w:tr>
      <w:tr w14:paraId="45CF4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Align w:val="center"/>
          </w:tcPr>
          <w:p w14:paraId="755A6452">
            <w:pPr>
              <w:spacing w:line="400" w:lineRule="exact"/>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5</w:t>
            </w:r>
          </w:p>
        </w:tc>
        <w:tc>
          <w:tcPr>
            <w:tcW w:w="459" w:type="pct"/>
            <w:vAlign w:val="center"/>
          </w:tcPr>
          <w:p w14:paraId="61F5F7B8">
            <w:pPr>
              <w:jc w:val="center"/>
              <w:rPr>
                <w:rFonts w:hint="eastAsia" w:ascii="宋体" w:hAnsi="宋体" w:eastAsia="宋体"/>
                <w:bCs/>
                <w:color w:val="auto"/>
                <w:sz w:val="21"/>
                <w:szCs w:val="21"/>
                <w:highlight w:val="none"/>
                <w:lang w:val="en-US" w:eastAsia="zh-CN"/>
              </w:rPr>
            </w:pPr>
            <w:r>
              <w:rPr>
                <w:rFonts w:hint="eastAsia" w:ascii="宋体" w:hAnsi="宋体" w:eastAsia="宋体"/>
                <w:bCs/>
                <w:color w:val="auto"/>
                <w:sz w:val="21"/>
                <w:szCs w:val="21"/>
                <w:highlight w:val="none"/>
                <w:lang w:val="en-US" w:eastAsia="zh-CN"/>
              </w:rPr>
              <w:t>五</w:t>
            </w:r>
          </w:p>
        </w:tc>
        <w:tc>
          <w:tcPr>
            <w:tcW w:w="3092" w:type="pct"/>
            <w:vAlign w:val="center"/>
          </w:tcPr>
          <w:p w14:paraId="6C7C401C">
            <w:pPr>
              <w:jc w:val="left"/>
              <w:rPr>
                <w:rFonts w:ascii="宋体" w:hAnsi="宋体" w:eastAsia="宋体"/>
                <w:color w:val="auto"/>
                <w:sz w:val="21"/>
                <w:szCs w:val="21"/>
                <w:highlight w:val="none"/>
              </w:rPr>
            </w:pPr>
            <w:r>
              <w:rPr>
                <w:rFonts w:hint="eastAsia" w:ascii="宋体" w:hAnsi="宋体" w:eastAsia="宋体"/>
                <w:color w:val="auto"/>
                <w:sz w:val="21"/>
                <w:szCs w:val="21"/>
                <w:highlight w:val="none"/>
                <w:lang w:val="en-US" w:eastAsia="zh-CN"/>
              </w:rPr>
              <w:t>服务要求</w:t>
            </w:r>
          </w:p>
        </w:tc>
        <w:tc>
          <w:tcPr>
            <w:tcW w:w="348" w:type="pct"/>
            <w:vAlign w:val="center"/>
          </w:tcPr>
          <w:p w14:paraId="39FDBCA9">
            <w:pPr>
              <w:keepNext/>
              <w:keepLines/>
              <w:spacing w:line="400" w:lineRule="exact"/>
              <w:jc w:val="center"/>
              <w:outlineLvl w:val="2"/>
              <w:rPr>
                <w:rFonts w:ascii="宋体" w:hAnsi="宋体" w:eastAsia="宋体" w:cs="宋体"/>
                <w:color w:val="auto"/>
                <w:kern w:val="0"/>
                <w:sz w:val="21"/>
                <w:szCs w:val="21"/>
                <w:highlight w:val="none"/>
              </w:rPr>
            </w:pPr>
          </w:p>
        </w:tc>
        <w:tc>
          <w:tcPr>
            <w:tcW w:w="418" w:type="pct"/>
            <w:vAlign w:val="center"/>
          </w:tcPr>
          <w:p w14:paraId="54F15720">
            <w:pPr>
              <w:keepNext/>
              <w:keepLines/>
              <w:spacing w:line="400" w:lineRule="exact"/>
              <w:jc w:val="center"/>
              <w:outlineLvl w:val="2"/>
              <w:rPr>
                <w:rFonts w:ascii="宋体" w:hAnsi="宋体" w:eastAsia="宋体" w:cs="宋体"/>
                <w:color w:val="auto"/>
                <w:kern w:val="0"/>
                <w:sz w:val="21"/>
                <w:szCs w:val="21"/>
                <w:highlight w:val="none"/>
              </w:rPr>
            </w:pPr>
          </w:p>
        </w:tc>
        <w:tc>
          <w:tcPr>
            <w:tcW w:w="405" w:type="pct"/>
            <w:vAlign w:val="center"/>
          </w:tcPr>
          <w:p w14:paraId="1189BE83">
            <w:pPr>
              <w:keepNext/>
              <w:keepLines/>
              <w:spacing w:line="400" w:lineRule="exact"/>
              <w:jc w:val="center"/>
              <w:outlineLvl w:val="2"/>
              <w:rPr>
                <w:rFonts w:ascii="宋体" w:hAnsi="宋体" w:eastAsia="宋体" w:cs="宋体"/>
                <w:color w:val="auto"/>
                <w:kern w:val="0"/>
                <w:sz w:val="21"/>
                <w:szCs w:val="21"/>
                <w:highlight w:val="none"/>
              </w:rPr>
            </w:pPr>
          </w:p>
        </w:tc>
      </w:tr>
      <w:tr w14:paraId="494B3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Align w:val="center"/>
          </w:tcPr>
          <w:p w14:paraId="087B7DDF">
            <w:pPr>
              <w:spacing w:line="400" w:lineRule="exact"/>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6</w:t>
            </w:r>
          </w:p>
        </w:tc>
        <w:tc>
          <w:tcPr>
            <w:tcW w:w="459" w:type="pct"/>
            <w:vAlign w:val="center"/>
          </w:tcPr>
          <w:p w14:paraId="64003A81">
            <w:pPr>
              <w:jc w:val="center"/>
              <w:rPr>
                <w:rFonts w:hint="eastAsia" w:ascii="宋体" w:hAnsi="宋体" w:eastAsia="宋体"/>
                <w:bCs/>
                <w:color w:val="auto"/>
                <w:sz w:val="21"/>
                <w:szCs w:val="21"/>
                <w:highlight w:val="none"/>
                <w:lang w:val="en-US" w:eastAsia="zh-CN"/>
              </w:rPr>
            </w:pPr>
            <w:r>
              <w:rPr>
                <w:rFonts w:hint="eastAsia" w:ascii="宋体" w:hAnsi="宋体" w:eastAsia="宋体"/>
                <w:bCs/>
                <w:color w:val="auto"/>
                <w:sz w:val="21"/>
                <w:szCs w:val="21"/>
                <w:highlight w:val="none"/>
                <w:lang w:val="en-US" w:eastAsia="zh-CN"/>
              </w:rPr>
              <w:t>六</w:t>
            </w:r>
          </w:p>
        </w:tc>
        <w:tc>
          <w:tcPr>
            <w:tcW w:w="3092" w:type="pct"/>
            <w:vAlign w:val="center"/>
          </w:tcPr>
          <w:p w14:paraId="5A1DA508">
            <w:pPr>
              <w:jc w:val="left"/>
              <w:rPr>
                <w:rFonts w:ascii="宋体" w:hAnsi="宋体" w:eastAsia="宋体"/>
                <w:color w:val="auto"/>
                <w:sz w:val="21"/>
                <w:szCs w:val="21"/>
                <w:highlight w:val="none"/>
              </w:rPr>
            </w:pPr>
            <w:r>
              <w:rPr>
                <w:rFonts w:hint="eastAsia" w:ascii="宋体" w:hAnsi="宋体" w:eastAsia="宋体"/>
                <w:color w:val="auto"/>
                <w:sz w:val="21"/>
                <w:szCs w:val="21"/>
                <w:highlight w:val="none"/>
              </w:rPr>
              <w:t>专项要求</w:t>
            </w:r>
          </w:p>
        </w:tc>
        <w:tc>
          <w:tcPr>
            <w:tcW w:w="348" w:type="pct"/>
            <w:vAlign w:val="center"/>
          </w:tcPr>
          <w:p w14:paraId="5FA1A0A5">
            <w:pPr>
              <w:keepNext/>
              <w:keepLines/>
              <w:spacing w:line="400" w:lineRule="exact"/>
              <w:jc w:val="center"/>
              <w:outlineLvl w:val="2"/>
              <w:rPr>
                <w:rFonts w:ascii="宋体" w:hAnsi="宋体" w:eastAsia="宋体" w:cs="宋体"/>
                <w:color w:val="auto"/>
                <w:kern w:val="0"/>
                <w:sz w:val="21"/>
                <w:szCs w:val="21"/>
                <w:highlight w:val="none"/>
              </w:rPr>
            </w:pPr>
          </w:p>
        </w:tc>
        <w:tc>
          <w:tcPr>
            <w:tcW w:w="418" w:type="pct"/>
            <w:vAlign w:val="center"/>
          </w:tcPr>
          <w:p w14:paraId="4CC34934">
            <w:pPr>
              <w:keepNext/>
              <w:keepLines/>
              <w:spacing w:line="400" w:lineRule="exact"/>
              <w:jc w:val="center"/>
              <w:outlineLvl w:val="2"/>
              <w:rPr>
                <w:rFonts w:ascii="宋体" w:hAnsi="宋体" w:eastAsia="宋体" w:cs="宋体"/>
                <w:color w:val="auto"/>
                <w:kern w:val="0"/>
                <w:sz w:val="21"/>
                <w:szCs w:val="21"/>
                <w:highlight w:val="none"/>
              </w:rPr>
            </w:pPr>
          </w:p>
        </w:tc>
        <w:tc>
          <w:tcPr>
            <w:tcW w:w="405" w:type="pct"/>
            <w:vAlign w:val="center"/>
          </w:tcPr>
          <w:p w14:paraId="10733A47">
            <w:pPr>
              <w:keepNext/>
              <w:keepLines/>
              <w:spacing w:line="400" w:lineRule="exact"/>
              <w:jc w:val="center"/>
              <w:outlineLvl w:val="2"/>
              <w:rPr>
                <w:rFonts w:ascii="宋体" w:hAnsi="宋体" w:eastAsia="宋体" w:cs="宋体"/>
                <w:color w:val="auto"/>
                <w:kern w:val="0"/>
                <w:sz w:val="21"/>
                <w:szCs w:val="21"/>
                <w:highlight w:val="none"/>
              </w:rPr>
            </w:pPr>
          </w:p>
        </w:tc>
      </w:tr>
      <w:tr w14:paraId="57FA5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00" w:type="pct"/>
            <w:gridSpan w:val="6"/>
            <w:vAlign w:val="center"/>
          </w:tcPr>
          <w:p w14:paraId="3EAA74EF">
            <w:pPr>
              <w:keepNext w:val="0"/>
              <w:keepLines w:val="0"/>
              <w:spacing w:line="400" w:lineRule="exact"/>
              <w:jc w:val="left"/>
              <w:outlineLvl w:val="9"/>
              <w:rPr>
                <w:rFonts w:ascii="宋体" w:hAnsi="宋体" w:eastAsia="宋体" w:cs="宋体"/>
                <w:color w:val="auto"/>
                <w:kern w:val="0"/>
                <w:sz w:val="18"/>
                <w:szCs w:val="18"/>
                <w:highlight w:val="none"/>
              </w:rPr>
            </w:pPr>
            <w:bookmarkStart w:id="860" w:name="_Toc16030"/>
            <w:bookmarkStart w:id="861" w:name="_Toc21095"/>
            <w:bookmarkStart w:id="862" w:name="_Toc5636"/>
            <w:bookmarkStart w:id="863" w:name="_Toc13052"/>
            <w:r>
              <w:rPr>
                <w:rFonts w:hint="eastAsia" w:ascii="宋体" w:hAnsi="宋体" w:eastAsia="宋体" w:cs="宋体"/>
                <w:color w:val="auto"/>
                <w:kern w:val="0"/>
                <w:sz w:val="21"/>
                <w:szCs w:val="21"/>
                <w:highlight w:val="none"/>
              </w:rPr>
              <w:t>用户需求书“★”条款汇总：</w:t>
            </w:r>
            <w:bookmarkEnd w:id="858"/>
            <w:bookmarkEnd w:id="859"/>
            <w:bookmarkEnd w:id="860"/>
            <w:bookmarkEnd w:id="861"/>
            <w:bookmarkEnd w:id="862"/>
            <w:bookmarkEnd w:id="863"/>
          </w:p>
        </w:tc>
      </w:tr>
      <w:tr w14:paraId="79BEB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 w:type="pct"/>
            <w:vAlign w:val="center"/>
          </w:tcPr>
          <w:p w14:paraId="4E7D775B">
            <w:pPr>
              <w:spacing w:line="400" w:lineRule="exact"/>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1</w:t>
            </w:r>
          </w:p>
        </w:tc>
        <w:tc>
          <w:tcPr>
            <w:tcW w:w="459" w:type="pct"/>
            <w:vAlign w:val="center"/>
          </w:tcPr>
          <w:p w14:paraId="7824708C">
            <w:pPr>
              <w:jc w:val="center"/>
              <w:rPr>
                <w:rFonts w:hint="default" w:ascii="宋体" w:hAnsi="宋体" w:eastAsia="宋体" w:cs="宋体"/>
                <w:bCs/>
                <w:color w:val="auto"/>
                <w:sz w:val="21"/>
                <w:szCs w:val="21"/>
                <w:highlight w:val="none"/>
                <w:lang w:val="en-US" w:eastAsia="zh-CN"/>
              </w:rPr>
            </w:pPr>
            <w:r>
              <w:rPr>
                <w:rFonts w:hint="eastAsia" w:ascii="宋体" w:hAnsi="宋体" w:eastAsia="宋体" w:cs="宋体"/>
                <w:sz w:val="21"/>
                <w:szCs w:val="21"/>
                <w:highlight w:val="none"/>
              </w:rPr>
              <w:t>一</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10</w:t>
            </w:r>
          </w:p>
        </w:tc>
        <w:tc>
          <w:tcPr>
            <w:tcW w:w="3092" w:type="pct"/>
            <w:vAlign w:val="center"/>
          </w:tcPr>
          <w:p w14:paraId="1AD58FF6">
            <w:pPr>
              <w:spacing w:line="360" w:lineRule="auto"/>
              <w:ind w:firstLine="0" w:firstLineChars="0"/>
              <w:rPr>
                <w:rFonts w:ascii="宋体" w:hAnsi="宋体" w:eastAsia="宋体"/>
                <w:color w:val="auto"/>
                <w:sz w:val="21"/>
                <w:szCs w:val="21"/>
                <w:highlight w:val="none"/>
                <w:u w:val="none"/>
              </w:rPr>
            </w:pPr>
            <w:r>
              <w:rPr>
                <w:rFonts w:hint="eastAsia" w:ascii="宋体" w:hAnsi="宋体" w:eastAsia="宋体"/>
                <w:color w:val="auto"/>
                <w:sz w:val="21"/>
                <w:szCs w:val="21"/>
                <w:highlight w:val="none"/>
                <w:u w:val="none"/>
                <w:lang w:val="en-US" w:eastAsia="zh-CN"/>
              </w:rPr>
              <w:t>★供应商库存续期间，招标人将根据后续业务开展需求，有权对供应商库管理模式进行调整（包括但不限于单项项目分配资格、分配方式和供应商库的服务期限等），已入库的供应商不接受调整后的管理模式的，可以申请退出供应商库。招标人可以通过招标、采购、公开征集等方式补充供应商进入供应商库，参与招标人单项服务的分配。</w:t>
            </w:r>
          </w:p>
        </w:tc>
        <w:tc>
          <w:tcPr>
            <w:tcW w:w="348" w:type="pct"/>
            <w:vAlign w:val="center"/>
          </w:tcPr>
          <w:p w14:paraId="40EE371B">
            <w:pPr>
              <w:keepNext/>
              <w:keepLines/>
              <w:spacing w:line="400" w:lineRule="exact"/>
              <w:jc w:val="center"/>
              <w:outlineLvl w:val="2"/>
              <w:rPr>
                <w:rFonts w:ascii="宋体" w:hAnsi="宋体" w:eastAsia="宋体" w:cs="宋体"/>
                <w:color w:val="auto"/>
                <w:kern w:val="0"/>
                <w:sz w:val="18"/>
                <w:szCs w:val="18"/>
                <w:highlight w:val="none"/>
              </w:rPr>
            </w:pPr>
          </w:p>
        </w:tc>
        <w:tc>
          <w:tcPr>
            <w:tcW w:w="418" w:type="pct"/>
            <w:vAlign w:val="center"/>
          </w:tcPr>
          <w:p w14:paraId="56D2808B">
            <w:pPr>
              <w:keepNext/>
              <w:keepLines/>
              <w:spacing w:line="400" w:lineRule="exact"/>
              <w:jc w:val="center"/>
              <w:outlineLvl w:val="2"/>
              <w:rPr>
                <w:rFonts w:ascii="宋体" w:hAnsi="宋体" w:eastAsia="宋体" w:cs="宋体"/>
                <w:color w:val="auto"/>
                <w:kern w:val="0"/>
                <w:sz w:val="18"/>
                <w:szCs w:val="18"/>
                <w:highlight w:val="none"/>
              </w:rPr>
            </w:pPr>
          </w:p>
        </w:tc>
        <w:tc>
          <w:tcPr>
            <w:tcW w:w="405" w:type="pct"/>
            <w:vAlign w:val="center"/>
          </w:tcPr>
          <w:p w14:paraId="3049DE25">
            <w:pPr>
              <w:keepNext/>
              <w:keepLines/>
              <w:spacing w:line="400" w:lineRule="exact"/>
              <w:jc w:val="center"/>
              <w:outlineLvl w:val="2"/>
              <w:rPr>
                <w:rFonts w:ascii="宋体" w:hAnsi="宋体" w:eastAsia="宋体" w:cs="宋体"/>
                <w:color w:val="auto"/>
                <w:kern w:val="0"/>
                <w:sz w:val="18"/>
                <w:szCs w:val="18"/>
                <w:highlight w:val="none"/>
              </w:rPr>
            </w:pPr>
          </w:p>
        </w:tc>
      </w:tr>
      <w:tr w14:paraId="26A4A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 w:type="pct"/>
            <w:vAlign w:val="center"/>
          </w:tcPr>
          <w:p w14:paraId="280CBDB8">
            <w:pPr>
              <w:spacing w:line="400" w:lineRule="exact"/>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2</w:t>
            </w:r>
          </w:p>
        </w:tc>
        <w:tc>
          <w:tcPr>
            <w:tcW w:w="459" w:type="pct"/>
            <w:vAlign w:val="center"/>
          </w:tcPr>
          <w:p w14:paraId="6D346457">
            <w:pPr>
              <w:jc w:val="center"/>
              <w:rPr>
                <w:rFonts w:hint="default"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二、1</w:t>
            </w:r>
          </w:p>
        </w:tc>
        <w:tc>
          <w:tcPr>
            <w:tcW w:w="3092" w:type="pct"/>
            <w:vAlign w:val="center"/>
          </w:tcPr>
          <w:p w14:paraId="578298BA">
            <w:pPr>
              <w:widowControl/>
              <w:spacing w:line="360" w:lineRule="auto"/>
              <w:ind w:firstLine="0" w:firstLineChars="0"/>
              <w:jc w:val="left"/>
              <w:rPr>
                <w:rFonts w:ascii="宋体" w:hAnsi="宋体" w:eastAsia="宋体"/>
                <w:color w:val="auto"/>
                <w:sz w:val="21"/>
                <w:szCs w:val="21"/>
                <w:highlight w:val="none"/>
              </w:rPr>
            </w:pPr>
            <w:r>
              <w:rPr>
                <w:rFonts w:hint="eastAsia" w:ascii="宋体" w:hAnsi="宋体" w:eastAsia="宋体"/>
                <w:color w:val="auto"/>
                <w:sz w:val="21"/>
                <w:szCs w:val="21"/>
                <w:highlight w:val="none"/>
                <w:lang w:val="en-US" w:eastAsia="zh-CN"/>
              </w:rPr>
              <w:t>★“污水处理厂半干化泥粉项目”分配方式：招标人按照“污水处理厂半干化泥粉项目”服务合同期限划分各期单项项目，具体各期“污水处理厂半干化泥粉项目”按需启动，各期单项项目按照二次竞价或轮派或</w:t>
            </w:r>
            <w:r>
              <w:rPr>
                <w:rFonts w:hint="eastAsia" w:ascii="宋体" w:hAnsi="宋体" w:eastAsia="宋体" w:cs="宋体"/>
                <w:b w:val="0"/>
                <w:bCs w:val="0"/>
                <w:kern w:val="2"/>
                <w:sz w:val="21"/>
                <w:szCs w:val="21"/>
                <w:highlight w:val="none"/>
                <w:lang w:val="en-US" w:eastAsia="zh-CN" w:bidi="ar-SA"/>
              </w:rPr>
              <w:t>其他</w:t>
            </w:r>
            <w:r>
              <w:rPr>
                <w:rFonts w:hint="eastAsia" w:ascii="宋体" w:hAnsi="宋体" w:eastAsia="宋体" w:cs="宋体"/>
                <w:b w:val="0"/>
                <w:bCs w:val="0"/>
                <w:color w:val="000000"/>
                <w:szCs w:val="21"/>
                <w:highlight w:val="none"/>
              </w:rPr>
              <w:t>方式</w:t>
            </w:r>
            <w:r>
              <w:rPr>
                <w:rFonts w:hint="eastAsia" w:ascii="宋体" w:hAnsi="宋体" w:eastAsia="宋体"/>
                <w:color w:val="auto"/>
                <w:sz w:val="21"/>
                <w:szCs w:val="21"/>
                <w:highlight w:val="none"/>
                <w:lang w:val="en-US" w:eastAsia="zh-CN"/>
              </w:rPr>
              <w:t>开展，并签订“污水处理厂半干化泥粉项目”单项合同。在把各单项项目分配或签订单项合同前，招标人会提前将具体分配方案发送至入库供应商预留邮箱。</w:t>
            </w:r>
          </w:p>
        </w:tc>
        <w:tc>
          <w:tcPr>
            <w:tcW w:w="348" w:type="pct"/>
            <w:vAlign w:val="center"/>
          </w:tcPr>
          <w:p w14:paraId="0D18FC02">
            <w:pPr>
              <w:keepNext/>
              <w:keepLines/>
              <w:spacing w:line="400" w:lineRule="exact"/>
              <w:jc w:val="center"/>
              <w:outlineLvl w:val="2"/>
              <w:rPr>
                <w:rFonts w:ascii="宋体" w:hAnsi="宋体" w:eastAsia="宋体" w:cs="宋体"/>
                <w:color w:val="auto"/>
                <w:kern w:val="0"/>
                <w:sz w:val="18"/>
                <w:szCs w:val="18"/>
                <w:highlight w:val="none"/>
              </w:rPr>
            </w:pPr>
          </w:p>
        </w:tc>
        <w:tc>
          <w:tcPr>
            <w:tcW w:w="418" w:type="pct"/>
            <w:vAlign w:val="center"/>
          </w:tcPr>
          <w:p w14:paraId="3771FD25">
            <w:pPr>
              <w:keepNext/>
              <w:keepLines/>
              <w:spacing w:line="400" w:lineRule="exact"/>
              <w:jc w:val="center"/>
              <w:outlineLvl w:val="2"/>
              <w:rPr>
                <w:rFonts w:ascii="宋体" w:hAnsi="宋体" w:eastAsia="宋体" w:cs="宋体"/>
                <w:color w:val="auto"/>
                <w:kern w:val="0"/>
                <w:sz w:val="18"/>
                <w:szCs w:val="18"/>
                <w:highlight w:val="none"/>
              </w:rPr>
            </w:pPr>
          </w:p>
        </w:tc>
        <w:tc>
          <w:tcPr>
            <w:tcW w:w="405" w:type="pct"/>
            <w:vAlign w:val="center"/>
          </w:tcPr>
          <w:p w14:paraId="3C35F56A">
            <w:pPr>
              <w:keepNext/>
              <w:keepLines/>
              <w:spacing w:line="400" w:lineRule="exact"/>
              <w:jc w:val="center"/>
              <w:outlineLvl w:val="2"/>
              <w:rPr>
                <w:rFonts w:ascii="宋体" w:hAnsi="宋体" w:eastAsia="宋体" w:cs="宋体"/>
                <w:color w:val="auto"/>
                <w:kern w:val="0"/>
                <w:sz w:val="18"/>
                <w:szCs w:val="18"/>
                <w:highlight w:val="none"/>
              </w:rPr>
            </w:pPr>
          </w:p>
        </w:tc>
      </w:tr>
      <w:tr w14:paraId="69E14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6" w:type="pct"/>
            <w:vAlign w:val="center"/>
          </w:tcPr>
          <w:p w14:paraId="1EBC001C">
            <w:pPr>
              <w:spacing w:line="400" w:lineRule="exact"/>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3</w:t>
            </w:r>
          </w:p>
        </w:tc>
        <w:tc>
          <w:tcPr>
            <w:tcW w:w="459" w:type="pct"/>
            <w:vAlign w:val="center"/>
          </w:tcPr>
          <w:p w14:paraId="7DFD21A4">
            <w:pPr>
              <w:jc w:val="center"/>
              <w:rPr>
                <w:rFonts w:hint="default" w:ascii="宋体" w:hAnsi="宋体" w:eastAsia="宋体" w:cs="宋体"/>
                <w:bCs/>
                <w:color w:val="auto"/>
                <w:kern w:val="0"/>
                <w:sz w:val="21"/>
                <w:szCs w:val="21"/>
                <w:highlight w:val="none"/>
                <w:lang w:val="en-US"/>
              </w:rPr>
            </w:pPr>
            <w:r>
              <w:rPr>
                <w:rFonts w:hint="eastAsia" w:ascii="宋体" w:hAnsi="宋体" w:eastAsia="宋体" w:cs="宋体"/>
                <w:bCs/>
                <w:color w:val="auto"/>
                <w:kern w:val="0"/>
                <w:sz w:val="21"/>
                <w:szCs w:val="21"/>
                <w:highlight w:val="none"/>
                <w:lang w:val="en-US" w:eastAsia="zh-CN"/>
              </w:rPr>
              <w:t>二、3</w:t>
            </w:r>
          </w:p>
        </w:tc>
        <w:tc>
          <w:tcPr>
            <w:tcW w:w="3092" w:type="pct"/>
            <w:vAlign w:val="center"/>
          </w:tcPr>
          <w:p w14:paraId="6468ABE3">
            <w:pPr>
              <w:spacing w:line="360" w:lineRule="auto"/>
              <w:ind w:firstLine="0" w:firstLineChars="0"/>
              <w:rPr>
                <w:rFonts w:ascii="宋体" w:hAnsi="宋体" w:eastAsia="宋体"/>
                <w:color w:val="auto"/>
                <w:sz w:val="21"/>
                <w:szCs w:val="21"/>
                <w:highlight w:val="none"/>
                <w:u w:val="none"/>
              </w:rPr>
            </w:pPr>
            <w:r>
              <w:rPr>
                <w:rFonts w:hint="eastAsia" w:ascii="宋体" w:hAnsi="宋体" w:eastAsia="宋体"/>
                <w:color w:val="auto"/>
                <w:sz w:val="21"/>
                <w:szCs w:val="21"/>
                <w:highlight w:val="none"/>
                <w:u w:val="none"/>
                <w:lang w:val="en-US" w:eastAsia="zh-CN"/>
              </w:rPr>
              <w:t>★供应商服务资格有效期：入库合同签订之日起至2027年6月30日止，但如供应商违反入库合同、单项污泥处置合同及招标人管理规定的，则根据相关合同的约定退出供应商库。具体污泥处置项目服务期以单项污泥处置合同为准。</w:t>
            </w:r>
          </w:p>
        </w:tc>
        <w:tc>
          <w:tcPr>
            <w:tcW w:w="348" w:type="pct"/>
            <w:vAlign w:val="center"/>
          </w:tcPr>
          <w:p w14:paraId="5E4C4CA4">
            <w:pPr>
              <w:keepNext/>
              <w:keepLines/>
              <w:spacing w:line="400" w:lineRule="exact"/>
              <w:jc w:val="center"/>
              <w:outlineLvl w:val="2"/>
              <w:rPr>
                <w:rFonts w:ascii="宋体" w:hAnsi="宋体" w:eastAsia="宋体" w:cs="宋体"/>
                <w:color w:val="auto"/>
                <w:kern w:val="0"/>
                <w:sz w:val="18"/>
                <w:szCs w:val="18"/>
                <w:highlight w:val="none"/>
              </w:rPr>
            </w:pPr>
          </w:p>
        </w:tc>
        <w:tc>
          <w:tcPr>
            <w:tcW w:w="418" w:type="pct"/>
            <w:vAlign w:val="center"/>
          </w:tcPr>
          <w:p w14:paraId="334469B1">
            <w:pPr>
              <w:keepNext/>
              <w:keepLines/>
              <w:spacing w:line="400" w:lineRule="exact"/>
              <w:jc w:val="center"/>
              <w:outlineLvl w:val="2"/>
              <w:rPr>
                <w:rFonts w:ascii="宋体" w:hAnsi="宋体" w:eastAsia="宋体" w:cs="宋体"/>
                <w:color w:val="auto"/>
                <w:kern w:val="0"/>
                <w:sz w:val="18"/>
                <w:szCs w:val="18"/>
                <w:highlight w:val="none"/>
              </w:rPr>
            </w:pPr>
          </w:p>
        </w:tc>
        <w:tc>
          <w:tcPr>
            <w:tcW w:w="405" w:type="pct"/>
            <w:vAlign w:val="center"/>
          </w:tcPr>
          <w:p w14:paraId="7D73D395">
            <w:pPr>
              <w:keepNext/>
              <w:keepLines/>
              <w:spacing w:line="400" w:lineRule="exact"/>
              <w:jc w:val="center"/>
              <w:outlineLvl w:val="2"/>
              <w:rPr>
                <w:rFonts w:ascii="宋体" w:hAnsi="宋体" w:eastAsia="宋体" w:cs="宋体"/>
                <w:color w:val="auto"/>
                <w:kern w:val="0"/>
                <w:sz w:val="18"/>
                <w:szCs w:val="18"/>
                <w:highlight w:val="none"/>
              </w:rPr>
            </w:pPr>
          </w:p>
        </w:tc>
      </w:tr>
      <w:tr w14:paraId="5A8AB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 w:type="pct"/>
            <w:vAlign w:val="center"/>
          </w:tcPr>
          <w:p w14:paraId="559E0D7E">
            <w:pPr>
              <w:spacing w:line="400" w:lineRule="exact"/>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4</w:t>
            </w:r>
          </w:p>
        </w:tc>
        <w:tc>
          <w:tcPr>
            <w:tcW w:w="459" w:type="pct"/>
            <w:vAlign w:val="center"/>
          </w:tcPr>
          <w:p w14:paraId="277F7B64">
            <w:pPr>
              <w:jc w:val="center"/>
              <w:rPr>
                <w:rFonts w:hint="default"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四、3</w:t>
            </w:r>
          </w:p>
        </w:tc>
        <w:tc>
          <w:tcPr>
            <w:tcW w:w="3092" w:type="pct"/>
            <w:vAlign w:val="center"/>
          </w:tcPr>
          <w:p w14:paraId="770166BE">
            <w:pPr>
              <w:pStyle w:val="150"/>
              <w:spacing w:line="360" w:lineRule="auto"/>
              <w:ind w:firstLine="0" w:firstLineChars="0"/>
              <w:rPr>
                <w:rFonts w:ascii="宋体" w:hAnsi="宋体" w:eastAsia="宋体"/>
                <w:color w:val="auto"/>
                <w:sz w:val="21"/>
                <w:szCs w:val="21"/>
                <w:highlight w:val="none"/>
              </w:rPr>
            </w:pPr>
            <w:r>
              <w:rPr>
                <w:rFonts w:hint="eastAsia" w:ascii="宋体" w:hAnsi="宋体" w:eastAsia="宋体"/>
                <w:color w:val="auto"/>
                <w:sz w:val="21"/>
                <w:szCs w:val="21"/>
                <w:highlight w:val="none"/>
              </w:rPr>
              <w:t>★</w:t>
            </w:r>
            <w:r>
              <w:rPr>
                <w:rFonts w:hint="eastAsia" w:ascii="宋体" w:hAnsi="宋体" w:eastAsia="宋体"/>
                <w:color w:val="auto"/>
                <w:sz w:val="21"/>
                <w:szCs w:val="21"/>
                <w:highlight w:val="none"/>
                <w:lang w:val="en-US" w:eastAsia="zh-CN"/>
              </w:rPr>
              <w:t>供应商现场驻点核查机制。在供应商开始污泥收运至完成最终处置期间，招标人有权安排工作人员至供应商处置现场驻点核查，核查内容包括但不限于监管污泥接收、贮存、处置全流程。</w:t>
            </w:r>
          </w:p>
        </w:tc>
        <w:tc>
          <w:tcPr>
            <w:tcW w:w="348" w:type="pct"/>
            <w:vAlign w:val="center"/>
          </w:tcPr>
          <w:p w14:paraId="3530A04C">
            <w:pPr>
              <w:keepNext/>
              <w:keepLines/>
              <w:spacing w:line="400" w:lineRule="exact"/>
              <w:jc w:val="center"/>
              <w:outlineLvl w:val="2"/>
              <w:rPr>
                <w:rFonts w:ascii="宋体" w:hAnsi="宋体" w:eastAsia="宋体" w:cs="宋体"/>
                <w:color w:val="auto"/>
                <w:kern w:val="0"/>
                <w:sz w:val="18"/>
                <w:szCs w:val="18"/>
                <w:highlight w:val="none"/>
              </w:rPr>
            </w:pPr>
          </w:p>
        </w:tc>
        <w:tc>
          <w:tcPr>
            <w:tcW w:w="418" w:type="pct"/>
            <w:vAlign w:val="center"/>
          </w:tcPr>
          <w:p w14:paraId="0631CFE9">
            <w:pPr>
              <w:keepNext/>
              <w:keepLines/>
              <w:spacing w:line="400" w:lineRule="exact"/>
              <w:jc w:val="center"/>
              <w:outlineLvl w:val="2"/>
              <w:rPr>
                <w:rFonts w:ascii="宋体" w:hAnsi="宋体" w:eastAsia="宋体" w:cs="宋体"/>
                <w:color w:val="auto"/>
                <w:kern w:val="0"/>
                <w:sz w:val="18"/>
                <w:szCs w:val="18"/>
                <w:highlight w:val="none"/>
              </w:rPr>
            </w:pPr>
          </w:p>
        </w:tc>
        <w:tc>
          <w:tcPr>
            <w:tcW w:w="405" w:type="pct"/>
            <w:vAlign w:val="center"/>
          </w:tcPr>
          <w:p w14:paraId="4DC12B56">
            <w:pPr>
              <w:keepNext/>
              <w:keepLines/>
              <w:spacing w:line="400" w:lineRule="exact"/>
              <w:jc w:val="center"/>
              <w:outlineLvl w:val="2"/>
              <w:rPr>
                <w:rFonts w:ascii="宋体" w:hAnsi="宋体" w:eastAsia="宋体" w:cs="宋体"/>
                <w:color w:val="auto"/>
                <w:kern w:val="0"/>
                <w:sz w:val="18"/>
                <w:szCs w:val="18"/>
                <w:highlight w:val="none"/>
              </w:rPr>
            </w:pPr>
          </w:p>
        </w:tc>
      </w:tr>
      <w:tr w14:paraId="3BE9B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 w:type="pct"/>
            <w:vAlign w:val="center"/>
          </w:tcPr>
          <w:p w14:paraId="68511AD9">
            <w:pPr>
              <w:spacing w:line="400" w:lineRule="exact"/>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5</w:t>
            </w:r>
          </w:p>
        </w:tc>
        <w:tc>
          <w:tcPr>
            <w:tcW w:w="459" w:type="pct"/>
            <w:vAlign w:val="center"/>
          </w:tcPr>
          <w:p w14:paraId="5ECC2C0A">
            <w:pPr>
              <w:jc w:val="center"/>
              <w:rPr>
                <w:rFonts w:hint="default"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五、2</w:t>
            </w:r>
          </w:p>
        </w:tc>
        <w:tc>
          <w:tcPr>
            <w:tcW w:w="3092" w:type="pct"/>
            <w:vAlign w:val="center"/>
          </w:tcPr>
          <w:p w14:paraId="19A0ACE8">
            <w:pPr>
              <w:spacing w:line="360" w:lineRule="auto"/>
              <w:ind w:firstLine="0" w:firstLineChars="0"/>
              <w:rPr>
                <w:rFonts w:ascii="宋体" w:hAnsi="宋体" w:eastAsia="宋体"/>
                <w:color w:val="auto"/>
                <w:sz w:val="21"/>
                <w:szCs w:val="21"/>
                <w:highlight w:val="none"/>
              </w:rPr>
            </w:pPr>
            <w:r>
              <w:rPr>
                <w:rFonts w:hint="eastAsia" w:ascii="宋体" w:hAnsi="宋体" w:eastAsia="宋体"/>
                <w:color w:val="auto"/>
                <w:sz w:val="21"/>
                <w:szCs w:val="21"/>
                <w:highlight w:val="none"/>
              </w:rPr>
              <w:t>★</w:t>
            </w:r>
            <w:r>
              <w:rPr>
                <w:rFonts w:hint="eastAsia" w:ascii="宋体" w:hAnsi="宋体" w:eastAsia="宋体"/>
                <w:color w:val="auto"/>
                <w:sz w:val="21"/>
                <w:szCs w:val="21"/>
                <w:highlight w:val="none"/>
                <w:lang w:val="en-US" w:eastAsia="zh-CN"/>
              </w:rPr>
              <w:t>供应商</w:t>
            </w:r>
            <w:r>
              <w:rPr>
                <w:rFonts w:hint="eastAsia" w:ascii="宋体" w:hAnsi="宋体" w:eastAsia="宋体"/>
                <w:color w:val="auto"/>
                <w:sz w:val="21"/>
                <w:szCs w:val="21"/>
                <w:highlight w:val="none"/>
              </w:rPr>
              <w:t>接收</w:t>
            </w:r>
            <w:r>
              <w:rPr>
                <w:rFonts w:hint="eastAsia" w:ascii="宋体" w:hAnsi="宋体" w:eastAsia="宋体"/>
                <w:color w:val="auto"/>
                <w:sz w:val="21"/>
                <w:szCs w:val="21"/>
                <w:highlight w:val="none"/>
                <w:lang w:val="en-US" w:eastAsia="zh-CN"/>
              </w:rPr>
              <w:t>招标人</w:t>
            </w:r>
            <w:r>
              <w:rPr>
                <w:rFonts w:hint="eastAsia" w:ascii="宋体" w:hAnsi="宋体" w:eastAsia="宋体"/>
                <w:color w:val="auto"/>
                <w:sz w:val="21"/>
                <w:szCs w:val="21"/>
                <w:highlight w:val="none"/>
              </w:rPr>
              <w:t>交付的半干化泥粉必须自行依法处置完毕，不得将</w:t>
            </w:r>
            <w:r>
              <w:rPr>
                <w:rFonts w:hint="eastAsia" w:ascii="宋体" w:hAnsi="宋体" w:eastAsia="宋体"/>
                <w:color w:val="auto"/>
                <w:sz w:val="21"/>
                <w:szCs w:val="21"/>
                <w:highlight w:val="none"/>
                <w:lang w:val="en-US" w:eastAsia="zh-CN"/>
              </w:rPr>
              <w:t>招标人</w:t>
            </w:r>
            <w:r>
              <w:rPr>
                <w:rFonts w:hint="eastAsia" w:ascii="宋体" w:hAnsi="宋体" w:eastAsia="宋体"/>
                <w:color w:val="auto"/>
                <w:sz w:val="21"/>
                <w:szCs w:val="21"/>
                <w:highlight w:val="none"/>
              </w:rPr>
              <w:t>交付的半干化泥粉（或</w:t>
            </w:r>
            <w:r>
              <w:rPr>
                <w:rFonts w:hint="eastAsia" w:ascii="宋体" w:hAnsi="宋体" w:eastAsia="宋体"/>
                <w:color w:val="auto"/>
                <w:sz w:val="21"/>
                <w:szCs w:val="21"/>
                <w:highlight w:val="none"/>
                <w:lang w:val="en-US" w:eastAsia="zh-CN"/>
              </w:rPr>
              <w:t>供应商</w:t>
            </w:r>
            <w:r>
              <w:rPr>
                <w:rFonts w:hint="eastAsia" w:ascii="宋体" w:hAnsi="宋体" w:eastAsia="宋体"/>
                <w:color w:val="auto"/>
                <w:sz w:val="21"/>
                <w:szCs w:val="21"/>
                <w:highlight w:val="none"/>
              </w:rPr>
              <w:t>处理后的半成品）交由第三方处置，禁止转包</w:t>
            </w:r>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rPr>
              <w:t>否则，</w:t>
            </w:r>
            <w:r>
              <w:rPr>
                <w:rFonts w:hint="eastAsia" w:ascii="宋体" w:hAnsi="宋体" w:eastAsia="宋体"/>
                <w:color w:val="auto"/>
                <w:sz w:val="21"/>
                <w:szCs w:val="21"/>
                <w:highlight w:val="none"/>
                <w:lang w:val="en-US" w:eastAsia="zh-CN"/>
              </w:rPr>
              <w:t>供应商承担相应的违约责任</w:t>
            </w:r>
            <w:r>
              <w:rPr>
                <w:rFonts w:hint="eastAsia" w:ascii="宋体" w:hAnsi="宋体" w:eastAsia="宋体"/>
                <w:color w:val="auto"/>
                <w:sz w:val="21"/>
                <w:szCs w:val="21"/>
                <w:highlight w:val="none"/>
              </w:rPr>
              <w:t>。</w:t>
            </w:r>
          </w:p>
        </w:tc>
        <w:tc>
          <w:tcPr>
            <w:tcW w:w="348" w:type="pct"/>
            <w:vAlign w:val="center"/>
          </w:tcPr>
          <w:p w14:paraId="2F42CC47">
            <w:pPr>
              <w:keepNext/>
              <w:keepLines/>
              <w:spacing w:line="400" w:lineRule="exact"/>
              <w:jc w:val="center"/>
              <w:outlineLvl w:val="2"/>
              <w:rPr>
                <w:rFonts w:ascii="宋体" w:hAnsi="宋体" w:eastAsia="宋体" w:cs="宋体"/>
                <w:color w:val="auto"/>
                <w:kern w:val="0"/>
                <w:sz w:val="18"/>
                <w:szCs w:val="18"/>
                <w:highlight w:val="none"/>
              </w:rPr>
            </w:pPr>
          </w:p>
        </w:tc>
        <w:tc>
          <w:tcPr>
            <w:tcW w:w="418" w:type="pct"/>
            <w:vAlign w:val="center"/>
          </w:tcPr>
          <w:p w14:paraId="7E23379D">
            <w:pPr>
              <w:keepNext/>
              <w:keepLines/>
              <w:spacing w:line="400" w:lineRule="exact"/>
              <w:jc w:val="center"/>
              <w:outlineLvl w:val="2"/>
              <w:rPr>
                <w:rFonts w:ascii="宋体" w:hAnsi="宋体" w:eastAsia="宋体" w:cs="宋体"/>
                <w:color w:val="auto"/>
                <w:kern w:val="0"/>
                <w:sz w:val="18"/>
                <w:szCs w:val="18"/>
                <w:highlight w:val="none"/>
              </w:rPr>
            </w:pPr>
          </w:p>
        </w:tc>
        <w:tc>
          <w:tcPr>
            <w:tcW w:w="405" w:type="pct"/>
            <w:vAlign w:val="center"/>
          </w:tcPr>
          <w:p w14:paraId="50D1E28F">
            <w:pPr>
              <w:keepNext/>
              <w:keepLines/>
              <w:spacing w:line="400" w:lineRule="exact"/>
              <w:jc w:val="center"/>
              <w:outlineLvl w:val="2"/>
              <w:rPr>
                <w:rFonts w:ascii="宋体" w:hAnsi="宋体" w:eastAsia="宋体" w:cs="宋体"/>
                <w:color w:val="auto"/>
                <w:kern w:val="0"/>
                <w:sz w:val="18"/>
                <w:szCs w:val="18"/>
                <w:highlight w:val="none"/>
              </w:rPr>
            </w:pPr>
          </w:p>
        </w:tc>
      </w:tr>
      <w:tr w14:paraId="1E891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 w:type="pct"/>
            <w:vAlign w:val="center"/>
          </w:tcPr>
          <w:p w14:paraId="3FB04D5B">
            <w:pPr>
              <w:spacing w:line="400" w:lineRule="exact"/>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6</w:t>
            </w:r>
          </w:p>
        </w:tc>
        <w:tc>
          <w:tcPr>
            <w:tcW w:w="459" w:type="pct"/>
            <w:vAlign w:val="center"/>
          </w:tcPr>
          <w:p w14:paraId="6BF61747">
            <w:pPr>
              <w:jc w:val="center"/>
              <w:rPr>
                <w:rFonts w:hint="default"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五、5</w:t>
            </w:r>
          </w:p>
        </w:tc>
        <w:tc>
          <w:tcPr>
            <w:tcW w:w="3092" w:type="pct"/>
            <w:vAlign w:val="center"/>
          </w:tcPr>
          <w:p w14:paraId="24C4F051">
            <w:pPr>
              <w:spacing w:line="360" w:lineRule="auto"/>
              <w:ind w:firstLine="0" w:firstLineChars="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rPr>
              <w:t>应在接到</w:t>
            </w:r>
            <w:r>
              <w:rPr>
                <w:rFonts w:hint="eastAsia" w:ascii="宋体" w:hAnsi="宋体" w:eastAsia="宋体" w:cs="宋体"/>
                <w:b w:val="0"/>
                <w:bCs w:val="0"/>
                <w:color w:val="auto"/>
                <w:sz w:val="21"/>
                <w:szCs w:val="21"/>
                <w:highlight w:val="none"/>
                <w:lang w:val="en-US" w:eastAsia="zh-CN"/>
              </w:rPr>
              <w:t>招标人外运</w:t>
            </w:r>
            <w:r>
              <w:rPr>
                <w:rFonts w:hint="eastAsia" w:ascii="宋体" w:hAnsi="宋体" w:eastAsia="宋体" w:cs="宋体"/>
                <w:b w:val="0"/>
                <w:bCs w:val="0"/>
                <w:color w:val="auto"/>
                <w:sz w:val="21"/>
                <w:szCs w:val="21"/>
                <w:highlight w:val="none"/>
              </w:rPr>
              <w:t>转移</w:t>
            </w:r>
            <w:r>
              <w:rPr>
                <w:rFonts w:hint="eastAsia" w:ascii="宋体" w:hAnsi="宋体" w:eastAsia="宋体" w:cs="宋体"/>
                <w:b w:val="0"/>
                <w:bCs w:val="0"/>
                <w:color w:val="auto"/>
                <w:sz w:val="21"/>
                <w:szCs w:val="21"/>
                <w:highlight w:val="none"/>
                <w:lang w:val="en-US" w:eastAsia="zh-CN"/>
              </w:rPr>
              <w:t>泥粉</w:t>
            </w:r>
            <w:r>
              <w:rPr>
                <w:rFonts w:hint="eastAsia" w:ascii="宋体" w:hAnsi="宋体" w:eastAsia="宋体" w:cs="宋体"/>
                <w:b w:val="0"/>
                <w:bCs w:val="0"/>
                <w:color w:val="auto"/>
                <w:sz w:val="21"/>
                <w:szCs w:val="21"/>
                <w:highlight w:val="none"/>
              </w:rPr>
              <w:t>通知之日起，</w:t>
            </w: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日内按</w:t>
            </w:r>
            <w:r>
              <w:rPr>
                <w:rFonts w:hint="eastAsia" w:ascii="宋体" w:hAnsi="宋体" w:eastAsia="宋体" w:cs="宋体"/>
                <w:b w:val="0"/>
                <w:bCs w:val="0"/>
                <w:color w:val="auto"/>
                <w:sz w:val="21"/>
                <w:szCs w:val="21"/>
                <w:highlight w:val="none"/>
                <w:lang w:val="en-US" w:eastAsia="zh-CN"/>
              </w:rPr>
              <w:t>招标人</w:t>
            </w:r>
            <w:r>
              <w:rPr>
                <w:rFonts w:hint="eastAsia" w:ascii="宋体" w:hAnsi="宋体" w:eastAsia="宋体" w:cs="宋体"/>
                <w:b w:val="0"/>
                <w:bCs w:val="0"/>
                <w:color w:val="auto"/>
                <w:sz w:val="21"/>
                <w:szCs w:val="21"/>
                <w:highlight w:val="none"/>
              </w:rPr>
              <w:t>要求的运力实施</w:t>
            </w:r>
            <w:r>
              <w:rPr>
                <w:rFonts w:hint="eastAsia" w:ascii="宋体" w:hAnsi="宋体" w:eastAsia="宋体" w:cs="宋体"/>
                <w:b w:val="0"/>
                <w:bCs w:val="0"/>
                <w:color w:val="auto"/>
                <w:sz w:val="21"/>
                <w:szCs w:val="21"/>
                <w:highlight w:val="none"/>
                <w:lang w:val="en-US" w:eastAsia="zh-CN"/>
              </w:rPr>
              <w:t>泥粉</w:t>
            </w:r>
            <w:r>
              <w:rPr>
                <w:rFonts w:hint="eastAsia" w:ascii="宋体" w:hAnsi="宋体" w:eastAsia="宋体" w:cs="宋体"/>
                <w:b w:val="0"/>
                <w:bCs w:val="0"/>
                <w:color w:val="auto"/>
                <w:sz w:val="21"/>
                <w:szCs w:val="21"/>
                <w:highlight w:val="none"/>
              </w:rPr>
              <w:t>转移和处置。</w:t>
            </w:r>
            <w:r>
              <w:rPr>
                <w:rFonts w:hint="eastAsia" w:ascii="宋体" w:hAnsi="宋体" w:eastAsia="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rPr>
              <w:t>如因计划检修、设备保养等，不能接收</w:t>
            </w:r>
            <w:r>
              <w:rPr>
                <w:rFonts w:hint="eastAsia" w:ascii="宋体" w:hAnsi="宋体" w:eastAsia="宋体" w:cs="宋体"/>
                <w:b w:val="0"/>
                <w:bCs w:val="0"/>
                <w:color w:val="auto"/>
                <w:sz w:val="21"/>
                <w:szCs w:val="21"/>
                <w:highlight w:val="none"/>
                <w:lang w:val="en-US" w:eastAsia="zh-CN"/>
              </w:rPr>
              <w:t>招标人泥粉</w:t>
            </w:r>
            <w:r>
              <w:rPr>
                <w:rFonts w:hint="eastAsia" w:ascii="宋体" w:hAnsi="宋体" w:eastAsia="宋体" w:cs="宋体"/>
                <w:b w:val="0"/>
                <w:bCs w:val="0"/>
                <w:color w:val="auto"/>
                <w:sz w:val="21"/>
                <w:szCs w:val="21"/>
                <w:highlight w:val="none"/>
              </w:rPr>
              <w:t>的，应当提前三天告知</w:t>
            </w:r>
            <w:r>
              <w:rPr>
                <w:rFonts w:hint="eastAsia" w:ascii="宋体" w:hAnsi="宋体" w:eastAsia="宋体" w:cs="宋体"/>
                <w:b w:val="0"/>
                <w:bCs w:val="0"/>
                <w:color w:val="auto"/>
                <w:sz w:val="21"/>
                <w:szCs w:val="21"/>
                <w:highlight w:val="none"/>
                <w:lang w:val="en-US" w:eastAsia="zh-CN"/>
              </w:rPr>
              <w:t>招标人</w:t>
            </w:r>
            <w:r>
              <w:rPr>
                <w:rFonts w:hint="eastAsia" w:ascii="宋体" w:hAnsi="宋体" w:eastAsia="宋体" w:cs="宋体"/>
                <w:b w:val="0"/>
                <w:bCs w:val="0"/>
                <w:color w:val="auto"/>
                <w:sz w:val="21"/>
                <w:szCs w:val="21"/>
                <w:highlight w:val="none"/>
              </w:rPr>
              <w:t>，不可抗力除外。</w:t>
            </w:r>
            <w:r>
              <w:rPr>
                <w:rFonts w:hint="eastAsia" w:ascii="宋体" w:hAnsi="宋体" w:eastAsia="宋体" w:cs="宋体"/>
                <w:b w:val="0"/>
                <w:bCs w:val="0"/>
                <w:color w:val="auto"/>
                <w:sz w:val="21"/>
                <w:szCs w:val="21"/>
                <w:highlight w:val="none"/>
                <w:lang w:val="en-US" w:eastAsia="zh-CN"/>
              </w:rPr>
              <w:t>供应商获得单项项目服务资格后，经招标人通知后拒不向招标人提供泥粉运输、处置服务的，</w:t>
            </w:r>
            <w:r>
              <w:rPr>
                <w:rFonts w:hint="eastAsia" w:ascii="宋体" w:hAnsi="宋体" w:eastAsia="宋体" w:cs="宋体"/>
                <w:b w:val="0"/>
                <w:bCs w:val="0"/>
                <w:color w:val="auto"/>
                <w:sz w:val="21"/>
                <w:szCs w:val="21"/>
                <w:highlight w:val="none"/>
              </w:rPr>
              <w:t>每延误一天，</w:t>
            </w:r>
            <w:r>
              <w:rPr>
                <w:rFonts w:hint="eastAsia" w:ascii="宋体" w:hAnsi="宋体" w:eastAsia="宋体" w:cs="宋体"/>
                <w:b w:val="0"/>
                <w:bCs w:val="0"/>
                <w:color w:val="auto"/>
                <w:sz w:val="21"/>
                <w:szCs w:val="21"/>
                <w:highlight w:val="none"/>
                <w:lang w:val="en-US" w:eastAsia="zh-CN"/>
              </w:rPr>
              <w:t>招标人</w:t>
            </w:r>
            <w:r>
              <w:rPr>
                <w:rFonts w:hint="eastAsia" w:ascii="宋体" w:hAnsi="宋体" w:eastAsia="宋体" w:cs="宋体"/>
                <w:b w:val="0"/>
                <w:bCs w:val="0"/>
                <w:color w:val="auto"/>
                <w:sz w:val="21"/>
                <w:szCs w:val="21"/>
                <w:highlight w:val="none"/>
              </w:rPr>
              <w:t>有权要求</w:t>
            </w:r>
            <w:r>
              <w:rPr>
                <w:rFonts w:hint="eastAsia" w:ascii="宋体" w:hAnsi="宋体" w:eastAsia="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rPr>
              <w:t>根据单项合同约定支付违约金</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同时招标人有权另行委托处置服务库内供应商或其他第三方进行外运、处置</w:t>
            </w:r>
            <w:r>
              <w:rPr>
                <w:rFonts w:hint="eastAsia" w:ascii="宋体" w:hAnsi="宋体" w:eastAsia="宋体" w:cs="宋体"/>
                <w:b w:val="0"/>
                <w:bCs w:val="0"/>
                <w:color w:val="auto"/>
                <w:sz w:val="21"/>
                <w:szCs w:val="21"/>
                <w:highlight w:val="none"/>
              </w:rPr>
              <w:t>，并有权要求</w:t>
            </w:r>
            <w:r>
              <w:rPr>
                <w:rFonts w:hint="eastAsia" w:ascii="宋体" w:hAnsi="宋体" w:eastAsia="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rPr>
              <w:t>根据</w:t>
            </w:r>
            <w:r>
              <w:rPr>
                <w:rFonts w:hint="eastAsia" w:ascii="宋体" w:hAnsi="宋体" w:eastAsia="宋体" w:cs="宋体"/>
                <w:b w:val="0"/>
                <w:bCs w:val="0"/>
                <w:color w:val="auto"/>
                <w:sz w:val="21"/>
                <w:szCs w:val="21"/>
                <w:highlight w:val="none"/>
                <w:lang w:val="en-US" w:eastAsia="zh-CN"/>
              </w:rPr>
              <w:t>单项</w:t>
            </w:r>
            <w:r>
              <w:rPr>
                <w:rFonts w:hint="eastAsia" w:ascii="宋体" w:hAnsi="宋体" w:eastAsia="宋体" w:cs="宋体"/>
                <w:b w:val="0"/>
                <w:bCs w:val="0"/>
                <w:color w:val="auto"/>
                <w:sz w:val="21"/>
                <w:szCs w:val="21"/>
                <w:highlight w:val="none"/>
              </w:rPr>
              <w:t>合同约定支付违约金</w:t>
            </w:r>
            <w:r>
              <w:rPr>
                <w:rFonts w:hint="eastAsia" w:ascii="宋体" w:hAnsi="宋体" w:eastAsia="宋体" w:cs="宋体"/>
                <w:b w:val="0"/>
                <w:bCs w:val="0"/>
                <w:color w:val="auto"/>
                <w:sz w:val="21"/>
                <w:szCs w:val="21"/>
                <w:highlight w:val="none"/>
                <w:lang w:eastAsia="zh-CN"/>
              </w:rPr>
              <w:t>。</w:t>
            </w:r>
          </w:p>
        </w:tc>
        <w:tc>
          <w:tcPr>
            <w:tcW w:w="348" w:type="pct"/>
            <w:vAlign w:val="center"/>
          </w:tcPr>
          <w:p w14:paraId="46E45337">
            <w:pPr>
              <w:keepNext/>
              <w:keepLines/>
              <w:spacing w:line="400" w:lineRule="exact"/>
              <w:jc w:val="center"/>
              <w:outlineLvl w:val="2"/>
              <w:rPr>
                <w:rFonts w:ascii="宋体" w:hAnsi="宋体" w:eastAsia="宋体" w:cs="宋体"/>
                <w:color w:val="auto"/>
                <w:kern w:val="0"/>
                <w:sz w:val="18"/>
                <w:szCs w:val="18"/>
                <w:highlight w:val="none"/>
              </w:rPr>
            </w:pPr>
          </w:p>
        </w:tc>
        <w:tc>
          <w:tcPr>
            <w:tcW w:w="418" w:type="pct"/>
            <w:vAlign w:val="center"/>
          </w:tcPr>
          <w:p w14:paraId="5D86E019">
            <w:pPr>
              <w:keepNext/>
              <w:keepLines/>
              <w:spacing w:line="400" w:lineRule="exact"/>
              <w:jc w:val="center"/>
              <w:outlineLvl w:val="2"/>
              <w:rPr>
                <w:rFonts w:ascii="宋体" w:hAnsi="宋体" w:eastAsia="宋体" w:cs="宋体"/>
                <w:color w:val="auto"/>
                <w:kern w:val="0"/>
                <w:sz w:val="18"/>
                <w:szCs w:val="18"/>
                <w:highlight w:val="none"/>
              </w:rPr>
            </w:pPr>
          </w:p>
        </w:tc>
        <w:tc>
          <w:tcPr>
            <w:tcW w:w="405" w:type="pct"/>
            <w:vAlign w:val="center"/>
          </w:tcPr>
          <w:p w14:paraId="3CEC53CE">
            <w:pPr>
              <w:keepNext/>
              <w:keepLines/>
              <w:spacing w:line="400" w:lineRule="exact"/>
              <w:jc w:val="center"/>
              <w:outlineLvl w:val="2"/>
              <w:rPr>
                <w:rFonts w:ascii="宋体" w:hAnsi="宋体" w:eastAsia="宋体" w:cs="宋体"/>
                <w:color w:val="auto"/>
                <w:kern w:val="0"/>
                <w:sz w:val="18"/>
                <w:szCs w:val="18"/>
                <w:highlight w:val="none"/>
              </w:rPr>
            </w:pPr>
          </w:p>
        </w:tc>
      </w:tr>
      <w:tr w14:paraId="1F6B9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 w:type="pct"/>
            <w:vAlign w:val="center"/>
          </w:tcPr>
          <w:p w14:paraId="183213DA">
            <w:pPr>
              <w:spacing w:line="400" w:lineRule="exact"/>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7</w:t>
            </w:r>
          </w:p>
        </w:tc>
        <w:tc>
          <w:tcPr>
            <w:tcW w:w="459" w:type="pct"/>
            <w:vAlign w:val="center"/>
          </w:tcPr>
          <w:p w14:paraId="2E6FBDDF">
            <w:pPr>
              <w:jc w:val="center"/>
              <w:rPr>
                <w:rFonts w:hint="default"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五、6</w:t>
            </w:r>
          </w:p>
        </w:tc>
        <w:tc>
          <w:tcPr>
            <w:tcW w:w="3092" w:type="pct"/>
            <w:vAlign w:val="center"/>
          </w:tcPr>
          <w:p w14:paraId="31141023">
            <w:pPr>
              <w:spacing w:line="360" w:lineRule="auto"/>
              <w:ind w:firstLine="0" w:firstLineChars="0"/>
              <w:rPr>
                <w:rFonts w:hint="eastAsia" w:ascii="宋体" w:hAnsi="宋体" w:eastAsia="宋体"/>
                <w:color w:val="auto"/>
                <w:sz w:val="21"/>
                <w:szCs w:val="21"/>
                <w:highlight w:val="none"/>
              </w:rPr>
            </w:pPr>
            <w:r>
              <w:rPr>
                <w:rFonts w:hint="eastAsia" w:ascii="宋体" w:hAnsi="宋体" w:eastAsia="宋体"/>
                <w:color w:val="auto"/>
                <w:sz w:val="21"/>
                <w:szCs w:val="21"/>
                <w:highlight w:val="none"/>
              </w:rPr>
              <w:t>★</w:t>
            </w:r>
            <w:r>
              <w:rPr>
                <w:rFonts w:hint="eastAsia" w:ascii="宋体" w:hAnsi="宋体" w:eastAsia="宋体"/>
                <w:color w:val="auto"/>
                <w:sz w:val="21"/>
                <w:szCs w:val="21"/>
                <w:highlight w:val="none"/>
                <w:lang w:val="en-US" w:eastAsia="zh-CN"/>
              </w:rPr>
              <w:t>供应商</w:t>
            </w:r>
            <w:r>
              <w:rPr>
                <w:rFonts w:hint="eastAsia" w:ascii="宋体" w:hAnsi="宋体" w:eastAsia="宋体"/>
                <w:color w:val="auto"/>
                <w:sz w:val="21"/>
                <w:szCs w:val="21"/>
                <w:highlight w:val="none"/>
                <w:lang w:eastAsia="zh-CN"/>
              </w:rPr>
              <w:t>泥粉/污泥</w:t>
            </w:r>
            <w:r>
              <w:rPr>
                <w:rFonts w:hint="eastAsia" w:ascii="宋体" w:hAnsi="宋体" w:eastAsia="宋体"/>
                <w:color w:val="auto"/>
                <w:sz w:val="21"/>
                <w:szCs w:val="21"/>
                <w:highlight w:val="none"/>
              </w:rPr>
              <w:t>的处置方式必须合法合规，确保未采用国家禁止、淘汰的工艺技术或方法，并体现“减量化、稳定化、无害化、资源化”的原则，在坚持“安全、环保”的原则下，实现污泥的综合利用，回收和利用</w:t>
            </w:r>
            <w:r>
              <w:rPr>
                <w:rFonts w:hint="eastAsia" w:ascii="宋体" w:hAnsi="宋体" w:eastAsia="宋体"/>
                <w:color w:val="auto"/>
                <w:sz w:val="21"/>
                <w:szCs w:val="21"/>
                <w:highlight w:val="none"/>
                <w:lang w:eastAsia="zh-CN"/>
              </w:rPr>
              <w:t>泥粉/污泥</w:t>
            </w:r>
            <w:r>
              <w:rPr>
                <w:rFonts w:hint="eastAsia" w:ascii="宋体" w:hAnsi="宋体" w:eastAsia="宋体"/>
                <w:color w:val="auto"/>
                <w:sz w:val="21"/>
                <w:szCs w:val="21"/>
                <w:highlight w:val="none"/>
              </w:rPr>
              <w:t>的能源和物质。污水处理厂半干化泥粉项目不接受填埋、</w:t>
            </w:r>
            <w:r>
              <w:rPr>
                <w:rFonts w:hint="eastAsia" w:ascii="宋体" w:hAnsi="宋体" w:eastAsia="宋体"/>
                <w:color w:val="auto"/>
                <w:sz w:val="21"/>
                <w:szCs w:val="21"/>
                <w:highlight w:val="none"/>
                <w:lang w:val="en-US" w:eastAsia="zh-CN"/>
              </w:rPr>
              <w:t>污泥</w:t>
            </w:r>
            <w:r>
              <w:rPr>
                <w:rFonts w:hint="eastAsia" w:ascii="宋体" w:hAnsi="宋体" w:eastAsia="宋体"/>
                <w:color w:val="auto"/>
                <w:sz w:val="21"/>
                <w:szCs w:val="21"/>
                <w:highlight w:val="none"/>
              </w:rPr>
              <w:t>未经高温处理</w:t>
            </w:r>
            <w:r>
              <w:rPr>
                <w:rFonts w:hint="eastAsia" w:ascii="宋体" w:hAnsi="宋体" w:eastAsia="宋体"/>
                <w:color w:val="auto"/>
                <w:sz w:val="21"/>
                <w:szCs w:val="21"/>
                <w:highlight w:val="none"/>
                <w:lang w:val="en-US" w:eastAsia="zh-CN"/>
              </w:rPr>
              <w:t>的</w:t>
            </w:r>
            <w:r>
              <w:rPr>
                <w:rFonts w:hint="eastAsia" w:ascii="宋体" w:hAnsi="宋体" w:eastAsia="宋体"/>
                <w:color w:val="auto"/>
                <w:sz w:val="21"/>
                <w:szCs w:val="21"/>
                <w:highlight w:val="none"/>
              </w:rPr>
              <w:t>建材利用类和土地利用（肥料生产制造）类的处置方式</w:t>
            </w:r>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lang w:val="en-US" w:eastAsia="zh-CN"/>
              </w:rPr>
              <w:t>当供应商泥粉/污泥处置场所生产的产品为燃料棒、生物质颗粒等未经高温焚烧处理的，投标时需提供产品作为电厂燃料进行高温焚烧处理的服务合同</w:t>
            </w:r>
            <w:r>
              <w:rPr>
                <w:rFonts w:hint="eastAsia" w:ascii="宋体" w:hAnsi="宋体" w:eastAsia="宋体"/>
                <w:color w:val="auto"/>
                <w:sz w:val="21"/>
                <w:szCs w:val="21"/>
                <w:highlight w:val="none"/>
              </w:rPr>
              <w:t>。</w:t>
            </w:r>
          </w:p>
        </w:tc>
        <w:tc>
          <w:tcPr>
            <w:tcW w:w="348" w:type="pct"/>
            <w:vAlign w:val="center"/>
          </w:tcPr>
          <w:p w14:paraId="13558DCD">
            <w:pPr>
              <w:keepNext/>
              <w:keepLines/>
              <w:spacing w:line="400" w:lineRule="exact"/>
              <w:jc w:val="center"/>
              <w:outlineLvl w:val="2"/>
              <w:rPr>
                <w:rFonts w:ascii="宋体" w:hAnsi="宋体" w:eastAsia="宋体" w:cs="宋体"/>
                <w:color w:val="auto"/>
                <w:kern w:val="0"/>
                <w:sz w:val="18"/>
                <w:szCs w:val="18"/>
                <w:highlight w:val="none"/>
              </w:rPr>
            </w:pPr>
          </w:p>
        </w:tc>
        <w:tc>
          <w:tcPr>
            <w:tcW w:w="418" w:type="pct"/>
            <w:vAlign w:val="center"/>
          </w:tcPr>
          <w:p w14:paraId="67B00FD2">
            <w:pPr>
              <w:keepNext/>
              <w:keepLines/>
              <w:spacing w:line="400" w:lineRule="exact"/>
              <w:jc w:val="center"/>
              <w:outlineLvl w:val="2"/>
              <w:rPr>
                <w:rFonts w:ascii="宋体" w:hAnsi="宋体" w:eastAsia="宋体" w:cs="宋体"/>
                <w:color w:val="auto"/>
                <w:kern w:val="0"/>
                <w:sz w:val="18"/>
                <w:szCs w:val="18"/>
                <w:highlight w:val="none"/>
              </w:rPr>
            </w:pPr>
          </w:p>
        </w:tc>
        <w:tc>
          <w:tcPr>
            <w:tcW w:w="405" w:type="pct"/>
            <w:vAlign w:val="center"/>
          </w:tcPr>
          <w:p w14:paraId="680D818A">
            <w:pPr>
              <w:keepNext/>
              <w:keepLines/>
              <w:spacing w:line="400" w:lineRule="exact"/>
              <w:jc w:val="center"/>
              <w:outlineLvl w:val="2"/>
              <w:rPr>
                <w:rFonts w:ascii="宋体" w:hAnsi="宋体" w:eastAsia="宋体" w:cs="宋体"/>
                <w:color w:val="auto"/>
                <w:kern w:val="0"/>
                <w:sz w:val="18"/>
                <w:szCs w:val="18"/>
                <w:highlight w:val="none"/>
              </w:rPr>
            </w:pPr>
          </w:p>
        </w:tc>
      </w:tr>
      <w:tr w14:paraId="0C5D3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 w:type="pct"/>
            <w:vAlign w:val="center"/>
          </w:tcPr>
          <w:p w14:paraId="13B271DE">
            <w:pPr>
              <w:spacing w:line="400" w:lineRule="exact"/>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8</w:t>
            </w:r>
          </w:p>
        </w:tc>
        <w:tc>
          <w:tcPr>
            <w:tcW w:w="459" w:type="pct"/>
            <w:vAlign w:val="center"/>
          </w:tcPr>
          <w:p w14:paraId="4944AE44">
            <w:pPr>
              <w:jc w:val="center"/>
              <w:rPr>
                <w:rFonts w:hint="default"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五、13</w:t>
            </w:r>
          </w:p>
        </w:tc>
        <w:tc>
          <w:tcPr>
            <w:tcW w:w="3092" w:type="pct"/>
            <w:vAlign w:val="center"/>
          </w:tcPr>
          <w:p w14:paraId="13C628A7">
            <w:pPr>
              <w:widowControl/>
              <w:spacing w:line="360" w:lineRule="auto"/>
              <w:ind w:firstLine="0" w:firstLineChars="0"/>
              <w:jc w:val="left"/>
              <w:rPr>
                <w:rFonts w:hint="eastAsia" w:ascii="宋体" w:hAnsi="宋体" w:eastAsia="宋体"/>
                <w:color w:val="auto"/>
                <w:sz w:val="21"/>
                <w:szCs w:val="21"/>
                <w:highlight w:val="none"/>
              </w:rPr>
            </w:pPr>
            <w:r>
              <w:rPr>
                <w:rFonts w:hint="eastAsia" w:ascii="宋体" w:hAnsi="宋体" w:eastAsia="宋体"/>
                <w:color w:val="auto"/>
                <w:sz w:val="21"/>
                <w:szCs w:val="21"/>
                <w:highlight w:val="none"/>
              </w:rPr>
              <w:t>★</w:t>
            </w:r>
            <w:r>
              <w:rPr>
                <w:rFonts w:hint="eastAsia" w:ascii="宋体" w:hAnsi="宋体" w:eastAsia="宋体"/>
                <w:color w:val="auto"/>
                <w:sz w:val="21"/>
                <w:szCs w:val="21"/>
                <w:highlight w:val="none"/>
                <w:lang w:val="en-US" w:eastAsia="zh-CN"/>
              </w:rPr>
              <w:t>供应商按每月/次的频次，根据初次核对确认的泥粉外运数量和资料填报要求，向招标人提交经供应商（对运输进行分包的，含分包的运输单位）盖章确认的《生活污水处理厂污泥转移联单》、磅单、（供应商）《月度半干化污泥（泥粉）外运签证表》（含电子文档）、《泥粉接收台账》（含电子文档）等资料。招标人对接收的资料复核后，发现资料有误的，供应商必须在3日内按要求重新提交。招标人将复核后的资料送污泥（泥粉）产生单位盖章确认，经供应商、污泥（泥粉）产生单位、招标人共同签字/盖章确认后，确定该批次半干化泥粉实际转移数量，并由招标人交东莞市生态环境主管部门留存备查。</w:t>
            </w:r>
          </w:p>
        </w:tc>
        <w:tc>
          <w:tcPr>
            <w:tcW w:w="348" w:type="pct"/>
            <w:vAlign w:val="center"/>
          </w:tcPr>
          <w:p w14:paraId="2E9ACAC8">
            <w:pPr>
              <w:keepNext/>
              <w:keepLines/>
              <w:spacing w:line="400" w:lineRule="exact"/>
              <w:jc w:val="center"/>
              <w:outlineLvl w:val="2"/>
              <w:rPr>
                <w:rFonts w:ascii="宋体" w:hAnsi="宋体" w:eastAsia="宋体" w:cs="宋体"/>
                <w:color w:val="auto"/>
                <w:kern w:val="0"/>
                <w:sz w:val="18"/>
                <w:szCs w:val="18"/>
                <w:highlight w:val="none"/>
              </w:rPr>
            </w:pPr>
          </w:p>
        </w:tc>
        <w:tc>
          <w:tcPr>
            <w:tcW w:w="418" w:type="pct"/>
            <w:vAlign w:val="center"/>
          </w:tcPr>
          <w:p w14:paraId="5859A78D">
            <w:pPr>
              <w:keepNext/>
              <w:keepLines/>
              <w:spacing w:line="400" w:lineRule="exact"/>
              <w:jc w:val="center"/>
              <w:outlineLvl w:val="2"/>
              <w:rPr>
                <w:rFonts w:ascii="宋体" w:hAnsi="宋体" w:eastAsia="宋体" w:cs="宋体"/>
                <w:color w:val="auto"/>
                <w:kern w:val="0"/>
                <w:sz w:val="18"/>
                <w:szCs w:val="18"/>
                <w:highlight w:val="none"/>
              </w:rPr>
            </w:pPr>
          </w:p>
        </w:tc>
        <w:tc>
          <w:tcPr>
            <w:tcW w:w="405" w:type="pct"/>
            <w:vAlign w:val="center"/>
          </w:tcPr>
          <w:p w14:paraId="4804EA07">
            <w:pPr>
              <w:keepNext/>
              <w:keepLines/>
              <w:spacing w:line="400" w:lineRule="exact"/>
              <w:jc w:val="center"/>
              <w:outlineLvl w:val="2"/>
              <w:rPr>
                <w:rFonts w:ascii="宋体" w:hAnsi="宋体" w:eastAsia="宋体" w:cs="宋体"/>
                <w:color w:val="auto"/>
                <w:kern w:val="0"/>
                <w:sz w:val="18"/>
                <w:szCs w:val="18"/>
                <w:highlight w:val="none"/>
              </w:rPr>
            </w:pPr>
          </w:p>
        </w:tc>
      </w:tr>
      <w:tr w14:paraId="67288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 w:type="pct"/>
            <w:vAlign w:val="center"/>
          </w:tcPr>
          <w:p w14:paraId="40859931">
            <w:pPr>
              <w:spacing w:line="400" w:lineRule="exact"/>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9</w:t>
            </w:r>
          </w:p>
        </w:tc>
        <w:tc>
          <w:tcPr>
            <w:tcW w:w="459" w:type="pct"/>
            <w:vAlign w:val="center"/>
          </w:tcPr>
          <w:p w14:paraId="44746E0D">
            <w:pPr>
              <w:jc w:val="center"/>
              <w:rPr>
                <w:rFonts w:hint="default"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五、17</w:t>
            </w:r>
          </w:p>
        </w:tc>
        <w:tc>
          <w:tcPr>
            <w:tcW w:w="3092" w:type="pct"/>
            <w:vAlign w:val="center"/>
          </w:tcPr>
          <w:p w14:paraId="490E6B94">
            <w:pPr>
              <w:widowControl/>
              <w:spacing w:line="360" w:lineRule="auto"/>
              <w:ind w:firstLine="0" w:firstLineChars="0"/>
              <w:jc w:val="left"/>
              <w:rPr>
                <w:rFonts w:hint="eastAsia" w:ascii="宋体" w:hAnsi="宋体" w:eastAsia="宋体"/>
                <w:color w:val="auto"/>
                <w:sz w:val="21"/>
                <w:szCs w:val="21"/>
                <w:highlight w:val="none"/>
              </w:rPr>
            </w:pPr>
            <w:r>
              <w:rPr>
                <w:rFonts w:hint="eastAsia" w:ascii="宋体" w:hAnsi="宋体" w:eastAsia="宋体"/>
                <w:color w:val="auto"/>
                <w:sz w:val="21"/>
                <w:szCs w:val="21"/>
                <w:highlight w:val="none"/>
                <w:lang w:val="en-US" w:eastAsia="zh-CN"/>
              </w:rPr>
              <w:t>★供应商须承诺，在“污水处理厂半干化泥粉项目”单项项目服务合同签订之日起，2日内可达到按招标人要求的泥粉外运处置能力，按招标人要求开展污水处理厂半干化泥粉外运处置服务。</w:t>
            </w:r>
          </w:p>
        </w:tc>
        <w:tc>
          <w:tcPr>
            <w:tcW w:w="348" w:type="pct"/>
            <w:vAlign w:val="center"/>
          </w:tcPr>
          <w:p w14:paraId="1C5A2DBA">
            <w:pPr>
              <w:keepNext/>
              <w:keepLines/>
              <w:spacing w:line="400" w:lineRule="exact"/>
              <w:jc w:val="center"/>
              <w:outlineLvl w:val="2"/>
              <w:rPr>
                <w:rFonts w:ascii="宋体" w:hAnsi="宋体" w:eastAsia="宋体" w:cs="宋体"/>
                <w:color w:val="auto"/>
                <w:kern w:val="0"/>
                <w:sz w:val="18"/>
                <w:szCs w:val="18"/>
                <w:highlight w:val="none"/>
              </w:rPr>
            </w:pPr>
          </w:p>
        </w:tc>
        <w:tc>
          <w:tcPr>
            <w:tcW w:w="418" w:type="pct"/>
            <w:vAlign w:val="center"/>
          </w:tcPr>
          <w:p w14:paraId="5EA92634">
            <w:pPr>
              <w:keepNext/>
              <w:keepLines/>
              <w:spacing w:line="400" w:lineRule="exact"/>
              <w:jc w:val="center"/>
              <w:outlineLvl w:val="2"/>
              <w:rPr>
                <w:rFonts w:ascii="宋体" w:hAnsi="宋体" w:eastAsia="宋体" w:cs="宋体"/>
                <w:color w:val="auto"/>
                <w:kern w:val="0"/>
                <w:sz w:val="18"/>
                <w:szCs w:val="18"/>
                <w:highlight w:val="none"/>
              </w:rPr>
            </w:pPr>
          </w:p>
        </w:tc>
        <w:tc>
          <w:tcPr>
            <w:tcW w:w="405" w:type="pct"/>
            <w:vAlign w:val="center"/>
          </w:tcPr>
          <w:p w14:paraId="752A545C">
            <w:pPr>
              <w:keepNext/>
              <w:keepLines/>
              <w:spacing w:line="400" w:lineRule="exact"/>
              <w:jc w:val="center"/>
              <w:outlineLvl w:val="2"/>
              <w:rPr>
                <w:rFonts w:ascii="宋体" w:hAnsi="宋体" w:eastAsia="宋体" w:cs="宋体"/>
                <w:color w:val="auto"/>
                <w:kern w:val="0"/>
                <w:sz w:val="18"/>
                <w:szCs w:val="18"/>
                <w:highlight w:val="none"/>
              </w:rPr>
            </w:pPr>
          </w:p>
        </w:tc>
      </w:tr>
      <w:tr w14:paraId="08BF4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 w:type="pct"/>
            <w:vAlign w:val="center"/>
          </w:tcPr>
          <w:p w14:paraId="2B90E0A8">
            <w:pPr>
              <w:spacing w:line="400" w:lineRule="exact"/>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w:t>
            </w:r>
          </w:p>
        </w:tc>
        <w:tc>
          <w:tcPr>
            <w:tcW w:w="459" w:type="pct"/>
            <w:vAlign w:val="center"/>
          </w:tcPr>
          <w:p w14:paraId="368A9095">
            <w:pPr>
              <w:jc w:val="center"/>
              <w:rPr>
                <w:rFonts w:hint="default" w:ascii="宋体" w:hAnsi="宋体" w:eastAsia="宋体" w:cs="宋体"/>
                <w:bCs/>
                <w:color w:val="auto"/>
                <w:kern w:val="0"/>
                <w:sz w:val="21"/>
                <w:szCs w:val="21"/>
                <w:highlight w:val="none"/>
                <w:lang w:val="en-US" w:eastAsia="zh-CN"/>
              </w:rPr>
            </w:pPr>
            <w:r>
              <w:rPr>
                <w:rFonts w:hint="eastAsia" w:ascii="宋体" w:hAnsi="宋体" w:eastAsia="宋体" w:cs="宋体"/>
                <w:b w:val="0"/>
                <w:bCs/>
                <w:sz w:val="21"/>
                <w:szCs w:val="21"/>
                <w:highlight w:val="none"/>
                <w:lang w:val="en-US" w:eastAsia="zh-CN"/>
              </w:rPr>
              <w:t>六、1</w:t>
            </w:r>
          </w:p>
        </w:tc>
        <w:tc>
          <w:tcPr>
            <w:tcW w:w="3092" w:type="pct"/>
            <w:vAlign w:val="center"/>
          </w:tcPr>
          <w:p w14:paraId="39B0A03C">
            <w:pPr>
              <w:widowControl/>
              <w:spacing w:line="360" w:lineRule="auto"/>
              <w:ind w:firstLine="0" w:firstLineChars="0"/>
              <w:jc w:val="left"/>
              <w:rPr>
                <w:rFonts w:hint="eastAsia" w:ascii="宋体" w:hAnsi="宋体" w:eastAsia="宋体"/>
                <w:color w:val="auto"/>
                <w:sz w:val="21"/>
                <w:szCs w:val="21"/>
                <w:highlight w:val="none"/>
              </w:rPr>
            </w:pPr>
            <w:r>
              <w:rPr>
                <w:rFonts w:hint="eastAsia" w:ascii="宋体" w:hAnsi="宋体" w:eastAsia="宋体"/>
                <w:color w:val="auto"/>
                <w:sz w:val="21"/>
                <w:szCs w:val="21"/>
                <w:highlight w:val="none"/>
              </w:rPr>
              <w:t>★</w:t>
            </w:r>
            <w:r>
              <w:rPr>
                <w:rFonts w:hint="eastAsia" w:ascii="宋体" w:hAnsi="宋体" w:eastAsia="宋体"/>
                <w:color w:val="auto"/>
                <w:sz w:val="21"/>
                <w:szCs w:val="21"/>
                <w:highlight w:val="none"/>
                <w:lang w:val="en-US" w:eastAsia="zh-CN"/>
              </w:rPr>
              <w:t>供应商在东莞市行政区域内转移处置泥粉</w:t>
            </w:r>
            <w:r>
              <w:rPr>
                <w:rFonts w:hint="eastAsia" w:ascii="宋体" w:hAnsi="宋体" w:eastAsia="宋体"/>
                <w:color w:val="auto"/>
                <w:sz w:val="21"/>
                <w:szCs w:val="21"/>
                <w:highlight w:val="none"/>
              </w:rPr>
              <w:t>时，应编制具体的污泥转移方案等资料，并将企业资质，环评批复等相关文件抄送一份给</w:t>
            </w:r>
            <w:r>
              <w:rPr>
                <w:rFonts w:hint="eastAsia" w:ascii="宋体" w:hAnsi="宋体" w:eastAsia="宋体"/>
                <w:color w:val="auto"/>
                <w:sz w:val="21"/>
                <w:szCs w:val="21"/>
                <w:highlight w:val="none"/>
                <w:lang w:val="en-US" w:eastAsia="zh-CN"/>
              </w:rPr>
              <w:t>招标人</w:t>
            </w:r>
            <w:r>
              <w:rPr>
                <w:rFonts w:hint="eastAsia" w:ascii="宋体" w:hAnsi="宋体" w:eastAsia="宋体"/>
                <w:color w:val="auto"/>
                <w:sz w:val="21"/>
                <w:szCs w:val="21"/>
                <w:highlight w:val="none"/>
              </w:rPr>
              <w:t>审核备案，在配合完成办理东莞市污泥主管部门相关备案手续后方可开展半干化泥粉外运处置工作</w:t>
            </w:r>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lang w:val="en-US" w:eastAsia="zh-CN"/>
              </w:rPr>
              <w:t>供应商需跨市转移处置污泥时，</w:t>
            </w:r>
            <w:r>
              <w:rPr>
                <w:rFonts w:hint="eastAsia" w:ascii="宋体" w:hAnsi="宋体" w:eastAsia="宋体"/>
                <w:color w:val="auto"/>
                <w:sz w:val="21"/>
                <w:szCs w:val="21"/>
                <w:highlight w:val="none"/>
              </w:rPr>
              <w:t>应根据《</w:t>
            </w:r>
            <w:r>
              <w:rPr>
                <w:rFonts w:hint="eastAsia" w:ascii="宋体" w:hAnsi="宋体" w:eastAsia="宋体"/>
                <w:color w:val="auto"/>
                <w:sz w:val="21"/>
                <w:szCs w:val="21"/>
                <w:highlight w:val="none"/>
                <w:lang w:val="en-US" w:eastAsia="zh-CN"/>
              </w:rPr>
              <w:t>广东省住房和城乡建设厅 广东省生态环境厅城镇生活污水处理厂污泥处理处置管理办法</w:t>
            </w:r>
            <w:r>
              <w:rPr>
                <w:rFonts w:hint="eastAsia" w:ascii="宋体" w:hAnsi="宋体" w:eastAsia="宋体"/>
                <w:color w:val="auto"/>
                <w:sz w:val="21"/>
                <w:szCs w:val="21"/>
                <w:highlight w:val="none"/>
              </w:rPr>
              <w:t>》</w:t>
            </w:r>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lang w:val="en-US" w:eastAsia="zh-CN"/>
              </w:rPr>
              <w:t>若后续相关法规管理要求有所变更，按最新的要求执行）</w:t>
            </w:r>
            <w:r>
              <w:rPr>
                <w:rFonts w:hint="eastAsia" w:ascii="宋体" w:hAnsi="宋体" w:eastAsia="宋体"/>
                <w:color w:val="auto"/>
                <w:sz w:val="21"/>
                <w:szCs w:val="21"/>
                <w:highlight w:val="none"/>
              </w:rPr>
              <w:t>的通知第</w:t>
            </w:r>
            <w:r>
              <w:rPr>
                <w:rFonts w:hint="eastAsia" w:ascii="宋体" w:hAnsi="宋体" w:eastAsia="宋体"/>
                <w:color w:val="auto"/>
                <w:sz w:val="21"/>
                <w:szCs w:val="21"/>
                <w:highlight w:val="none"/>
                <w:lang w:val="en-US" w:eastAsia="zh-CN"/>
              </w:rPr>
              <w:t>十</w:t>
            </w:r>
            <w:r>
              <w:rPr>
                <w:rFonts w:hint="eastAsia" w:ascii="宋体" w:hAnsi="宋体" w:eastAsia="宋体"/>
                <w:color w:val="auto"/>
                <w:sz w:val="21"/>
                <w:szCs w:val="21"/>
                <w:highlight w:val="none"/>
              </w:rPr>
              <w:t>八条的规定，</w:t>
            </w:r>
            <w:r>
              <w:rPr>
                <w:rFonts w:hint="eastAsia" w:ascii="宋体" w:hAnsi="宋体" w:eastAsia="宋体"/>
                <w:color w:val="auto"/>
                <w:sz w:val="21"/>
                <w:szCs w:val="21"/>
                <w:highlight w:val="none"/>
                <w:lang w:val="en-US" w:eastAsia="zh-CN"/>
              </w:rPr>
              <w:t>制定污泥跨市转移计划，并按规定报告污泥移出地的污泥主管部门，并将前述向主管部门报送的报批资料及各级主管部门的审批、备案文件抄送一份给招标人备案，在配合完成办理东莞市污泥主管部门相关备案手续后方可开展半干化泥粉外运处置工作</w:t>
            </w:r>
            <w:r>
              <w:rPr>
                <w:rFonts w:hint="eastAsia" w:ascii="宋体" w:hAnsi="宋体" w:eastAsia="宋体"/>
                <w:color w:val="auto"/>
                <w:sz w:val="21"/>
                <w:szCs w:val="21"/>
                <w:highlight w:val="none"/>
              </w:rPr>
              <w:t>。</w:t>
            </w:r>
          </w:p>
        </w:tc>
        <w:tc>
          <w:tcPr>
            <w:tcW w:w="348" w:type="pct"/>
            <w:vAlign w:val="center"/>
          </w:tcPr>
          <w:p w14:paraId="19F0FE07">
            <w:pPr>
              <w:keepNext/>
              <w:keepLines/>
              <w:spacing w:line="400" w:lineRule="exact"/>
              <w:jc w:val="center"/>
              <w:outlineLvl w:val="2"/>
              <w:rPr>
                <w:rFonts w:ascii="宋体" w:hAnsi="宋体" w:eastAsia="宋体" w:cs="宋体"/>
                <w:color w:val="auto"/>
                <w:kern w:val="0"/>
                <w:sz w:val="18"/>
                <w:szCs w:val="18"/>
                <w:highlight w:val="none"/>
              </w:rPr>
            </w:pPr>
          </w:p>
        </w:tc>
        <w:tc>
          <w:tcPr>
            <w:tcW w:w="418" w:type="pct"/>
            <w:vAlign w:val="center"/>
          </w:tcPr>
          <w:p w14:paraId="6D7CE3C6">
            <w:pPr>
              <w:keepNext/>
              <w:keepLines/>
              <w:spacing w:line="400" w:lineRule="exact"/>
              <w:jc w:val="center"/>
              <w:outlineLvl w:val="2"/>
              <w:rPr>
                <w:rFonts w:ascii="宋体" w:hAnsi="宋体" w:eastAsia="宋体" w:cs="宋体"/>
                <w:color w:val="auto"/>
                <w:kern w:val="0"/>
                <w:sz w:val="18"/>
                <w:szCs w:val="18"/>
                <w:highlight w:val="none"/>
              </w:rPr>
            </w:pPr>
          </w:p>
        </w:tc>
        <w:tc>
          <w:tcPr>
            <w:tcW w:w="405" w:type="pct"/>
            <w:vAlign w:val="center"/>
          </w:tcPr>
          <w:p w14:paraId="0C0E938E">
            <w:pPr>
              <w:keepNext/>
              <w:keepLines/>
              <w:spacing w:line="400" w:lineRule="exact"/>
              <w:jc w:val="center"/>
              <w:outlineLvl w:val="2"/>
              <w:rPr>
                <w:rFonts w:ascii="宋体" w:hAnsi="宋体" w:eastAsia="宋体" w:cs="宋体"/>
                <w:color w:val="auto"/>
                <w:kern w:val="0"/>
                <w:sz w:val="18"/>
                <w:szCs w:val="18"/>
                <w:highlight w:val="none"/>
              </w:rPr>
            </w:pPr>
          </w:p>
        </w:tc>
      </w:tr>
      <w:tr w14:paraId="307A4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 w:type="pct"/>
            <w:vAlign w:val="center"/>
          </w:tcPr>
          <w:p w14:paraId="4CC84315">
            <w:pPr>
              <w:spacing w:line="400" w:lineRule="exact"/>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11</w:t>
            </w:r>
          </w:p>
        </w:tc>
        <w:tc>
          <w:tcPr>
            <w:tcW w:w="459" w:type="pct"/>
            <w:vAlign w:val="center"/>
          </w:tcPr>
          <w:p w14:paraId="6BE8EFCC">
            <w:pPr>
              <w:jc w:val="center"/>
              <w:rPr>
                <w:rFonts w:hint="default" w:ascii="宋体" w:hAnsi="宋体" w:eastAsia="宋体" w:cs="宋体"/>
                <w:bCs/>
                <w:color w:val="auto"/>
                <w:kern w:val="0"/>
                <w:sz w:val="21"/>
                <w:szCs w:val="21"/>
                <w:highlight w:val="none"/>
                <w:lang w:val="en-US" w:eastAsia="zh-CN"/>
              </w:rPr>
            </w:pPr>
            <w:r>
              <w:rPr>
                <w:rFonts w:hint="eastAsia" w:ascii="宋体" w:hAnsi="宋体" w:eastAsia="宋体" w:cs="宋体"/>
                <w:b w:val="0"/>
                <w:bCs/>
                <w:sz w:val="21"/>
                <w:szCs w:val="21"/>
                <w:highlight w:val="none"/>
                <w:lang w:val="en-US" w:eastAsia="zh-CN"/>
              </w:rPr>
              <w:t>六、5</w:t>
            </w:r>
          </w:p>
        </w:tc>
        <w:tc>
          <w:tcPr>
            <w:tcW w:w="3092" w:type="pct"/>
            <w:vAlign w:val="center"/>
          </w:tcPr>
          <w:p w14:paraId="5D432E5E">
            <w:pPr>
              <w:widowControl/>
              <w:spacing w:line="360" w:lineRule="auto"/>
              <w:ind w:firstLine="0" w:firstLineChars="0"/>
              <w:jc w:val="left"/>
              <w:rPr>
                <w:rFonts w:hint="eastAsia" w:ascii="宋体" w:hAnsi="宋体" w:eastAsia="宋体"/>
                <w:color w:val="auto"/>
                <w:sz w:val="21"/>
                <w:szCs w:val="21"/>
                <w:highlight w:val="none"/>
              </w:rPr>
            </w:pPr>
            <w:r>
              <w:rPr>
                <w:rFonts w:hint="eastAsia" w:ascii="宋体" w:hAnsi="宋体" w:eastAsia="宋体"/>
                <w:color w:val="auto"/>
                <w:sz w:val="21"/>
                <w:szCs w:val="21"/>
                <w:highlight w:val="none"/>
              </w:rPr>
              <w:t>★</w:t>
            </w:r>
            <w:r>
              <w:rPr>
                <w:rFonts w:hint="eastAsia" w:ascii="宋体" w:hAnsi="宋体" w:eastAsia="宋体"/>
                <w:color w:val="auto"/>
                <w:sz w:val="21"/>
                <w:szCs w:val="21"/>
                <w:highlight w:val="none"/>
                <w:lang w:val="en-US" w:eastAsia="zh-CN"/>
              </w:rPr>
              <w:t>供应商</w:t>
            </w:r>
            <w:r>
              <w:rPr>
                <w:rFonts w:hint="eastAsia" w:ascii="宋体" w:hAnsi="宋体" w:eastAsia="宋体"/>
                <w:color w:val="auto"/>
                <w:sz w:val="21"/>
                <w:szCs w:val="21"/>
                <w:highlight w:val="none"/>
              </w:rPr>
              <w:t>在</w:t>
            </w:r>
            <w:r>
              <w:rPr>
                <w:rFonts w:hint="eastAsia" w:ascii="宋体" w:hAnsi="宋体" w:eastAsia="宋体"/>
                <w:color w:val="auto"/>
                <w:sz w:val="21"/>
                <w:szCs w:val="21"/>
                <w:highlight w:val="none"/>
                <w:lang w:val="en-US" w:eastAsia="zh-CN"/>
              </w:rPr>
              <w:t>泥粉</w:t>
            </w:r>
            <w:r>
              <w:rPr>
                <w:rFonts w:hint="eastAsia" w:ascii="宋体" w:hAnsi="宋体" w:eastAsia="宋体"/>
                <w:color w:val="auto"/>
                <w:sz w:val="21"/>
                <w:szCs w:val="21"/>
                <w:highlight w:val="none"/>
              </w:rPr>
              <w:t>运输过程中严禁将</w:t>
            </w:r>
            <w:r>
              <w:rPr>
                <w:rFonts w:hint="eastAsia" w:ascii="宋体" w:hAnsi="宋体" w:eastAsia="宋体"/>
                <w:color w:val="auto"/>
                <w:sz w:val="21"/>
                <w:szCs w:val="21"/>
                <w:highlight w:val="none"/>
                <w:lang w:val="en-US" w:eastAsia="zh-CN"/>
              </w:rPr>
              <w:t>泥粉/</w:t>
            </w:r>
            <w:r>
              <w:rPr>
                <w:rFonts w:hint="eastAsia" w:ascii="宋体" w:hAnsi="宋体" w:eastAsia="宋体"/>
                <w:color w:val="auto"/>
                <w:sz w:val="21"/>
                <w:szCs w:val="21"/>
                <w:highlight w:val="none"/>
              </w:rPr>
              <w:t>污泥等一般固体废物在处置场所以外进行中转存放或堆放，严禁将未经处置的</w:t>
            </w:r>
            <w:r>
              <w:rPr>
                <w:rFonts w:hint="eastAsia" w:ascii="宋体" w:hAnsi="宋体" w:eastAsia="宋体"/>
                <w:color w:val="auto"/>
                <w:sz w:val="21"/>
                <w:szCs w:val="21"/>
                <w:highlight w:val="none"/>
                <w:lang w:val="en-US" w:eastAsia="zh-CN"/>
              </w:rPr>
              <w:t>泥粉/污泥等一般固体废物</w:t>
            </w:r>
            <w:r>
              <w:rPr>
                <w:rFonts w:hint="eastAsia" w:ascii="宋体" w:hAnsi="宋体" w:eastAsia="宋体"/>
                <w:color w:val="auto"/>
                <w:sz w:val="21"/>
                <w:szCs w:val="21"/>
                <w:highlight w:val="none"/>
              </w:rPr>
              <w:t>违规偷倒、丢弃、填埋</w:t>
            </w:r>
            <w:r>
              <w:rPr>
                <w:rFonts w:hint="eastAsia" w:ascii="宋体" w:hAnsi="宋体" w:eastAsia="宋体"/>
                <w:color w:val="auto"/>
                <w:sz w:val="21"/>
                <w:szCs w:val="21"/>
                <w:highlight w:val="none"/>
                <w:lang w:val="en-US" w:eastAsia="zh-CN"/>
              </w:rPr>
              <w:t>和采取污泥未经高温处理的建材利用类、土地利用（肥料生产制造）类处置方式</w:t>
            </w:r>
            <w:r>
              <w:rPr>
                <w:rFonts w:hint="eastAsia" w:ascii="宋体" w:hAnsi="宋体" w:eastAsia="宋体"/>
                <w:color w:val="auto"/>
                <w:sz w:val="21"/>
                <w:szCs w:val="21"/>
                <w:highlight w:val="none"/>
              </w:rPr>
              <w:t>。泥粉/污泥等一般固体废物运输过程中不得进行中间装卸操作。</w:t>
            </w:r>
          </w:p>
        </w:tc>
        <w:tc>
          <w:tcPr>
            <w:tcW w:w="348" w:type="pct"/>
            <w:vAlign w:val="center"/>
          </w:tcPr>
          <w:p w14:paraId="5712B5F6">
            <w:pPr>
              <w:keepNext/>
              <w:keepLines/>
              <w:spacing w:line="400" w:lineRule="exact"/>
              <w:jc w:val="center"/>
              <w:outlineLvl w:val="2"/>
              <w:rPr>
                <w:rFonts w:ascii="宋体" w:hAnsi="宋体" w:eastAsia="宋体" w:cs="宋体"/>
                <w:color w:val="auto"/>
                <w:kern w:val="0"/>
                <w:sz w:val="18"/>
                <w:szCs w:val="18"/>
                <w:highlight w:val="none"/>
              </w:rPr>
            </w:pPr>
          </w:p>
        </w:tc>
        <w:tc>
          <w:tcPr>
            <w:tcW w:w="418" w:type="pct"/>
            <w:vAlign w:val="center"/>
          </w:tcPr>
          <w:p w14:paraId="39DE1F08">
            <w:pPr>
              <w:keepNext/>
              <w:keepLines/>
              <w:spacing w:line="400" w:lineRule="exact"/>
              <w:jc w:val="center"/>
              <w:outlineLvl w:val="2"/>
              <w:rPr>
                <w:rFonts w:ascii="宋体" w:hAnsi="宋体" w:eastAsia="宋体" w:cs="宋体"/>
                <w:color w:val="auto"/>
                <w:kern w:val="0"/>
                <w:sz w:val="18"/>
                <w:szCs w:val="18"/>
                <w:highlight w:val="none"/>
              </w:rPr>
            </w:pPr>
          </w:p>
        </w:tc>
        <w:tc>
          <w:tcPr>
            <w:tcW w:w="405" w:type="pct"/>
            <w:vAlign w:val="center"/>
          </w:tcPr>
          <w:p w14:paraId="45EE7E6E">
            <w:pPr>
              <w:keepNext/>
              <w:keepLines/>
              <w:spacing w:line="400" w:lineRule="exact"/>
              <w:jc w:val="center"/>
              <w:outlineLvl w:val="2"/>
              <w:rPr>
                <w:rFonts w:ascii="宋体" w:hAnsi="宋体" w:eastAsia="宋体" w:cs="宋体"/>
                <w:color w:val="auto"/>
                <w:kern w:val="0"/>
                <w:sz w:val="18"/>
                <w:szCs w:val="18"/>
                <w:highlight w:val="none"/>
              </w:rPr>
            </w:pPr>
          </w:p>
        </w:tc>
      </w:tr>
    </w:tbl>
    <w:p w14:paraId="6E204B64">
      <w:pPr>
        <w:spacing w:line="360" w:lineRule="auto"/>
        <w:rPr>
          <w:rFonts w:ascii="宋体" w:hAnsi="宋体" w:eastAsia="宋体" w:cs="宋体"/>
          <w:color w:val="auto"/>
          <w:szCs w:val="21"/>
          <w:highlight w:val="none"/>
        </w:rPr>
      </w:pPr>
    </w:p>
    <w:p w14:paraId="583D9D9C">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备注：</w:t>
      </w:r>
    </w:p>
    <w:p w14:paraId="06D48B80">
      <w:pPr>
        <w:spacing w:line="360" w:lineRule="auto"/>
        <w:ind w:left="605" w:leftChars="18" w:hanging="567" w:hangingChars="270"/>
        <w:rPr>
          <w:rFonts w:ascii="宋体" w:hAnsi="宋体" w:eastAsia="宋体" w:cs="宋体"/>
          <w:b/>
          <w:color w:val="auto"/>
          <w:szCs w:val="21"/>
          <w:highlight w:val="none"/>
          <w:u w:val="single"/>
        </w:rPr>
      </w:pPr>
      <w:r>
        <w:rPr>
          <w:rFonts w:hint="eastAsia" w:ascii="宋体" w:hAnsi="宋体" w:eastAsia="宋体" w:cs="宋体"/>
          <w:color w:val="auto"/>
          <w:szCs w:val="21"/>
          <w:highlight w:val="none"/>
        </w:rPr>
        <w:t>（1）</w:t>
      </w:r>
      <w:r>
        <w:rPr>
          <w:rFonts w:hint="eastAsia" w:ascii="宋体" w:hAnsi="宋体" w:eastAsia="宋体" w:cs="宋体"/>
          <w:b/>
          <w:color w:val="auto"/>
          <w:szCs w:val="21"/>
          <w:highlight w:val="none"/>
          <w:u w:val="single"/>
          <w:lang w:eastAsia="zh-CN"/>
        </w:rPr>
        <w:t>投标人</w:t>
      </w:r>
      <w:r>
        <w:rPr>
          <w:rFonts w:hint="eastAsia" w:ascii="宋体" w:hAnsi="宋体" w:eastAsia="宋体" w:cs="宋体"/>
          <w:b/>
          <w:color w:val="auto"/>
          <w:szCs w:val="21"/>
          <w:highlight w:val="none"/>
          <w:u w:val="single"/>
        </w:rPr>
        <w:t>应对照</w:t>
      </w:r>
      <w:r>
        <w:rPr>
          <w:rFonts w:hint="eastAsia" w:ascii="宋体" w:hAnsi="宋体" w:eastAsia="宋体" w:cs="宋体"/>
          <w:b/>
          <w:color w:val="auto"/>
          <w:szCs w:val="21"/>
          <w:highlight w:val="none"/>
          <w:u w:val="single"/>
          <w:lang w:eastAsia="zh-CN"/>
        </w:rPr>
        <w:t>招标文件</w:t>
      </w:r>
      <w:r>
        <w:rPr>
          <w:rFonts w:hint="eastAsia" w:ascii="宋体" w:hAnsi="宋体" w:eastAsia="宋体" w:cs="宋体"/>
          <w:b/>
          <w:color w:val="auto"/>
          <w:szCs w:val="21"/>
          <w:highlight w:val="none"/>
          <w:u w:val="single"/>
        </w:rPr>
        <w:t>用户需求书的响应，逐条逐项、如实地填写“偏离情况”，</w:t>
      </w:r>
      <w:r>
        <w:rPr>
          <w:rFonts w:hint="eastAsia" w:ascii="宋体" w:hAnsi="宋体" w:eastAsia="宋体" w:cs="Times New Roman"/>
          <w:b/>
          <w:color w:val="auto"/>
          <w:kern w:val="0"/>
          <w:szCs w:val="21"/>
          <w:highlight w:val="none"/>
          <w:u w:val="single"/>
        </w:rPr>
        <w:t>若发现未填写本表，或虚假填写本表，或伪造、变造证明材料的，按无效</w:t>
      </w:r>
      <w:r>
        <w:rPr>
          <w:rFonts w:hint="eastAsia" w:ascii="宋体" w:hAnsi="宋体" w:eastAsia="宋体" w:cs="Times New Roman"/>
          <w:b/>
          <w:color w:val="auto"/>
          <w:kern w:val="0"/>
          <w:szCs w:val="21"/>
          <w:highlight w:val="none"/>
          <w:u w:val="single"/>
          <w:lang w:eastAsia="zh-CN"/>
        </w:rPr>
        <w:t>投标文件</w:t>
      </w:r>
      <w:r>
        <w:rPr>
          <w:rFonts w:hint="eastAsia" w:ascii="宋体" w:hAnsi="宋体" w:eastAsia="宋体" w:cs="Times New Roman"/>
          <w:b/>
          <w:color w:val="auto"/>
          <w:kern w:val="0"/>
          <w:szCs w:val="21"/>
          <w:highlight w:val="none"/>
          <w:u w:val="single"/>
        </w:rPr>
        <w:t>处理</w:t>
      </w:r>
      <w:r>
        <w:rPr>
          <w:rFonts w:hint="eastAsia" w:ascii="宋体" w:hAnsi="宋体" w:eastAsia="宋体" w:cs="宋体"/>
          <w:b/>
          <w:color w:val="auto"/>
          <w:szCs w:val="21"/>
          <w:highlight w:val="none"/>
          <w:u w:val="single"/>
        </w:rPr>
        <w:t>。若</w:t>
      </w:r>
      <w:r>
        <w:rPr>
          <w:rFonts w:hint="eastAsia" w:ascii="宋体" w:hAnsi="宋体" w:eastAsia="宋体" w:cs="宋体"/>
          <w:b/>
          <w:color w:val="auto"/>
          <w:szCs w:val="21"/>
          <w:highlight w:val="none"/>
          <w:u w:val="single"/>
          <w:lang w:eastAsia="zh-CN"/>
        </w:rPr>
        <w:t>招标文件</w:t>
      </w:r>
      <w:r>
        <w:rPr>
          <w:rFonts w:hint="eastAsia" w:ascii="宋体" w:hAnsi="宋体" w:eastAsia="宋体" w:cs="宋体"/>
          <w:b/>
          <w:color w:val="auto"/>
          <w:szCs w:val="21"/>
          <w:highlight w:val="none"/>
          <w:u w:val="single"/>
        </w:rPr>
        <w:t>用户需求书中有“★”条款须逐条逐项、如实地填写“偏离情况”，未填写“★”条款以外的条款的，视为完全满足</w:t>
      </w:r>
      <w:r>
        <w:rPr>
          <w:rFonts w:hint="eastAsia" w:ascii="宋体" w:hAnsi="宋体" w:eastAsia="宋体" w:cs="宋体"/>
          <w:b/>
          <w:color w:val="auto"/>
          <w:szCs w:val="21"/>
          <w:highlight w:val="none"/>
          <w:u w:val="single"/>
          <w:lang w:eastAsia="zh-CN"/>
        </w:rPr>
        <w:t>招标文件</w:t>
      </w:r>
      <w:r>
        <w:rPr>
          <w:rFonts w:hint="eastAsia" w:ascii="宋体" w:hAnsi="宋体" w:eastAsia="宋体" w:cs="宋体"/>
          <w:b/>
          <w:color w:val="auto"/>
          <w:szCs w:val="21"/>
          <w:highlight w:val="none"/>
          <w:u w:val="single"/>
        </w:rPr>
        <w:t>要求。</w:t>
      </w:r>
    </w:p>
    <w:p w14:paraId="27770DC4">
      <w:pPr>
        <w:spacing w:line="360" w:lineRule="auto"/>
        <w:ind w:left="605" w:leftChars="18" w:hanging="567" w:hangingChars="270"/>
        <w:rPr>
          <w:rFonts w:ascii="宋体" w:hAnsi="宋体" w:eastAsia="宋体" w:cs="宋体"/>
          <w:color w:val="auto"/>
          <w:szCs w:val="21"/>
          <w:highlight w:val="none"/>
        </w:rPr>
      </w:pPr>
      <w:r>
        <w:rPr>
          <w:rFonts w:hint="eastAsia" w:ascii="宋体" w:hAnsi="宋体" w:eastAsia="宋体" w:cs="宋体"/>
          <w:color w:val="auto"/>
          <w:szCs w:val="21"/>
          <w:highlight w:val="none"/>
        </w:rPr>
        <w:t>（2）偏离情况（</w:t>
      </w:r>
      <w:r>
        <w:rPr>
          <w:rFonts w:hint="eastAsia" w:ascii="宋体" w:hAnsi="宋体" w:eastAsia="宋体" w:cs="宋体"/>
          <w:color w:val="auto"/>
          <w:szCs w:val="21"/>
          <w:highlight w:val="none"/>
          <w:lang w:eastAsia="zh-CN"/>
        </w:rPr>
        <w:t>投标文件</w:t>
      </w:r>
      <w:r>
        <w:rPr>
          <w:rFonts w:hint="eastAsia" w:ascii="宋体" w:hAnsi="宋体" w:eastAsia="宋体" w:cs="宋体"/>
          <w:color w:val="auto"/>
          <w:szCs w:val="21"/>
          <w:highlight w:val="none"/>
        </w:rPr>
        <w:t>对</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用户需求的响应程度）分为：正偏离、负偏离、无偏离。正偏离是指</w:t>
      </w:r>
      <w:r>
        <w:rPr>
          <w:rFonts w:hint="eastAsia" w:ascii="宋体" w:hAnsi="宋体" w:eastAsia="宋体" w:cs="宋体"/>
          <w:color w:val="auto"/>
          <w:szCs w:val="21"/>
          <w:highlight w:val="none"/>
          <w:lang w:eastAsia="zh-CN"/>
        </w:rPr>
        <w:t>投标人</w:t>
      </w:r>
      <w:r>
        <w:rPr>
          <w:rFonts w:hint="eastAsia" w:ascii="宋体" w:hAnsi="宋体" w:eastAsia="宋体" w:cs="宋体"/>
          <w:color w:val="auto"/>
          <w:szCs w:val="21"/>
          <w:highlight w:val="none"/>
        </w:rPr>
        <w:t>对用户需求响应优于</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的要求；负偏离是指</w:t>
      </w:r>
      <w:r>
        <w:rPr>
          <w:rFonts w:hint="eastAsia" w:ascii="宋体" w:hAnsi="宋体" w:eastAsia="宋体" w:cs="宋体"/>
          <w:color w:val="auto"/>
          <w:szCs w:val="21"/>
          <w:highlight w:val="none"/>
          <w:lang w:eastAsia="zh-CN"/>
        </w:rPr>
        <w:t>投标人</w:t>
      </w:r>
      <w:r>
        <w:rPr>
          <w:rFonts w:hint="eastAsia" w:ascii="宋体" w:hAnsi="宋体" w:eastAsia="宋体" w:cs="宋体"/>
          <w:color w:val="auto"/>
          <w:szCs w:val="21"/>
          <w:highlight w:val="none"/>
        </w:rPr>
        <w:t>对用户需求响应不满足或不完全满足</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的要求；无偏离是指</w:t>
      </w:r>
      <w:r>
        <w:rPr>
          <w:rFonts w:hint="eastAsia" w:ascii="宋体" w:hAnsi="宋体" w:eastAsia="宋体" w:cs="宋体"/>
          <w:color w:val="auto"/>
          <w:szCs w:val="21"/>
          <w:highlight w:val="none"/>
          <w:lang w:eastAsia="zh-CN"/>
        </w:rPr>
        <w:t>投标人</w:t>
      </w:r>
      <w:r>
        <w:rPr>
          <w:rFonts w:hint="eastAsia" w:ascii="宋体" w:hAnsi="宋体" w:eastAsia="宋体" w:cs="宋体"/>
          <w:color w:val="auto"/>
          <w:szCs w:val="21"/>
          <w:highlight w:val="none"/>
        </w:rPr>
        <w:t>对用户需求响应完全满足</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 xml:space="preserve">的要求。 </w:t>
      </w:r>
    </w:p>
    <w:p w14:paraId="6284A2C7">
      <w:pPr>
        <w:spacing w:line="360" w:lineRule="auto"/>
        <w:ind w:left="607" w:leftChars="18" w:hanging="569" w:hangingChars="270"/>
        <w:rPr>
          <w:rFonts w:ascii="宋体" w:hAnsi="宋体" w:eastAsia="宋体" w:cs="Times New Roman"/>
          <w:b/>
          <w:color w:val="auto"/>
          <w:kern w:val="0"/>
          <w:szCs w:val="21"/>
          <w:highlight w:val="none"/>
          <w:u w:val="single"/>
        </w:rPr>
      </w:pPr>
      <w:r>
        <w:rPr>
          <w:rFonts w:hint="eastAsia" w:ascii="宋体" w:hAnsi="宋体" w:eastAsia="宋体" w:cs="宋体"/>
          <w:b/>
          <w:color w:val="auto"/>
          <w:szCs w:val="21"/>
          <w:highlight w:val="none"/>
        </w:rPr>
        <w:t>（3）</w:t>
      </w:r>
      <w:r>
        <w:rPr>
          <w:rFonts w:hint="eastAsia" w:ascii="宋体" w:hAnsi="宋体" w:eastAsia="宋体" w:cs="Times New Roman"/>
          <w:b/>
          <w:color w:val="auto"/>
          <w:kern w:val="0"/>
          <w:szCs w:val="21"/>
          <w:highlight w:val="none"/>
          <w:u w:val="single"/>
        </w:rPr>
        <w:t>应逐条</w:t>
      </w:r>
      <w:r>
        <w:rPr>
          <w:rFonts w:hint="eastAsia" w:ascii="宋体" w:hAnsi="宋体" w:eastAsia="宋体" w:cs="宋体"/>
          <w:b/>
          <w:color w:val="auto"/>
          <w:szCs w:val="21"/>
          <w:highlight w:val="none"/>
          <w:u w:val="single"/>
        </w:rPr>
        <w:t>逐项</w:t>
      </w:r>
      <w:r>
        <w:rPr>
          <w:rFonts w:hint="eastAsia" w:ascii="宋体" w:hAnsi="宋体" w:eastAsia="宋体" w:cs="Times New Roman"/>
          <w:b/>
          <w:color w:val="auto"/>
          <w:kern w:val="0"/>
          <w:szCs w:val="21"/>
          <w:highlight w:val="none"/>
          <w:u w:val="single"/>
        </w:rPr>
        <w:t>、如实地填写“偏离情况”。“偏离情况”项为正偏离（或负偏离）的，必须在“实质性响应的具体内容”项内详细说明与</w:t>
      </w:r>
      <w:r>
        <w:rPr>
          <w:rFonts w:hint="eastAsia" w:ascii="宋体" w:hAnsi="宋体" w:eastAsia="宋体" w:cs="Times New Roman"/>
          <w:b/>
          <w:color w:val="auto"/>
          <w:kern w:val="0"/>
          <w:szCs w:val="21"/>
          <w:highlight w:val="none"/>
          <w:u w:val="single"/>
          <w:lang w:eastAsia="zh-CN"/>
        </w:rPr>
        <w:t>招标文件</w:t>
      </w:r>
      <w:r>
        <w:rPr>
          <w:rFonts w:hint="eastAsia" w:ascii="宋体" w:hAnsi="宋体" w:eastAsia="宋体" w:cs="Times New Roman"/>
          <w:b/>
          <w:color w:val="auto"/>
          <w:kern w:val="0"/>
          <w:szCs w:val="21"/>
          <w:highlight w:val="none"/>
          <w:u w:val="single"/>
        </w:rPr>
        <w:t>的偏离内容，“偏离情况”项为无偏离的，在“实质性响应的具体内容”项内填“完全响应</w:t>
      </w:r>
      <w:r>
        <w:rPr>
          <w:rFonts w:hint="eastAsia" w:ascii="宋体" w:hAnsi="宋体" w:eastAsia="宋体" w:cs="Times New Roman"/>
          <w:b/>
          <w:color w:val="auto"/>
          <w:kern w:val="0"/>
          <w:szCs w:val="21"/>
          <w:highlight w:val="none"/>
          <w:u w:val="single"/>
          <w:lang w:eastAsia="zh-CN"/>
        </w:rPr>
        <w:t>招标文件</w:t>
      </w:r>
      <w:r>
        <w:rPr>
          <w:rFonts w:hint="eastAsia" w:ascii="宋体" w:hAnsi="宋体" w:eastAsia="宋体" w:cs="Times New Roman"/>
          <w:b/>
          <w:color w:val="auto"/>
          <w:kern w:val="0"/>
          <w:szCs w:val="21"/>
          <w:highlight w:val="none"/>
          <w:u w:val="single"/>
        </w:rPr>
        <w:t>要求”即可，也可进一步说明投标响应的具体内容。</w:t>
      </w:r>
      <w:r>
        <w:rPr>
          <w:rFonts w:hint="eastAsia" w:ascii="宋体" w:hAnsi="宋体" w:eastAsia="宋体" w:cs="Times New Roman"/>
          <w:b/>
          <w:color w:val="auto"/>
          <w:kern w:val="0"/>
          <w:szCs w:val="21"/>
          <w:highlight w:val="none"/>
          <w:u w:val="single"/>
          <w:lang w:eastAsia="zh-CN"/>
        </w:rPr>
        <w:t>投标人</w:t>
      </w:r>
      <w:r>
        <w:rPr>
          <w:rFonts w:hint="eastAsia" w:ascii="宋体" w:hAnsi="宋体" w:eastAsia="宋体" w:cs="Times New Roman"/>
          <w:b/>
          <w:color w:val="auto"/>
          <w:kern w:val="0"/>
          <w:szCs w:val="21"/>
          <w:highlight w:val="none"/>
          <w:u w:val="single"/>
        </w:rPr>
        <w:t>可将反映服务能力的技术支持资料作为本表的附件，并在本偏离表“对应证明材料页码”项内注明其在</w:t>
      </w:r>
      <w:r>
        <w:rPr>
          <w:rFonts w:hint="eastAsia" w:ascii="宋体" w:hAnsi="宋体" w:eastAsia="宋体" w:cs="Times New Roman"/>
          <w:b/>
          <w:color w:val="auto"/>
          <w:kern w:val="0"/>
          <w:szCs w:val="21"/>
          <w:highlight w:val="none"/>
          <w:u w:val="single"/>
          <w:lang w:eastAsia="zh-CN"/>
        </w:rPr>
        <w:t>投标文件</w:t>
      </w:r>
      <w:r>
        <w:rPr>
          <w:rFonts w:hint="eastAsia" w:ascii="宋体" w:hAnsi="宋体" w:eastAsia="宋体" w:cs="Times New Roman"/>
          <w:b/>
          <w:color w:val="auto"/>
          <w:kern w:val="0"/>
          <w:szCs w:val="21"/>
          <w:highlight w:val="none"/>
          <w:u w:val="single"/>
        </w:rPr>
        <w:t>中的具体页码。</w:t>
      </w:r>
    </w:p>
    <w:p w14:paraId="6CE8BE58">
      <w:pPr>
        <w:spacing w:line="360" w:lineRule="auto"/>
        <w:ind w:left="607" w:leftChars="18" w:hanging="569" w:hangingChars="270"/>
        <w:rPr>
          <w:rFonts w:ascii="宋体" w:hAnsi="宋体" w:eastAsia="宋体" w:cs="Times New Roman"/>
          <w:b/>
          <w:color w:val="auto"/>
          <w:kern w:val="0"/>
          <w:szCs w:val="21"/>
          <w:highlight w:val="none"/>
          <w:u w:val="single"/>
        </w:rPr>
      </w:pPr>
      <w:r>
        <w:rPr>
          <w:rFonts w:hint="eastAsia" w:ascii="宋体" w:hAnsi="宋体" w:eastAsia="宋体" w:cs="宋体"/>
          <w:b/>
          <w:color w:val="auto"/>
          <w:szCs w:val="21"/>
          <w:highlight w:val="none"/>
        </w:rPr>
        <w:t>（4）</w:t>
      </w:r>
      <w:r>
        <w:rPr>
          <w:rFonts w:ascii="宋体" w:hAnsi="宋体" w:eastAsia="宋体" w:cs="Times New Roman"/>
          <w:b/>
          <w:color w:val="auto"/>
          <w:kern w:val="0"/>
          <w:szCs w:val="21"/>
          <w:highlight w:val="none"/>
          <w:u w:val="single"/>
        </w:rPr>
        <w:t>凡标有“</w:t>
      </w:r>
      <w:r>
        <w:rPr>
          <w:rFonts w:hint="eastAsia" w:ascii="宋体" w:hAnsi="宋体" w:eastAsia="宋体" w:cs="Times New Roman"/>
          <w:b/>
          <w:color w:val="auto"/>
          <w:kern w:val="0"/>
          <w:szCs w:val="21"/>
          <w:highlight w:val="none"/>
          <w:u w:val="single"/>
        </w:rPr>
        <w:t>★</w:t>
      </w:r>
      <w:r>
        <w:rPr>
          <w:rFonts w:ascii="宋体" w:hAnsi="宋体" w:eastAsia="宋体" w:cs="Times New Roman"/>
          <w:b/>
          <w:color w:val="auto"/>
          <w:kern w:val="0"/>
          <w:szCs w:val="21"/>
          <w:highlight w:val="none"/>
          <w:u w:val="single"/>
        </w:rPr>
        <w:t>”的地方均被视为重要的</w:t>
      </w:r>
      <w:r>
        <w:rPr>
          <w:rFonts w:hint="eastAsia" w:ascii="宋体" w:hAnsi="宋体" w:eastAsia="宋体" w:cs="Times New Roman"/>
          <w:b/>
          <w:color w:val="auto"/>
          <w:kern w:val="0"/>
          <w:szCs w:val="21"/>
          <w:highlight w:val="none"/>
          <w:u w:val="single"/>
        </w:rPr>
        <w:t>商务</w:t>
      </w:r>
      <w:r>
        <w:rPr>
          <w:rFonts w:ascii="宋体" w:hAnsi="宋体" w:eastAsia="宋体" w:cs="Times New Roman"/>
          <w:b/>
          <w:color w:val="auto"/>
          <w:kern w:val="0"/>
          <w:szCs w:val="21"/>
          <w:highlight w:val="none"/>
          <w:u w:val="single"/>
        </w:rPr>
        <w:t>要求或</w:t>
      </w:r>
      <w:r>
        <w:rPr>
          <w:rFonts w:hint="eastAsia" w:ascii="宋体" w:hAnsi="宋体" w:eastAsia="宋体" w:cs="Times New Roman"/>
          <w:b/>
          <w:color w:val="auto"/>
          <w:kern w:val="0"/>
          <w:szCs w:val="21"/>
          <w:highlight w:val="none"/>
          <w:u w:val="single"/>
        </w:rPr>
        <w:t>技术</w:t>
      </w:r>
      <w:r>
        <w:rPr>
          <w:rFonts w:ascii="宋体" w:hAnsi="宋体" w:eastAsia="宋体" w:cs="Times New Roman"/>
          <w:b/>
          <w:color w:val="auto"/>
          <w:kern w:val="0"/>
          <w:szCs w:val="21"/>
          <w:highlight w:val="none"/>
          <w:u w:val="single"/>
        </w:rPr>
        <w:t>性能要求。</w:t>
      </w:r>
      <w:r>
        <w:rPr>
          <w:rFonts w:hint="eastAsia" w:ascii="宋体" w:hAnsi="宋体" w:eastAsia="宋体" w:cs="Times New Roman"/>
          <w:b/>
          <w:color w:val="auto"/>
          <w:kern w:val="0"/>
          <w:szCs w:val="21"/>
          <w:highlight w:val="none"/>
          <w:u w:val="single"/>
          <w:lang w:eastAsia="zh-CN"/>
        </w:rPr>
        <w:t>投标人</w:t>
      </w:r>
      <w:r>
        <w:rPr>
          <w:rFonts w:ascii="宋体" w:hAnsi="宋体" w:eastAsia="宋体" w:cs="Times New Roman"/>
          <w:b/>
          <w:color w:val="auto"/>
          <w:kern w:val="0"/>
          <w:szCs w:val="21"/>
          <w:highlight w:val="none"/>
          <w:u w:val="single"/>
        </w:rPr>
        <w:t>要特别加以注意，必须对此回答并完全满足这些要求</w:t>
      </w:r>
      <w:r>
        <w:rPr>
          <w:rFonts w:hint="eastAsia" w:ascii="宋体" w:hAnsi="宋体" w:eastAsia="宋体" w:cs="Times New Roman"/>
          <w:b/>
          <w:color w:val="auto"/>
          <w:kern w:val="0"/>
          <w:szCs w:val="21"/>
          <w:highlight w:val="none"/>
          <w:u w:val="single"/>
        </w:rPr>
        <w:t>，</w:t>
      </w:r>
      <w:r>
        <w:rPr>
          <w:rFonts w:ascii="宋体" w:hAnsi="宋体" w:eastAsia="宋体" w:cs="Times New Roman"/>
          <w:b/>
          <w:color w:val="auto"/>
          <w:kern w:val="0"/>
          <w:szCs w:val="21"/>
          <w:highlight w:val="none"/>
          <w:u w:val="single"/>
        </w:rPr>
        <w:t>否则若有一项带“</w:t>
      </w:r>
      <w:r>
        <w:rPr>
          <w:rFonts w:hint="eastAsia" w:ascii="宋体" w:hAnsi="宋体" w:eastAsia="宋体" w:cs="Times New Roman"/>
          <w:b/>
          <w:color w:val="auto"/>
          <w:kern w:val="0"/>
          <w:szCs w:val="21"/>
          <w:highlight w:val="none"/>
          <w:u w:val="single"/>
        </w:rPr>
        <w:t>★</w:t>
      </w:r>
      <w:r>
        <w:rPr>
          <w:rFonts w:ascii="宋体" w:hAnsi="宋体" w:eastAsia="宋体" w:cs="Times New Roman"/>
          <w:b/>
          <w:color w:val="auto"/>
          <w:kern w:val="0"/>
          <w:szCs w:val="21"/>
          <w:highlight w:val="none"/>
          <w:u w:val="single"/>
        </w:rPr>
        <w:t>”的</w:t>
      </w:r>
      <w:r>
        <w:rPr>
          <w:rFonts w:hint="eastAsia" w:ascii="宋体" w:hAnsi="宋体" w:eastAsia="宋体" w:cs="Times New Roman"/>
          <w:b/>
          <w:color w:val="auto"/>
          <w:kern w:val="0"/>
          <w:szCs w:val="21"/>
          <w:highlight w:val="none"/>
          <w:u w:val="single"/>
        </w:rPr>
        <w:t>条款</w:t>
      </w:r>
      <w:r>
        <w:rPr>
          <w:rFonts w:ascii="宋体" w:hAnsi="宋体" w:eastAsia="宋体" w:cs="Times New Roman"/>
          <w:b/>
          <w:color w:val="auto"/>
          <w:kern w:val="0"/>
          <w:szCs w:val="21"/>
          <w:highlight w:val="none"/>
          <w:u w:val="single"/>
        </w:rPr>
        <w:t>未响应或不满足，将按</w:t>
      </w:r>
      <w:r>
        <w:rPr>
          <w:rFonts w:hint="eastAsia" w:ascii="宋体" w:hAnsi="宋体" w:eastAsia="宋体" w:cs="Times New Roman"/>
          <w:b/>
          <w:color w:val="auto"/>
          <w:kern w:val="0"/>
          <w:szCs w:val="21"/>
          <w:highlight w:val="none"/>
          <w:u w:val="single"/>
        </w:rPr>
        <w:t>无效投标</w:t>
      </w:r>
      <w:r>
        <w:rPr>
          <w:rFonts w:ascii="宋体" w:hAnsi="宋体" w:eastAsia="宋体" w:cs="Times New Roman"/>
          <w:b/>
          <w:color w:val="auto"/>
          <w:kern w:val="0"/>
          <w:szCs w:val="21"/>
          <w:highlight w:val="none"/>
          <w:u w:val="single"/>
        </w:rPr>
        <w:t>处理</w:t>
      </w:r>
      <w:r>
        <w:rPr>
          <w:rFonts w:ascii="宋体" w:hAnsi="宋体" w:eastAsia="宋体" w:cs="Times New Roman"/>
          <w:b/>
          <w:color w:val="auto"/>
          <w:kern w:val="0"/>
          <w:sz w:val="24"/>
          <w:szCs w:val="21"/>
          <w:highlight w:val="none"/>
          <w:u w:val="single"/>
          <w:lang w:val="zh-CN"/>
        </w:rPr>
        <w:t>。</w:t>
      </w:r>
    </w:p>
    <w:p w14:paraId="2E3F2E95">
      <w:pPr>
        <w:autoSpaceDE w:val="0"/>
        <w:autoSpaceDN w:val="0"/>
        <w:adjustRightInd w:val="0"/>
        <w:spacing w:line="360" w:lineRule="auto"/>
        <w:ind w:firstLine="3780" w:firstLineChars="1800"/>
        <w:rPr>
          <w:rFonts w:ascii="宋体" w:hAnsi="宋体" w:eastAsia="宋体" w:cs="宋体"/>
          <w:color w:val="auto"/>
          <w:szCs w:val="21"/>
          <w:highlight w:val="none"/>
          <w:lang w:val="zh-CN"/>
        </w:rPr>
      </w:pPr>
    </w:p>
    <w:p w14:paraId="37785B7E">
      <w:pPr>
        <w:autoSpaceDE w:val="0"/>
        <w:autoSpaceDN w:val="0"/>
        <w:adjustRightInd w:val="0"/>
        <w:spacing w:line="360" w:lineRule="auto"/>
        <w:ind w:firstLine="3780" w:firstLineChars="1800"/>
        <w:rPr>
          <w:rFonts w:ascii="宋体" w:hAnsi="宋体" w:eastAsia="宋体" w:cs="宋体"/>
          <w:color w:val="auto"/>
          <w:szCs w:val="21"/>
          <w:highlight w:val="none"/>
          <w:lang w:val="zh-CN"/>
        </w:rPr>
      </w:pPr>
    </w:p>
    <w:p w14:paraId="4CA8A2CE">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3F0C8632">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381B1683">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28A65ED1">
      <w:pPr>
        <w:widowControl/>
        <w:autoSpaceDE w:val="0"/>
        <w:autoSpaceDN w:val="0"/>
        <w:adjustRightIn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b/>
          <w:bCs/>
          <w:color w:val="auto"/>
          <w:szCs w:val="24"/>
          <w:highlight w:val="none"/>
          <w:lang w:val="zh-CN"/>
        </w:rPr>
        <w:t>说明：由投标人使用投标人的企业数字证书电子签名。</w:t>
      </w:r>
    </w:p>
    <w:p w14:paraId="5D26AC3A">
      <w:pPr>
        <w:autoSpaceDE w:val="0"/>
        <w:autoSpaceDN w:val="0"/>
        <w:adjustRightInd w:val="0"/>
        <w:ind w:left="15" w:leftChars="-50" w:hanging="120"/>
        <w:jc w:val="left"/>
        <w:rPr>
          <w:rFonts w:ascii="宋体" w:hAnsi="宋体" w:eastAsia="宋体" w:cs="宋体"/>
          <w:color w:val="auto"/>
          <w:kern w:val="0"/>
          <w:szCs w:val="21"/>
          <w:highlight w:val="none"/>
        </w:rPr>
      </w:pPr>
    </w:p>
    <w:p w14:paraId="732A84A4">
      <w:pPr>
        <w:tabs>
          <w:tab w:val="left" w:pos="567"/>
        </w:tabs>
        <w:autoSpaceDE w:val="0"/>
        <w:autoSpaceDN w:val="0"/>
        <w:adjustRightInd w:val="0"/>
        <w:spacing w:line="360" w:lineRule="auto"/>
        <w:jc w:val="left"/>
        <w:outlineLvl w:val="9"/>
        <w:rPr>
          <w:rFonts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br w:type="page"/>
      </w:r>
      <w:bookmarkStart w:id="864" w:name="_Toc102860094"/>
      <w:bookmarkStart w:id="865" w:name="_Toc142508389"/>
      <w:bookmarkStart w:id="866" w:name="_Toc140596949"/>
      <w:bookmarkStart w:id="867" w:name="_Toc104991896"/>
      <w:bookmarkStart w:id="868" w:name="_Toc102860438"/>
      <w:bookmarkStart w:id="869" w:name="_Toc533708139"/>
    </w:p>
    <w:p w14:paraId="60E32EF6">
      <w:pPr>
        <w:autoSpaceDE/>
        <w:autoSpaceDN/>
        <w:adjustRightInd/>
        <w:spacing w:line="240" w:lineRule="auto"/>
        <w:jc w:val="left"/>
        <w:outlineLvl w:val="9"/>
        <w:rPr>
          <w:rFonts w:hint="eastAsia" w:ascii="宋体" w:hAnsi="宋体" w:eastAsia="宋体" w:cs="宋体"/>
          <w:b/>
          <w:color w:val="auto"/>
          <w:kern w:val="0"/>
          <w:sz w:val="30"/>
          <w:szCs w:val="30"/>
          <w:highlight w:val="none"/>
        </w:rPr>
      </w:pPr>
    </w:p>
    <w:p w14:paraId="46BCEB04">
      <w:pPr>
        <w:numPr>
          <w:ilvl w:val="-1"/>
          <w:numId w:val="0"/>
        </w:numPr>
        <w:autoSpaceDE/>
        <w:autoSpaceDN/>
        <w:adjustRightInd/>
        <w:spacing w:line="240" w:lineRule="auto"/>
        <w:jc w:val="left"/>
        <w:outlineLvl w:val="3"/>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lang w:val="en-US" w:eastAsia="zh-CN"/>
        </w:rPr>
        <w:t>二、</w:t>
      </w:r>
      <w:r>
        <w:rPr>
          <w:rFonts w:hint="eastAsia" w:ascii="宋体" w:hAnsi="宋体" w:eastAsia="宋体" w:cs="宋体"/>
          <w:b/>
          <w:color w:val="auto"/>
          <w:kern w:val="0"/>
          <w:sz w:val="30"/>
          <w:szCs w:val="30"/>
          <w:highlight w:val="none"/>
        </w:rPr>
        <w:t>半干化泥粉/污泥处置服务方案</w:t>
      </w:r>
    </w:p>
    <w:p w14:paraId="489EC3B2">
      <w:pPr>
        <w:autoSpaceDE w:val="0"/>
        <w:autoSpaceDN w:val="0"/>
        <w:adjustRightInd w:val="0"/>
        <w:outlineLvl w:val="9"/>
        <w:rPr>
          <w:rFonts w:hint="eastAsia"/>
          <w:color w:val="auto"/>
          <w:highlight w:val="none"/>
        </w:rPr>
      </w:pPr>
    </w:p>
    <w:p w14:paraId="65B74816">
      <w:pPr>
        <w:numPr>
          <w:ilvl w:val="-1"/>
          <w:numId w:val="0"/>
        </w:numPr>
        <w:autoSpaceDE/>
        <w:autoSpaceDN/>
        <w:adjustRightInd/>
        <w:spacing w:line="360" w:lineRule="auto"/>
        <w:jc w:val="left"/>
        <w:outlineLvl w:val="9"/>
        <w:rPr>
          <w:rFonts w:hint="eastAsia" w:ascii="宋体" w:hAnsi="宋体" w:eastAsia="宋体" w:cs="宋体"/>
          <w:b w:val="0"/>
          <w:bCs/>
          <w:color w:val="auto"/>
          <w:kern w:val="0"/>
          <w:sz w:val="21"/>
          <w:szCs w:val="21"/>
          <w:highlight w:val="none"/>
          <w:lang w:val="en-US" w:eastAsia="zh-CN"/>
        </w:rPr>
      </w:pPr>
      <w:r>
        <w:rPr>
          <w:rFonts w:hint="eastAsia" w:ascii="宋体" w:hAnsi="宋体" w:eastAsia="宋体" w:cs="宋体"/>
          <w:b w:val="0"/>
          <w:bCs/>
          <w:color w:val="auto"/>
          <w:kern w:val="0"/>
          <w:sz w:val="21"/>
          <w:szCs w:val="21"/>
          <w:highlight w:val="none"/>
          <w:lang w:val="en-US" w:eastAsia="zh-CN"/>
        </w:rPr>
        <w:t>编制说明：</w:t>
      </w:r>
    </w:p>
    <w:p w14:paraId="66E60787">
      <w:pPr>
        <w:numPr>
          <w:ilvl w:val="-1"/>
          <w:numId w:val="0"/>
        </w:numPr>
        <w:autoSpaceDE/>
        <w:autoSpaceDN/>
        <w:adjustRightInd/>
        <w:spacing w:line="360" w:lineRule="auto"/>
        <w:ind w:left="605" w:leftChars="18" w:hanging="567" w:hangingChars="270"/>
        <w:jc w:val="left"/>
        <w:outlineLvl w:val="9"/>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szCs w:val="21"/>
          <w:highlight w:val="none"/>
        </w:rPr>
        <w:t>（</w:t>
      </w:r>
      <w:r>
        <w:rPr>
          <w:rFonts w:ascii="宋体" w:hAnsi="宋体" w:eastAsia="宋体" w:cs="宋体"/>
          <w:szCs w:val="21"/>
          <w:highlight w:val="none"/>
        </w:rPr>
        <w:t>1）</w:t>
      </w:r>
      <w:r>
        <w:rPr>
          <w:rFonts w:hint="eastAsia" w:ascii="宋体" w:hAnsi="宋体" w:eastAsia="宋体" w:cs="宋体"/>
          <w:b w:val="0"/>
          <w:color w:val="auto"/>
          <w:kern w:val="2"/>
          <w:sz w:val="21"/>
          <w:szCs w:val="21"/>
          <w:highlight w:val="none"/>
          <w:lang w:val="en-US" w:eastAsia="zh-CN"/>
        </w:rPr>
        <w:t>投标人应根据本项目采购内容和评标工作大纲技术评审细则的要求，自行编制，包括但不限于以下内容：1）处置工艺流程；2）处置场所生产环境；3）处置设备设施资料；4）处置设备设施运行和维护情况；5）运输能力（运输车辆数量、运输路线规划、运输频次等）。</w:t>
      </w:r>
    </w:p>
    <w:p w14:paraId="6CAE9CAF">
      <w:pPr>
        <w:numPr>
          <w:ilvl w:val="-1"/>
          <w:numId w:val="0"/>
        </w:numPr>
        <w:autoSpaceDE/>
        <w:autoSpaceDN/>
        <w:adjustRightInd/>
        <w:spacing w:line="360" w:lineRule="auto"/>
        <w:ind w:left="605" w:leftChars="18" w:hanging="567" w:hangingChars="270"/>
        <w:jc w:val="left"/>
        <w:outlineLvl w:val="9"/>
        <w:rPr>
          <w:rFonts w:hint="eastAsia" w:ascii="宋体" w:hAnsi="宋体" w:eastAsia="宋体" w:cs="宋体"/>
          <w:b w:val="0"/>
          <w:bCs w:val="0"/>
          <w:color w:val="auto"/>
          <w:kern w:val="2"/>
          <w:szCs w:val="21"/>
          <w:highlight w:val="none"/>
          <w:lang w:val="en-US"/>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2</w:t>
      </w:r>
      <w:r>
        <w:rPr>
          <w:rFonts w:ascii="宋体" w:hAnsi="宋体" w:eastAsia="宋体" w:cs="宋体"/>
          <w:szCs w:val="21"/>
          <w:highlight w:val="none"/>
        </w:rPr>
        <w:t>）</w:t>
      </w:r>
      <w:r>
        <w:rPr>
          <w:rFonts w:hint="eastAsia" w:ascii="宋体" w:hAnsi="宋体" w:eastAsia="宋体" w:cs="宋体"/>
          <w:b w:val="0"/>
          <w:bCs w:val="0"/>
          <w:color w:val="auto"/>
          <w:szCs w:val="21"/>
          <w:highlight w:val="none"/>
          <w:lang w:val="en-US" w:eastAsia="zh-CN" w:bidi="ar"/>
        </w:rPr>
        <w:t>投标人必须提供运输单位的道路运输经营许可证</w:t>
      </w:r>
      <w:r>
        <w:rPr>
          <w:rFonts w:hint="default" w:ascii="宋体" w:hAnsi="宋体" w:eastAsia="宋体" w:cs="宋体"/>
          <w:b w:val="0"/>
          <w:bCs w:val="0"/>
          <w:color w:val="auto"/>
          <w:szCs w:val="21"/>
          <w:highlight w:val="none"/>
          <w:lang w:val="en-US" w:eastAsia="zh-CN" w:bidi="ar"/>
        </w:rPr>
        <w:t>复印</w:t>
      </w:r>
      <w:r>
        <w:rPr>
          <w:rFonts w:hint="eastAsia" w:ascii="宋体" w:hAnsi="宋体" w:eastAsia="宋体" w:cs="宋体"/>
          <w:b w:val="0"/>
          <w:bCs w:val="0"/>
          <w:color w:val="auto"/>
          <w:szCs w:val="21"/>
          <w:highlight w:val="none"/>
          <w:lang w:val="en-US" w:eastAsia="zh-CN" w:bidi="ar"/>
        </w:rPr>
        <w:t>件和拟投入的运输车辆行驶证等证照复印件（加盖道路运输单位公章），投标人不具备道路运输经营许可证的，必须同时提供与运输公司签订的委托合同，且合同有效期限需涵盖本项目服务期</w:t>
      </w:r>
      <w:r>
        <w:rPr>
          <w:rFonts w:hint="eastAsia" w:ascii="宋体" w:hAnsi="宋体" w:eastAsia="宋体" w:cs="宋体"/>
          <w:b w:val="0"/>
          <w:color w:val="auto"/>
          <w:kern w:val="2"/>
          <w:sz w:val="21"/>
          <w:szCs w:val="21"/>
          <w:highlight w:val="none"/>
          <w:lang w:val="en-US" w:eastAsia="zh-CN"/>
        </w:rPr>
        <w:t>。</w:t>
      </w:r>
    </w:p>
    <w:p w14:paraId="4CBA6372">
      <w:pPr>
        <w:numPr>
          <w:ilvl w:val="-1"/>
          <w:numId w:val="0"/>
        </w:numPr>
        <w:autoSpaceDE/>
        <w:autoSpaceDN/>
        <w:adjustRightInd/>
        <w:spacing w:line="360" w:lineRule="auto"/>
        <w:ind w:left="605" w:leftChars="18" w:hanging="567" w:hangingChars="270"/>
        <w:jc w:val="left"/>
        <w:outlineLvl w:val="9"/>
        <w:rPr>
          <w:rFonts w:hint="default" w:ascii="宋体" w:hAnsi="宋体" w:eastAsia="宋体" w:cs="宋体"/>
          <w:b w:val="0"/>
          <w:color w:val="auto"/>
          <w:kern w:val="2"/>
          <w:szCs w:val="21"/>
          <w:highlight w:val="none"/>
          <w:lang w:val="en-US"/>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3</w:t>
      </w:r>
      <w:r>
        <w:rPr>
          <w:rFonts w:ascii="宋体" w:hAnsi="宋体" w:eastAsia="宋体" w:cs="宋体"/>
          <w:szCs w:val="21"/>
          <w:highlight w:val="none"/>
        </w:rPr>
        <w:t>）</w:t>
      </w:r>
      <w:r>
        <w:rPr>
          <w:rFonts w:hint="eastAsia" w:ascii="宋体" w:hAnsi="宋体" w:eastAsia="宋体" w:cs="宋体"/>
          <w:b w:val="0"/>
          <w:bCs w:val="0"/>
          <w:color w:val="auto"/>
          <w:szCs w:val="21"/>
          <w:highlight w:val="none"/>
          <w:lang w:val="en-US" w:eastAsia="zh-CN" w:bidi="ar"/>
        </w:rPr>
        <w:t>投标人需提供生产环境、生产设备设施的照片/图片电子版原件（照片/图片须清晰显示拍摄时间为2025年1月1日或以后），处置设备设施清单和购置发票扫描件等资料</w:t>
      </w:r>
      <w:r>
        <w:rPr>
          <w:rFonts w:hint="eastAsia" w:ascii="宋体" w:hAnsi="宋体" w:eastAsia="宋体" w:cs="宋体"/>
          <w:b w:val="0"/>
          <w:bCs w:val="0"/>
          <w:szCs w:val="21"/>
          <w:highlight w:val="none"/>
          <w:lang w:val="en-US" w:eastAsia="zh-CN" w:bidi="ar"/>
        </w:rPr>
        <w:t>。</w:t>
      </w:r>
    </w:p>
    <w:p w14:paraId="161EC0D2">
      <w:pPr>
        <w:numPr>
          <w:ilvl w:val="-1"/>
          <w:numId w:val="0"/>
        </w:numPr>
        <w:autoSpaceDE/>
        <w:autoSpaceDN/>
        <w:adjustRightInd/>
        <w:spacing w:line="240" w:lineRule="auto"/>
        <w:jc w:val="center"/>
        <w:outlineLvl w:val="9"/>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br w:type="page"/>
      </w:r>
    </w:p>
    <w:p w14:paraId="57F5BBC4">
      <w:pPr>
        <w:tabs>
          <w:tab w:val="left" w:pos="567"/>
        </w:tabs>
        <w:autoSpaceDE w:val="0"/>
        <w:autoSpaceDN w:val="0"/>
        <w:adjustRightInd w:val="0"/>
        <w:spacing w:line="360" w:lineRule="auto"/>
        <w:jc w:val="left"/>
        <w:outlineLvl w:val="3"/>
        <w:rPr>
          <w:rFonts w:ascii="宋体" w:hAnsi="宋体" w:eastAsia="宋体" w:cs="宋体"/>
          <w:b/>
          <w:kern w:val="0"/>
          <w:sz w:val="30"/>
          <w:szCs w:val="30"/>
          <w:highlight w:val="none"/>
        </w:rPr>
      </w:pPr>
      <w:r>
        <w:rPr>
          <w:rFonts w:hint="eastAsia" w:ascii="宋体" w:hAnsi="宋体" w:eastAsia="宋体" w:cs="宋体"/>
          <w:b/>
          <w:kern w:val="0"/>
          <w:sz w:val="30"/>
          <w:szCs w:val="30"/>
          <w:highlight w:val="none"/>
          <w:lang w:val="en-US" w:eastAsia="zh-CN"/>
        </w:rPr>
        <w:t>三</w:t>
      </w:r>
      <w:r>
        <w:rPr>
          <w:rFonts w:hint="eastAsia" w:ascii="宋体" w:hAnsi="宋体" w:eastAsia="宋体" w:cs="宋体"/>
          <w:b/>
          <w:kern w:val="0"/>
          <w:sz w:val="30"/>
          <w:szCs w:val="30"/>
          <w:highlight w:val="none"/>
        </w:rPr>
        <w:t>、半干化泥粉/污泥处置方式</w:t>
      </w:r>
    </w:p>
    <w:p w14:paraId="50AB8A79">
      <w:pPr>
        <w:autoSpaceDE w:val="0"/>
        <w:autoSpaceDN w:val="0"/>
        <w:adjustRightInd w:val="0"/>
        <w:spacing w:line="360" w:lineRule="auto"/>
        <w:rPr>
          <w:rFonts w:ascii="宋体" w:hAnsi="宋体" w:eastAsia="宋体" w:cs="Times New Roman"/>
          <w:szCs w:val="24"/>
          <w:highlight w:val="none"/>
          <w:lang w:val="zh-CN"/>
        </w:rPr>
      </w:pPr>
      <w:r>
        <w:rPr>
          <w:rFonts w:hint="eastAsia" w:ascii="宋体" w:hAnsi="宋体" w:eastAsia="宋体" w:cs="宋体"/>
          <w:color w:val="auto"/>
          <w:kern w:val="3"/>
          <w:highlight w:val="none"/>
        </w:rPr>
        <w:t>编制说明</w:t>
      </w:r>
      <w:r>
        <w:rPr>
          <w:rFonts w:hint="eastAsia" w:ascii="宋体" w:hAnsi="宋体" w:eastAsia="宋体" w:cs="Times New Roman"/>
          <w:szCs w:val="24"/>
          <w:highlight w:val="none"/>
          <w:lang w:val="zh-CN"/>
        </w:rPr>
        <w:t>：</w:t>
      </w:r>
    </w:p>
    <w:p w14:paraId="500018A7">
      <w:pPr>
        <w:spacing w:line="360" w:lineRule="auto"/>
        <w:ind w:left="605" w:leftChars="18" w:hanging="567" w:hangingChars="270"/>
        <w:rPr>
          <w:rFonts w:ascii="宋体" w:hAnsi="宋体" w:eastAsia="宋体" w:cs="宋体"/>
          <w:szCs w:val="21"/>
          <w:highlight w:val="none"/>
        </w:rPr>
      </w:pPr>
      <w:r>
        <w:rPr>
          <w:rFonts w:hint="eastAsia" w:ascii="宋体" w:hAnsi="宋体" w:eastAsia="宋体" w:cs="宋体"/>
          <w:szCs w:val="21"/>
          <w:highlight w:val="none"/>
        </w:rPr>
        <w:t>（</w:t>
      </w:r>
      <w:r>
        <w:rPr>
          <w:rFonts w:ascii="宋体" w:hAnsi="宋体" w:eastAsia="宋体" w:cs="宋体"/>
          <w:szCs w:val="21"/>
          <w:highlight w:val="none"/>
        </w:rPr>
        <w:t>1）</w:t>
      </w:r>
      <w:r>
        <w:rPr>
          <w:rFonts w:hint="eastAsia" w:ascii="宋体" w:hAnsi="宋体" w:eastAsia="宋体" w:cs="宋体"/>
          <w:szCs w:val="21"/>
          <w:highlight w:val="none"/>
          <w:lang w:eastAsia="zh-CN"/>
        </w:rPr>
        <w:t>投标人</w:t>
      </w:r>
      <w:r>
        <w:rPr>
          <w:rFonts w:ascii="宋体" w:hAnsi="宋体" w:eastAsia="宋体" w:cs="宋体"/>
          <w:szCs w:val="21"/>
          <w:highlight w:val="none"/>
        </w:rPr>
        <w:t>应根据本项目采购内容和</w:t>
      </w:r>
      <w:r>
        <w:rPr>
          <w:rFonts w:hint="eastAsia" w:ascii="宋体" w:hAnsi="宋体" w:eastAsia="宋体" w:cs="宋体"/>
          <w:szCs w:val="21"/>
          <w:highlight w:val="none"/>
          <w:lang w:eastAsia="zh-CN"/>
        </w:rPr>
        <w:t>评</w:t>
      </w:r>
      <w:r>
        <w:rPr>
          <w:rFonts w:hint="eastAsia" w:ascii="宋体" w:hAnsi="宋体" w:eastAsia="宋体" w:cs="宋体"/>
          <w:szCs w:val="21"/>
          <w:highlight w:val="none"/>
          <w:lang w:val="en-US" w:eastAsia="zh-CN"/>
        </w:rPr>
        <w:t>标</w:t>
      </w:r>
      <w:r>
        <w:rPr>
          <w:rFonts w:ascii="宋体" w:hAnsi="宋体" w:eastAsia="宋体" w:cs="宋体"/>
          <w:szCs w:val="21"/>
          <w:highlight w:val="none"/>
        </w:rPr>
        <w:t>工作大纲技术评审细则的要求，自行编制</w:t>
      </w:r>
      <w:r>
        <w:rPr>
          <w:rFonts w:hint="eastAsia" w:ascii="宋体" w:hAnsi="宋体" w:eastAsia="宋体" w:cs="宋体"/>
          <w:szCs w:val="21"/>
          <w:highlight w:val="none"/>
        </w:rPr>
        <w:t>。</w:t>
      </w:r>
    </w:p>
    <w:p w14:paraId="6BAB8184">
      <w:pPr>
        <w:spacing w:line="360" w:lineRule="auto"/>
        <w:ind w:left="605" w:leftChars="18" w:hanging="567" w:hangingChars="270"/>
        <w:jc w:val="left"/>
        <w:outlineLvl w:val="9"/>
        <w:rPr>
          <w:rFonts w:hint="eastAsia"/>
          <w:highlight w:val="none"/>
        </w:rPr>
      </w:pPr>
      <w:r>
        <w:rPr>
          <w:rFonts w:hint="eastAsia" w:ascii="宋体" w:hAnsi="宋体" w:eastAsia="宋体" w:cs="宋体"/>
          <w:szCs w:val="21"/>
          <w:highlight w:val="none"/>
        </w:rPr>
        <w:t>（</w:t>
      </w:r>
      <w:r>
        <w:rPr>
          <w:rFonts w:ascii="宋体" w:hAnsi="宋体" w:eastAsia="宋体" w:cs="宋体"/>
          <w:szCs w:val="21"/>
          <w:highlight w:val="none"/>
        </w:rPr>
        <w:t>2）</w:t>
      </w:r>
      <w:r>
        <w:rPr>
          <w:rFonts w:hint="eastAsia" w:ascii="宋体" w:hAnsi="宋体" w:eastAsia="宋体" w:cs="宋体"/>
          <w:szCs w:val="21"/>
          <w:highlight w:val="none"/>
          <w:lang w:eastAsia="zh-CN"/>
        </w:rPr>
        <w:t>投标人</w:t>
      </w:r>
      <w:r>
        <w:rPr>
          <w:rFonts w:ascii="宋体" w:hAnsi="宋体" w:eastAsia="宋体" w:cs="宋体"/>
          <w:szCs w:val="21"/>
          <w:highlight w:val="none"/>
        </w:rPr>
        <w:t>的</w:t>
      </w:r>
      <w:r>
        <w:rPr>
          <w:rFonts w:hint="eastAsia" w:ascii="宋体" w:hAnsi="宋体" w:eastAsia="宋体" w:cs="宋体"/>
          <w:szCs w:val="21"/>
          <w:highlight w:val="none"/>
        </w:rPr>
        <w:t>半干化泥粉/污泥</w:t>
      </w:r>
      <w:r>
        <w:rPr>
          <w:rFonts w:ascii="宋体" w:hAnsi="宋体" w:eastAsia="宋体" w:cs="宋体"/>
          <w:szCs w:val="21"/>
          <w:highlight w:val="none"/>
        </w:rPr>
        <w:t>处置场所生产的产品为燃料棒、生物质颗粒等未经高温焚烧处理的，需提</w:t>
      </w:r>
      <w:r>
        <w:rPr>
          <w:rFonts w:hint="eastAsia" w:ascii="宋体" w:hAnsi="宋体" w:eastAsia="宋体" w:cs="宋体"/>
          <w:szCs w:val="21"/>
          <w:highlight w:val="none"/>
        </w:rPr>
        <w:t>供产品作为电厂燃料进行高温焚烧处理的服务合同扫描件，否则，评审时不予考虑。</w:t>
      </w:r>
      <w:r>
        <w:rPr>
          <w:rFonts w:hint="eastAsia"/>
          <w:highlight w:val="none"/>
        </w:rPr>
        <w:br w:type="page"/>
      </w:r>
    </w:p>
    <w:p w14:paraId="68985552">
      <w:pPr>
        <w:autoSpaceDE/>
        <w:autoSpaceDN/>
        <w:adjustRightInd/>
        <w:spacing w:line="240" w:lineRule="auto"/>
        <w:jc w:val="left"/>
        <w:outlineLvl w:val="9"/>
        <w:rPr>
          <w:rFonts w:hint="eastAsia" w:ascii="宋体" w:hAnsi="宋体" w:eastAsia="宋体" w:cs="宋体"/>
          <w:b/>
          <w:color w:val="auto"/>
          <w:kern w:val="0"/>
          <w:sz w:val="30"/>
          <w:szCs w:val="30"/>
          <w:highlight w:val="none"/>
        </w:rPr>
      </w:pPr>
    </w:p>
    <w:p w14:paraId="2DCF1ABA">
      <w:pPr>
        <w:tabs>
          <w:tab w:val="left" w:pos="567"/>
        </w:tabs>
        <w:autoSpaceDE w:val="0"/>
        <w:autoSpaceDN w:val="0"/>
        <w:adjustRightInd w:val="0"/>
        <w:spacing w:line="360" w:lineRule="auto"/>
        <w:jc w:val="left"/>
        <w:outlineLvl w:val="3"/>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lang w:val="en-US" w:eastAsia="zh-CN"/>
        </w:rPr>
        <w:t>四</w:t>
      </w:r>
      <w:r>
        <w:rPr>
          <w:rFonts w:hint="eastAsia" w:ascii="宋体" w:hAnsi="宋体" w:eastAsia="宋体" w:cs="宋体"/>
          <w:b/>
          <w:color w:val="auto"/>
          <w:kern w:val="0"/>
          <w:sz w:val="30"/>
          <w:szCs w:val="30"/>
          <w:highlight w:val="none"/>
        </w:rPr>
        <w:t>、应急预案和保障措施</w:t>
      </w:r>
    </w:p>
    <w:p w14:paraId="38AFB175">
      <w:pPr>
        <w:autoSpaceDE w:val="0"/>
        <w:autoSpaceDN w:val="0"/>
        <w:adjustRightInd w:val="0"/>
        <w:spacing w:line="360" w:lineRule="auto"/>
        <w:ind w:left="0" w:right="0" w:firstLine="0" w:firstLineChars="0"/>
        <w:jc w:val="left"/>
        <w:rPr>
          <w:rFonts w:hint="eastAsia" w:ascii="宋体" w:hAnsi="宋体" w:eastAsia="宋体" w:cs="宋体"/>
          <w:color w:val="auto"/>
          <w:kern w:val="3"/>
          <w:highlight w:val="none"/>
          <w:lang w:eastAsia="zh-CN"/>
        </w:rPr>
      </w:pPr>
      <w:r>
        <w:rPr>
          <w:rFonts w:hint="eastAsia" w:ascii="宋体" w:hAnsi="宋体" w:eastAsia="宋体" w:cs="宋体"/>
          <w:color w:val="auto"/>
          <w:kern w:val="3"/>
          <w:highlight w:val="none"/>
        </w:rPr>
        <w:t>编制说明：</w:t>
      </w:r>
      <w:r>
        <w:rPr>
          <w:rFonts w:hint="eastAsia" w:ascii="宋体" w:hAnsi="宋体" w:eastAsia="宋体" w:cs="宋体"/>
          <w:color w:val="auto"/>
          <w:kern w:val="3"/>
          <w:highlight w:val="none"/>
          <w:lang w:eastAsia="zh-CN"/>
        </w:rPr>
        <w:t>投标人</w:t>
      </w:r>
      <w:r>
        <w:rPr>
          <w:rFonts w:hint="eastAsia" w:ascii="宋体" w:hAnsi="宋体" w:eastAsia="宋体" w:cs="宋体"/>
          <w:color w:val="auto"/>
          <w:kern w:val="3"/>
          <w:highlight w:val="none"/>
        </w:rPr>
        <w:t>应根据本项目采购内容和评</w:t>
      </w:r>
      <w:r>
        <w:rPr>
          <w:rFonts w:hint="eastAsia" w:ascii="宋体" w:hAnsi="宋体" w:eastAsia="宋体" w:cs="宋体"/>
          <w:color w:val="auto"/>
          <w:kern w:val="3"/>
          <w:highlight w:val="none"/>
          <w:lang w:val="en-US" w:eastAsia="zh-CN"/>
        </w:rPr>
        <w:t>标</w:t>
      </w:r>
      <w:r>
        <w:rPr>
          <w:rFonts w:hint="eastAsia" w:ascii="宋体" w:hAnsi="宋体" w:eastAsia="宋体" w:cs="宋体"/>
          <w:color w:val="auto"/>
          <w:kern w:val="3"/>
          <w:highlight w:val="none"/>
        </w:rPr>
        <w:t>工作大纲技术评审细则的要求，自行编制</w:t>
      </w:r>
      <w:r>
        <w:rPr>
          <w:rFonts w:hint="eastAsia" w:ascii="宋体" w:hAnsi="宋体" w:eastAsia="宋体" w:cs="宋体"/>
          <w:color w:val="auto"/>
          <w:kern w:val="3"/>
          <w:highlight w:val="none"/>
          <w:lang w:eastAsia="zh-CN"/>
        </w:rPr>
        <w:t>，应急预案和保障措施包括但不限于：（1）半干化泥粉/污泥处置量突然增加的情况分析和应对措施；（2）处置设备意外停产和减产的情况分析和应对措施；（3）生产事故的情况分析和应对措施；（4）环境污染事故分析和应对措施。</w:t>
      </w:r>
    </w:p>
    <w:p w14:paraId="48BF82B5">
      <w:pPr>
        <w:autoSpaceDE/>
        <w:autoSpaceDN/>
        <w:adjustRightInd/>
        <w:spacing w:line="240" w:lineRule="auto"/>
        <w:ind w:firstLine="0" w:firstLineChars="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br w:type="page"/>
      </w:r>
    </w:p>
    <w:p w14:paraId="53164DF6">
      <w:pPr>
        <w:tabs>
          <w:tab w:val="left" w:pos="567"/>
        </w:tabs>
        <w:autoSpaceDE w:val="0"/>
        <w:autoSpaceDN w:val="0"/>
        <w:adjustRightInd w:val="0"/>
        <w:spacing w:line="360" w:lineRule="auto"/>
        <w:jc w:val="left"/>
        <w:outlineLvl w:val="3"/>
        <w:rPr>
          <w:rFonts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u w:val="none"/>
          <w:lang w:val="en-US" w:eastAsia="zh-CN"/>
        </w:rPr>
        <w:t>五</w:t>
      </w:r>
      <w:bookmarkEnd w:id="864"/>
      <w:bookmarkEnd w:id="865"/>
      <w:bookmarkEnd w:id="866"/>
      <w:bookmarkEnd w:id="867"/>
      <w:bookmarkEnd w:id="868"/>
      <w:bookmarkStart w:id="870" w:name="_Toc31805"/>
      <w:bookmarkStart w:id="871" w:name="_Toc195714409"/>
      <w:r>
        <w:rPr>
          <w:rFonts w:hint="eastAsia" w:ascii="宋体" w:hAnsi="宋体" w:eastAsia="宋体" w:cs="宋体"/>
          <w:b/>
          <w:color w:val="auto"/>
          <w:kern w:val="0"/>
          <w:sz w:val="30"/>
          <w:szCs w:val="30"/>
          <w:highlight w:val="none"/>
        </w:rPr>
        <w:t>、</w:t>
      </w:r>
      <w:r>
        <w:rPr>
          <w:rFonts w:hint="eastAsia" w:ascii="宋体" w:hAnsi="宋体" w:eastAsia="宋体" w:cs="宋体"/>
          <w:b/>
          <w:color w:val="auto"/>
          <w:kern w:val="0"/>
          <w:sz w:val="30"/>
          <w:szCs w:val="30"/>
          <w:highlight w:val="none"/>
          <w:lang w:eastAsia="zh-CN"/>
        </w:rPr>
        <w:t>投标人</w:t>
      </w:r>
      <w:r>
        <w:rPr>
          <w:rFonts w:hint="eastAsia" w:ascii="宋体" w:hAnsi="宋体" w:eastAsia="宋体" w:cs="宋体"/>
          <w:b/>
          <w:color w:val="auto"/>
          <w:kern w:val="0"/>
          <w:sz w:val="30"/>
          <w:szCs w:val="30"/>
          <w:highlight w:val="none"/>
        </w:rPr>
        <w:t>认为有必要提供的其它材料（不做强制要求）</w:t>
      </w:r>
      <w:bookmarkEnd w:id="870"/>
      <w:bookmarkEnd w:id="871"/>
    </w:p>
    <w:p w14:paraId="07643F49">
      <w:pPr>
        <w:autoSpaceDE w:val="0"/>
        <w:autoSpaceDN w:val="0"/>
        <w:adjustRightInd w:val="0"/>
        <w:jc w:val="left"/>
        <w:rPr>
          <w:rFonts w:ascii="宋体" w:hAnsi="宋体" w:eastAsia="宋体" w:cs="Times New Roman"/>
          <w:color w:val="auto"/>
          <w:kern w:val="0"/>
          <w:sz w:val="24"/>
          <w:szCs w:val="24"/>
          <w:highlight w:val="none"/>
        </w:rPr>
      </w:pPr>
    </w:p>
    <w:p w14:paraId="0819186B">
      <w:pPr>
        <w:autoSpaceDE w:val="0"/>
        <w:autoSpaceDN w:val="0"/>
        <w:adjustRightInd w:val="0"/>
        <w:jc w:val="left"/>
        <w:rPr>
          <w:rFonts w:ascii="宋体" w:hAnsi="宋体" w:eastAsia="宋体" w:cs="Times New Roman"/>
          <w:color w:val="auto"/>
          <w:kern w:val="0"/>
          <w:sz w:val="24"/>
          <w:szCs w:val="24"/>
          <w:highlight w:val="none"/>
        </w:rPr>
      </w:pPr>
    </w:p>
    <w:p w14:paraId="0BC19912">
      <w:pPr>
        <w:autoSpaceDE w:val="0"/>
        <w:autoSpaceDN w:val="0"/>
        <w:adjustRightInd w:val="0"/>
        <w:jc w:val="left"/>
        <w:rPr>
          <w:rFonts w:ascii="宋体" w:hAnsi="宋体" w:eastAsia="宋体" w:cs="Times New Roman"/>
          <w:color w:val="auto"/>
          <w:kern w:val="0"/>
          <w:sz w:val="24"/>
          <w:szCs w:val="24"/>
          <w:highlight w:val="none"/>
        </w:rPr>
      </w:pPr>
    </w:p>
    <w:p w14:paraId="7C05B243">
      <w:pPr>
        <w:autoSpaceDE w:val="0"/>
        <w:autoSpaceDN w:val="0"/>
        <w:adjustRightInd w:val="0"/>
        <w:jc w:val="left"/>
        <w:rPr>
          <w:rFonts w:ascii="宋体" w:hAnsi="宋体" w:eastAsia="宋体" w:cs="Times New Roman"/>
          <w:color w:val="auto"/>
          <w:kern w:val="0"/>
          <w:sz w:val="24"/>
          <w:szCs w:val="24"/>
          <w:highlight w:val="none"/>
        </w:rPr>
      </w:pPr>
    </w:p>
    <w:p w14:paraId="411E8603">
      <w:pPr>
        <w:autoSpaceDE/>
        <w:autoSpaceDN/>
        <w:adjustRightInd/>
        <w:jc w:val="left"/>
        <w:rPr>
          <w:rFonts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14:paraId="086D681D">
      <w:pPr>
        <w:jc w:val="center"/>
        <w:outlineLvl w:val="1"/>
        <w:rPr>
          <w:rFonts w:hint="eastAsia" w:ascii="宋体" w:hAnsi="宋体" w:eastAsia="宋体" w:cs="宋体"/>
          <w:b/>
          <w:color w:val="auto"/>
          <w:kern w:val="0"/>
          <w:sz w:val="32"/>
          <w:szCs w:val="32"/>
          <w:highlight w:val="none"/>
        </w:rPr>
      </w:pPr>
      <w:bookmarkStart w:id="872" w:name="_Toc10546"/>
      <w:bookmarkStart w:id="873" w:name="_Toc179"/>
      <w:bookmarkStart w:id="874" w:name="_Toc3808"/>
      <w:bookmarkStart w:id="875" w:name="_Toc23204"/>
      <w:bookmarkStart w:id="876" w:name="_Toc9393"/>
      <w:bookmarkStart w:id="877" w:name="_Toc13980"/>
      <w:bookmarkStart w:id="878" w:name="_Toc195714410"/>
      <w:r>
        <w:rPr>
          <w:rFonts w:hint="eastAsia" w:ascii="宋体" w:hAnsi="宋体" w:eastAsia="宋体" w:cs="宋体"/>
          <w:b/>
          <w:color w:val="auto"/>
          <w:kern w:val="0"/>
          <w:sz w:val="32"/>
          <w:szCs w:val="32"/>
          <w:highlight w:val="none"/>
        </w:rPr>
        <w:t>第三部分   报价信封</w:t>
      </w:r>
      <w:bookmarkEnd w:id="872"/>
      <w:bookmarkEnd w:id="873"/>
      <w:bookmarkEnd w:id="874"/>
      <w:bookmarkEnd w:id="875"/>
      <w:bookmarkEnd w:id="876"/>
    </w:p>
    <w:bookmarkEnd w:id="877"/>
    <w:bookmarkEnd w:id="878"/>
    <w:p w14:paraId="44F46179">
      <w:pPr>
        <w:jc w:val="center"/>
        <w:rPr>
          <w:rFonts w:ascii="宋体" w:hAnsi="宋体" w:eastAsia="宋体" w:cs="宋体"/>
          <w:b/>
          <w:color w:val="auto"/>
          <w:kern w:val="0"/>
          <w:sz w:val="32"/>
          <w:szCs w:val="32"/>
          <w:highlight w:val="none"/>
        </w:rPr>
      </w:pPr>
    </w:p>
    <w:p w14:paraId="3B392691">
      <w:pPr>
        <w:autoSpaceDE w:val="0"/>
        <w:autoSpaceDN w:val="0"/>
        <w:adjustRightInd w:val="0"/>
        <w:spacing w:line="360" w:lineRule="auto"/>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本部分由</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使用电子标书制作软件编制并生成报价信封。报价信封的编制要求详见第二篇</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须知第17.6.3项。由</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按格式要求进行电子签名。</w:t>
      </w:r>
    </w:p>
    <w:p w14:paraId="4456811E">
      <w:pPr>
        <w:autoSpaceDE w:val="0"/>
        <w:autoSpaceDN w:val="0"/>
        <w:adjustRightInd w:val="0"/>
        <w:jc w:val="left"/>
        <w:rPr>
          <w:rFonts w:ascii="宋体" w:hAnsi="宋体" w:eastAsia="宋体" w:cs="Times New Roman"/>
          <w:color w:val="auto"/>
          <w:kern w:val="0"/>
          <w:sz w:val="24"/>
          <w:szCs w:val="24"/>
          <w:highlight w:val="none"/>
        </w:rPr>
      </w:pPr>
    </w:p>
    <w:p w14:paraId="4630F6C4">
      <w:pPr>
        <w:autoSpaceDE w:val="0"/>
        <w:autoSpaceDN w:val="0"/>
        <w:adjustRightInd w:val="0"/>
        <w:jc w:val="left"/>
        <w:rPr>
          <w:rFonts w:ascii="宋体" w:hAnsi="宋体" w:eastAsia="宋体" w:cs="Times New Roman"/>
          <w:color w:val="auto"/>
          <w:kern w:val="0"/>
          <w:sz w:val="24"/>
          <w:szCs w:val="24"/>
          <w:highlight w:val="none"/>
        </w:rPr>
      </w:pPr>
    </w:p>
    <w:p w14:paraId="54442792">
      <w:pPr>
        <w:autoSpaceDE w:val="0"/>
        <w:autoSpaceDN w:val="0"/>
        <w:adjustRightInd w:val="0"/>
        <w:jc w:val="left"/>
        <w:rPr>
          <w:rFonts w:ascii="宋体" w:hAnsi="宋体" w:eastAsia="宋体" w:cs="Times New Roman"/>
          <w:color w:val="auto"/>
          <w:kern w:val="0"/>
          <w:sz w:val="24"/>
          <w:szCs w:val="24"/>
          <w:highlight w:val="none"/>
        </w:rPr>
      </w:pPr>
    </w:p>
    <w:p w14:paraId="3C34DDA1">
      <w:pPr>
        <w:autoSpaceDE w:val="0"/>
        <w:autoSpaceDN w:val="0"/>
        <w:adjustRightInd w:val="0"/>
        <w:jc w:val="left"/>
        <w:rPr>
          <w:rFonts w:ascii="宋体" w:hAnsi="宋体" w:eastAsia="宋体" w:cs="Times New Roman"/>
          <w:color w:val="auto"/>
          <w:kern w:val="0"/>
          <w:sz w:val="24"/>
          <w:szCs w:val="24"/>
          <w:highlight w:val="none"/>
        </w:rPr>
      </w:pPr>
    </w:p>
    <w:p w14:paraId="591B969A">
      <w:pPr>
        <w:autoSpaceDE w:val="0"/>
        <w:autoSpaceDN w:val="0"/>
        <w:adjustRightInd w:val="0"/>
        <w:jc w:val="left"/>
        <w:rPr>
          <w:rFonts w:ascii="宋体" w:hAnsi="宋体" w:eastAsia="宋体" w:cs="Times New Roman"/>
          <w:color w:val="auto"/>
          <w:kern w:val="0"/>
          <w:sz w:val="24"/>
          <w:szCs w:val="24"/>
          <w:highlight w:val="none"/>
        </w:rPr>
      </w:pPr>
    </w:p>
    <w:p w14:paraId="4AEDDDDF">
      <w:pPr>
        <w:widowControl/>
        <w:jc w:val="left"/>
        <w:rPr>
          <w:rFonts w:ascii="宋体" w:hAnsi="宋体" w:eastAsia="宋体" w:cs="Times New Roman"/>
          <w:color w:val="auto"/>
          <w:kern w:val="0"/>
          <w:sz w:val="24"/>
          <w:szCs w:val="24"/>
          <w:highlight w:val="none"/>
        </w:rPr>
      </w:pPr>
      <w:r>
        <w:rPr>
          <w:rFonts w:ascii="宋体" w:hAnsi="宋体" w:eastAsia="宋体" w:cs="Times New Roman"/>
          <w:color w:val="auto"/>
          <w:kern w:val="0"/>
          <w:sz w:val="24"/>
          <w:szCs w:val="24"/>
          <w:highlight w:val="none"/>
        </w:rPr>
        <w:br w:type="page"/>
      </w:r>
    </w:p>
    <w:p w14:paraId="6D6E6D63">
      <w:pPr>
        <w:autoSpaceDE w:val="0"/>
        <w:autoSpaceDN w:val="0"/>
        <w:adjustRightInd w:val="0"/>
        <w:jc w:val="left"/>
        <w:rPr>
          <w:rFonts w:ascii="宋体" w:hAnsi="宋体" w:eastAsia="宋体" w:cs="Times New Roman"/>
          <w:color w:val="auto"/>
          <w:kern w:val="0"/>
          <w:sz w:val="24"/>
          <w:szCs w:val="24"/>
          <w:highlight w:val="none"/>
        </w:rPr>
      </w:pPr>
    </w:p>
    <w:p w14:paraId="5063338F">
      <w:pPr>
        <w:tabs>
          <w:tab w:val="left" w:pos="1080"/>
        </w:tabs>
        <w:autoSpaceDE w:val="0"/>
        <w:autoSpaceDN w:val="0"/>
        <w:adjustRightInd w:val="0"/>
        <w:spacing w:line="360" w:lineRule="auto"/>
        <w:jc w:val="left"/>
        <w:outlineLvl w:val="0"/>
        <w:rPr>
          <w:rFonts w:ascii="宋体" w:hAnsi="宋体" w:eastAsia="宋体" w:cs="宋体"/>
          <w:b/>
          <w:bCs/>
          <w:color w:val="auto"/>
          <w:kern w:val="44"/>
          <w:sz w:val="32"/>
          <w:szCs w:val="32"/>
          <w:highlight w:val="none"/>
          <w:lang w:val="zh-CN"/>
        </w:rPr>
      </w:pPr>
      <w:bookmarkStart w:id="879" w:name="_Toc32053"/>
      <w:bookmarkStart w:id="880" w:name="_Toc15947"/>
      <w:bookmarkStart w:id="881" w:name="_Toc195714411"/>
      <w:bookmarkStart w:id="882" w:name="_Toc4831"/>
      <w:bookmarkStart w:id="883" w:name="_Toc14977"/>
      <w:bookmarkStart w:id="884" w:name="_Toc7262"/>
      <w:bookmarkStart w:id="885" w:name="_Toc21059"/>
      <w:bookmarkStart w:id="886" w:name="_Toc142508390"/>
      <w:bookmarkStart w:id="887" w:name="_Toc1690"/>
      <w:bookmarkStart w:id="888" w:name="_Toc22601_WPSOffice_Level1"/>
      <w:bookmarkStart w:id="889" w:name="_Toc522047402"/>
      <w:bookmarkStart w:id="890" w:name="_Toc521918141"/>
      <w:r>
        <w:rPr>
          <w:rFonts w:hint="eastAsia" w:ascii="宋体" w:hAnsi="宋体" w:eastAsia="宋体" w:cs="宋体"/>
          <w:b/>
          <w:bCs/>
          <w:color w:val="auto"/>
          <w:kern w:val="44"/>
          <w:sz w:val="32"/>
          <w:szCs w:val="32"/>
          <w:highlight w:val="none"/>
          <w:lang w:val="zh-CN"/>
        </w:rPr>
        <w:t>附件一：评</w:t>
      </w:r>
      <w:r>
        <w:rPr>
          <w:rFonts w:hint="eastAsia" w:ascii="宋体" w:hAnsi="宋体" w:eastAsia="宋体" w:cs="宋体"/>
          <w:b/>
          <w:bCs/>
          <w:color w:val="auto"/>
          <w:kern w:val="44"/>
          <w:sz w:val="32"/>
          <w:szCs w:val="32"/>
          <w:highlight w:val="none"/>
          <w:lang w:val="en-US" w:eastAsia="zh-CN"/>
        </w:rPr>
        <w:t>标</w:t>
      </w:r>
      <w:r>
        <w:rPr>
          <w:rFonts w:hint="eastAsia" w:ascii="宋体" w:hAnsi="宋体" w:eastAsia="宋体" w:cs="宋体"/>
          <w:b/>
          <w:bCs/>
          <w:color w:val="auto"/>
          <w:kern w:val="44"/>
          <w:sz w:val="32"/>
          <w:szCs w:val="32"/>
          <w:highlight w:val="none"/>
          <w:lang w:val="zh-CN"/>
        </w:rPr>
        <w:t>工作大纲</w:t>
      </w:r>
      <w:bookmarkEnd w:id="879"/>
      <w:bookmarkEnd w:id="880"/>
      <w:bookmarkEnd w:id="881"/>
      <w:bookmarkEnd w:id="882"/>
      <w:bookmarkEnd w:id="883"/>
      <w:bookmarkEnd w:id="884"/>
      <w:bookmarkEnd w:id="885"/>
      <w:bookmarkEnd w:id="886"/>
      <w:bookmarkEnd w:id="887"/>
    </w:p>
    <w:p w14:paraId="7F33A4F8">
      <w:pPr>
        <w:autoSpaceDE w:val="0"/>
        <w:autoSpaceDN w:val="0"/>
        <w:adjustRightInd w:val="0"/>
        <w:spacing w:line="400" w:lineRule="atLeast"/>
        <w:jc w:val="center"/>
        <w:rPr>
          <w:rFonts w:ascii="宋体" w:hAnsi="宋体" w:eastAsia="宋体" w:cs="宋体"/>
          <w:b/>
          <w:bCs/>
          <w:color w:val="auto"/>
          <w:szCs w:val="21"/>
          <w:highlight w:val="none"/>
        </w:rPr>
      </w:pPr>
    </w:p>
    <w:p w14:paraId="3A3C7C92">
      <w:pPr>
        <w:autoSpaceDE w:val="0"/>
        <w:autoSpaceDN w:val="0"/>
        <w:adjustRightInd w:val="0"/>
        <w:spacing w:line="400" w:lineRule="atLeast"/>
        <w:jc w:val="center"/>
        <w:rPr>
          <w:rFonts w:ascii="宋体" w:hAnsi="宋体" w:eastAsia="宋体" w:cs="宋体"/>
          <w:b/>
          <w:bCs/>
          <w:color w:val="auto"/>
          <w:szCs w:val="21"/>
          <w:highlight w:val="none"/>
        </w:rPr>
      </w:pPr>
    </w:p>
    <w:p w14:paraId="5F817A23">
      <w:pPr>
        <w:autoSpaceDE w:val="0"/>
        <w:autoSpaceDN w:val="0"/>
        <w:adjustRightInd w:val="0"/>
        <w:spacing w:line="400" w:lineRule="atLeast"/>
        <w:jc w:val="center"/>
        <w:rPr>
          <w:rFonts w:ascii="宋体" w:hAnsi="宋体" w:eastAsia="宋体" w:cs="宋体"/>
          <w:b/>
          <w:bCs/>
          <w:color w:val="auto"/>
          <w:szCs w:val="21"/>
          <w:highlight w:val="none"/>
        </w:rPr>
      </w:pPr>
    </w:p>
    <w:p w14:paraId="44EE2B7F">
      <w:pPr>
        <w:autoSpaceDE w:val="0"/>
        <w:autoSpaceDN w:val="0"/>
        <w:adjustRightInd w:val="0"/>
        <w:spacing w:line="400" w:lineRule="atLeast"/>
        <w:jc w:val="center"/>
        <w:rPr>
          <w:rFonts w:ascii="宋体" w:hAnsi="宋体" w:eastAsia="宋体" w:cs="宋体"/>
          <w:b/>
          <w:bCs/>
          <w:color w:val="auto"/>
          <w:szCs w:val="21"/>
          <w:highlight w:val="none"/>
        </w:rPr>
      </w:pPr>
    </w:p>
    <w:p w14:paraId="4F27997B">
      <w:pPr>
        <w:autoSpaceDE w:val="0"/>
        <w:autoSpaceDN w:val="0"/>
        <w:adjustRightInd w:val="0"/>
        <w:spacing w:line="360" w:lineRule="auto"/>
        <w:jc w:val="center"/>
        <w:rPr>
          <w:rFonts w:hint="eastAsia" w:ascii="宋体" w:hAnsi="宋体" w:eastAsia="宋体" w:cs="宋体"/>
          <w:b/>
          <w:bCs/>
          <w:color w:val="auto"/>
          <w:sz w:val="36"/>
          <w:szCs w:val="44"/>
          <w:highlight w:val="none"/>
          <w:lang w:eastAsia="zh-CN"/>
        </w:rPr>
      </w:pPr>
      <w:r>
        <w:rPr>
          <w:rFonts w:hint="eastAsia" w:ascii="宋体" w:hAnsi="宋体" w:eastAsia="宋体" w:cs="宋体"/>
          <w:b/>
          <w:bCs/>
          <w:color w:val="auto"/>
          <w:sz w:val="40"/>
          <w:szCs w:val="36"/>
          <w:highlight w:val="none"/>
          <w:lang w:eastAsia="zh-CN"/>
        </w:rPr>
        <w:t>东莞市众源环境投资有限公司半干化泥粉外运资源化处置服务供应商库2025年第二次扩增供应商项目</w:t>
      </w:r>
    </w:p>
    <w:p w14:paraId="091CA26D">
      <w:pPr>
        <w:autoSpaceDE w:val="0"/>
        <w:autoSpaceDN w:val="0"/>
        <w:adjustRightInd w:val="0"/>
        <w:spacing w:line="360" w:lineRule="auto"/>
        <w:jc w:val="center"/>
        <w:rPr>
          <w:rFonts w:ascii="宋体" w:hAnsi="宋体" w:eastAsia="宋体" w:cs="宋体"/>
          <w:b/>
          <w:bCs/>
          <w:color w:val="auto"/>
          <w:sz w:val="36"/>
          <w:szCs w:val="36"/>
          <w:highlight w:val="none"/>
        </w:rPr>
      </w:pPr>
      <w:bookmarkStart w:id="891" w:name="_Toc14752_WPSOffice_Level1"/>
      <w:r>
        <w:rPr>
          <w:rFonts w:hint="eastAsia" w:ascii="宋体" w:hAnsi="宋体" w:eastAsia="宋体" w:cs="宋体"/>
          <w:b/>
          <w:bCs/>
          <w:color w:val="auto"/>
          <w:sz w:val="36"/>
          <w:szCs w:val="36"/>
          <w:highlight w:val="none"/>
          <w:lang w:val="zh-CN"/>
        </w:rPr>
        <w:t>（</w:t>
      </w:r>
      <w:r>
        <w:rPr>
          <w:rFonts w:hint="eastAsia" w:ascii="宋体" w:hAnsi="宋体" w:eastAsia="宋体" w:cs="宋体"/>
          <w:b/>
          <w:bCs/>
          <w:color w:val="auto"/>
          <w:sz w:val="36"/>
          <w:szCs w:val="36"/>
          <w:highlight w:val="none"/>
          <w:lang w:val="en-US" w:eastAsia="zh-CN"/>
        </w:rPr>
        <w:t>招标</w:t>
      </w:r>
      <w:r>
        <w:rPr>
          <w:rFonts w:hint="eastAsia" w:ascii="宋体" w:hAnsi="宋体" w:eastAsia="宋体" w:cs="宋体"/>
          <w:b/>
          <w:bCs/>
          <w:color w:val="auto"/>
          <w:sz w:val="36"/>
          <w:szCs w:val="36"/>
          <w:highlight w:val="none"/>
          <w:lang w:val="zh-CN"/>
        </w:rPr>
        <w:t>编号：SSSSSZ12502462）</w:t>
      </w:r>
      <w:bookmarkEnd w:id="891"/>
    </w:p>
    <w:p w14:paraId="3978105D">
      <w:pPr>
        <w:autoSpaceDE w:val="0"/>
        <w:autoSpaceDN w:val="0"/>
        <w:adjustRightInd w:val="0"/>
        <w:spacing w:line="400" w:lineRule="atLeast"/>
        <w:jc w:val="center"/>
        <w:rPr>
          <w:rFonts w:ascii="宋体" w:hAnsi="宋体" w:eastAsia="宋体" w:cs="宋体"/>
          <w:b/>
          <w:bCs/>
          <w:color w:val="auto"/>
          <w:sz w:val="36"/>
          <w:szCs w:val="36"/>
          <w:highlight w:val="none"/>
        </w:rPr>
      </w:pPr>
    </w:p>
    <w:p w14:paraId="5A7B1AE2">
      <w:pPr>
        <w:autoSpaceDE w:val="0"/>
        <w:autoSpaceDN w:val="0"/>
        <w:adjustRightInd w:val="0"/>
        <w:spacing w:line="400" w:lineRule="atLeast"/>
        <w:jc w:val="center"/>
        <w:rPr>
          <w:rFonts w:ascii="宋体" w:hAnsi="宋体" w:eastAsia="宋体" w:cs="宋体"/>
          <w:b/>
          <w:bCs/>
          <w:color w:val="auto"/>
          <w:sz w:val="36"/>
          <w:szCs w:val="36"/>
          <w:highlight w:val="none"/>
        </w:rPr>
      </w:pPr>
    </w:p>
    <w:p w14:paraId="4759A470">
      <w:pPr>
        <w:autoSpaceDE w:val="0"/>
        <w:autoSpaceDN w:val="0"/>
        <w:adjustRightInd w:val="0"/>
        <w:spacing w:line="400" w:lineRule="atLeast"/>
        <w:jc w:val="center"/>
        <w:rPr>
          <w:rFonts w:ascii="宋体" w:hAnsi="宋体" w:eastAsia="宋体" w:cs="宋体"/>
          <w:b/>
          <w:bCs/>
          <w:color w:val="auto"/>
          <w:sz w:val="36"/>
          <w:szCs w:val="36"/>
          <w:highlight w:val="none"/>
        </w:rPr>
      </w:pPr>
    </w:p>
    <w:p w14:paraId="36FF6784">
      <w:pPr>
        <w:autoSpaceDE w:val="0"/>
        <w:autoSpaceDN w:val="0"/>
        <w:adjustRightInd w:val="0"/>
        <w:spacing w:line="400" w:lineRule="atLeast"/>
        <w:jc w:val="center"/>
        <w:rPr>
          <w:rFonts w:ascii="宋体" w:hAnsi="宋体" w:eastAsia="宋体" w:cs="宋体"/>
          <w:b/>
          <w:bCs/>
          <w:color w:val="auto"/>
          <w:sz w:val="36"/>
          <w:szCs w:val="36"/>
          <w:highlight w:val="none"/>
        </w:rPr>
      </w:pPr>
    </w:p>
    <w:p w14:paraId="4C69097A">
      <w:pPr>
        <w:autoSpaceDE w:val="0"/>
        <w:autoSpaceDN w:val="0"/>
        <w:adjustRightInd w:val="0"/>
        <w:spacing w:line="400" w:lineRule="atLeast"/>
        <w:jc w:val="center"/>
        <w:rPr>
          <w:rFonts w:ascii="宋体" w:hAnsi="宋体" w:eastAsia="宋体" w:cs="宋体"/>
          <w:b/>
          <w:bCs/>
          <w:color w:val="auto"/>
          <w:sz w:val="72"/>
          <w:szCs w:val="72"/>
          <w:highlight w:val="none"/>
          <w:lang w:val="zh-CN"/>
        </w:rPr>
      </w:pPr>
      <w:bookmarkStart w:id="892" w:name="_Toc18947_WPSOffice_Level2"/>
      <w:r>
        <w:rPr>
          <w:rFonts w:hint="eastAsia" w:ascii="宋体" w:hAnsi="宋体" w:eastAsia="宋体" w:cs="宋体"/>
          <w:b/>
          <w:bCs/>
          <w:color w:val="auto"/>
          <w:sz w:val="72"/>
          <w:szCs w:val="72"/>
          <w:highlight w:val="none"/>
          <w:lang w:val="zh-CN"/>
        </w:rPr>
        <w:t>评</w:t>
      </w:r>
      <w:r>
        <w:rPr>
          <w:rFonts w:hint="eastAsia" w:ascii="宋体" w:hAnsi="宋体" w:eastAsia="宋体" w:cs="宋体"/>
          <w:b/>
          <w:bCs/>
          <w:color w:val="auto"/>
          <w:sz w:val="72"/>
          <w:szCs w:val="72"/>
          <w:highlight w:val="none"/>
          <w:lang w:val="en-US" w:eastAsia="zh-CN"/>
        </w:rPr>
        <w:t>标</w:t>
      </w:r>
      <w:r>
        <w:rPr>
          <w:rFonts w:hint="eastAsia" w:ascii="宋体" w:hAnsi="宋体" w:eastAsia="宋体" w:cs="宋体"/>
          <w:b/>
          <w:bCs/>
          <w:color w:val="auto"/>
          <w:sz w:val="72"/>
          <w:szCs w:val="72"/>
          <w:highlight w:val="none"/>
          <w:lang w:val="zh-CN"/>
        </w:rPr>
        <w:t>工作大纲</w:t>
      </w:r>
      <w:bookmarkEnd w:id="892"/>
    </w:p>
    <w:p w14:paraId="261C022E">
      <w:pPr>
        <w:autoSpaceDE w:val="0"/>
        <w:autoSpaceDN w:val="0"/>
        <w:adjustRightInd w:val="0"/>
        <w:spacing w:line="400" w:lineRule="atLeast"/>
        <w:jc w:val="center"/>
        <w:rPr>
          <w:rFonts w:ascii="宋体" w:hAnsi="宋体" w:eastAsia="宋体" w:cs="宋体"/>
          <w:b/>
          <w:bCs/>
          <w:color w:val="auto"/>
          <w:sz w:val="36"/>
          <w:szCs w:val="36"/>
          <w:highlight w:val="none"/>
        </w:rPr>
      </w:pPr>
    </w:p>
    <w:p w14:paraId="5A40DB23">
      <w:pPr>
        <w:autoSpaceDE w:val="0"/>
        <w:autoSpaceDN w:val="0"/>
        <w:adjustRightInd w:val="0"/>
        <w:spacing w:line="400" w:lineRule="atLeast"/>
        <w:rPr>
          <w:rFonts w:ascii="宋体" w:hAnsi="宋体" w:eastAsia="宋体" w:cs="宋体"/>
          <w:b/>
          <w:bCs/>
          <w:color w:val="auto"/>
          <w:sz w:val="36"/>
          <w:szCs w:val="36"/>
          <w:highlight w:val="none"/>
        </w:rPr>
      </w:pPr>
    </w:p>
    <w:p w14:paraId="6C3FD822">
      <w:pPr>
        <w:autoSpaceDE w:val="0"/>
        <w:autoSpaceDN w:val="0"/>
        <w:adjustRightInd w:val="0"/>
        <w:spacing w:line="400" w:lineRule="atLeast"/>
        <w:jc w:val="center"/>
        <w:rPr>
          <w:rFonts w:ascii="宋体" w:hAnsi="宋体" w:eastAsia="宋体" w:cs="宋体"/>
          <w:b/>
          <w:bCs/>
          <w:color w:val="auto"/>
          <w:sz w:val="36"/>
          <w:szCs w:val="36"/>
          <w:highlight w:val="none"/>
        </w:rPr>
      </w:pPr>
    </w:p>
    <w:p w14:paraId="242E9AE3">
      <w:pPr>
        <w:autoSpaceDE w:val="0"/>
        <w:autoSpaceDN w:val="0"/>
        <w:adjustRightInd w:val="0"/>
        <w:spacing w:line="400" w:lineRule="atLeast"/>
        <w:jc w:val="center"/>
        <w:rPr>
          <w:rFonts w:ascii="宋体" w:hAnsi="宋体" w:eastAsia="宋体" w:cs="宋体"/>
          <w:b/>
          <w:bCs/>
          <w:color w:val="auto"/>
          <w:sz w:val="36"/>
          <w:szCs w:val="36"/>
          <w:highlight w:val="none"/>
        </w:rPr>
      </w:pPr>
    </w:p>
    <w:p w14:paraId="55CDEA30">
      <w:pPr>
        <w:autoSpaceDE w:val="0"/>
        <w:autoSpaceDN w:val="0"/>
        <w:adjustRightInd w:val="0"/>
        <w:spacing w:line="400" w:lineRule="atLeast"/>
        <w:jc w:val="center"/>
        <w:rPr>
          <w:rFonts w:ascii="宋体" w:hAnsi="宋体" w:eastAsia="宋体" w:cs="宋体"/>
          <w:b/>
          <w:bCs/>
          <w:color w:val="auto"/>
          <w:sz w:val="36"/>
          <w:szCs w:val="36"/>
          <w:highlight w:val="none"/>
        </w:rPr>
      </w:pPr>
    </w:p>
    <w:p w14:paraId="000110D0">
      <w:pPr>
        <w:autoSpaceDE w:val="0"/>
        <w:autoSpaceDN w:val="0"/>
        <w:adjustRightInd w:val="0"/>
        <w:spacing w:line="400" w:lineRule="atLeast"/>
        <w:jc w:val="center"/>
        <w:rPr>
          <w:rFonts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val="zh-CN"/>
        </w:rPr>
        <w:t>广州宏达工程顾问集团有限公司</w:t>
      </w:r>
    </w:p>
    <w:p w14:paraId="4D45AD67">
      <w:pPr>
        <w:autoSpaceDE w:val="0"/>
        <w:autoSpaceDN w:val="0"/>
        <w:adjustRightInd w:val="0"/>
        <w:spacing w:line="400" w:lineRule="atLeast"/>
        <w:jc w:val="center"/>
        <w:rPr>
          <w:rFonts w:ascii="宋体" w:hAnsi="宋体" w:eastAsia="宋体" w:cs="宋体"/>
          <w:b/>
          <w:bCs/>
          <w:color w:val="auto"/>
          <w:sz w:val="36"/>
          <w:szCs w:val="36"/>
          <w:highlight w:val="none"/>
        </w:rPr>
      </w:pPr>
      <w:r>
        <w:rPr>
          <w:rFonts w:hint="eastAsia" w:ascii="宋体" w:hAnsi="宋体" w:eastAsia="宋体" w:cs="宋体"/>
          <w:color w:val="auto"/>
          <w:sz w:val="44"/>
          <w:szCs w:val="44"/>
          <w:highlight w:val="none"/>
        </w:rPr>
        <w:br w:type="page"/>
      </w:r>
      <w:bookmarkStart w:id="893" w:name="_Toc32395_WPSOffice_Level1"/>
      <w:r>
        <w:rPr>
          <w:rFonts w:hint="eastAsia" w:ascii="宋体" w:hAnsi="宋体" w:eastAsia="宋体" w:cs="宋体"/>
          <w:b/>
          <w:bCs/>
          <w:color w:val="auto"/>
          <w:sz w:val="36"/>
          <w:szCs w:val="36"/>
          <w:highlight w:val="none"/>
          <w:lang w:val="zh-CN"/>
        </w:rPr>
        <w:t>目录</w:t>
      </w:r>
      <w:bookmarkEnd w:id="893"/>
    </w:p>
    <w:p w14:paraId="29A9DA1F">
      <w:pPr>
        <w:autoSpaceDE w:val="0"/>
        <w:autoSpaceDN w:val="0"/>
        <w:adjustRightInd w:val="0"/>
        <w:spacing w:line="400" w:lineRule="atLeast"/>
        <w:jc w:val="center"/>
        <w:rPr>
          <w:rFonts w:ascii="宋体" w:hAnsi="宋体" w:eastAsia="宋体" w:cs="宋体"/>
          <w:color w:val="auto"/>
          <w:sz w:val="44"/>
          <w:szCs w:val="44"/>
          <w:highlight w:val="none"/>
        </w:rPr>
      </w:pPr>
    </w:p>
    <w:p w14:paraId="55E2A414">
      <w:pPr>
        <w:autoSpaceDE w:val="0"/>
        <w:autoSpaceDN w:val="0"/>
        <w:adjustRightInd w:val="0"/>
        <w:spacing w:line="360" w:lineRule="auto"/>
        <w:ind w:left="567" w:hanging="567"/>
        <w:rPr>
          <w:rFonts w:ascii="宋体" w:hAnsi="宋体" w:eastAsia="宋体" w:cs="宋体"/>
          <w:color w:val="auto"/>
          <w:szCs w:val="30"/>
          <w:highlight w:val="none"/>
        </w:rPr>
      </w:pPr>
      <w:bookmarkStart w:id="894" w:name="_Toc21604_WPSOffice_Level1"/>
      <w:r>
        <w:rPr>
          <w:rFonts w:hint="eastAsia" w:ascii="宋体" w:hAnsi="宋体" w:eastAsia="宋体" w:cs="宋体"/>
          <w:color w:val="auto"/>
          <w:szCs w:val="30"/>
          <w:highlight w:val="none"/>
          <w:lang w:val="zh-CN"/>
        </w:rPr>
        <w:t>一、</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总则</w:t>
      </w:r>
      <w:bookmarkEnd w:id="894"/>
    </w:p>
    <w:p w14:paraId="3179ABD5">
      <w:pPr>
        <w:autoSpaceDE w:val="0"/>
        <w:autoSpaceDN w:val="0"/>
        <w:adjustRightInd w:val="0"/>
        <w:spacing w:line="360" w:lineRule="auto"/>
        <w:ind w:left="567" w:hanging="567"/>
        <w:rPr>
          <w:rFonts w:ascii="宋体" w:hAnsi="宋体" w:eastAsia="宋体" w:cs="宋体"/>
          <w:color w:val="auto"/>
          <w:szCs w:val="30"/>
          <w:highlight w:val="none"/>
        </w:rPr>
      </w:pPr>
      <w:bookmarkStart w:id="895" w:name="_Toc1387_WPSOffice_Level1"/>
      <w:r>
        <w:rPr>
          <w:rFonts w:hint="eastAsia" w:ascii="宋体" w:hAnsi="宋体" w:eastAsia="宋体" w:cs="宋体"/>
          <w:color w:val="auto"/>
          <w:szCs w:val="30"/>
          <w:highlight w:val="none"/>
          <w:lang w:val="zh-CN"/>
        </w:rPr>
        <w:t>二、</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投标文件的初审</w:t>
      </w:r>
      <w:bookmarkEnd w:id="895"/>
    </w:p>
    <w:p w14:paraId="2E6DEA8A">
      <w:pPr>
        <w:autoSpaceDE w:val="0"/>
        <w:autoSpaceDN w:val="0"/>
        <w:adjustRightInd w:val="0"/>
        <w:spacing w:line="360" w:lineRule="auto"/>
        <w:ind w:left="567" w:hanging="567"/>
        <w:rPr>
          <w:rFonts w:ascii="宋体" w:hAnsi="宋体" w:eastAsia="宋体" w:cs="宋体"/>
          <w:color w:val="auto"/>
          <w:szCs w:val="30"/>
          <w:highlight w:val="none"/>
        </w:rPr>
      </w:pPr>
      <w:bookmarkStart w:id="896" w:name="_Toc30284_WPSOffice_Level1"/>
      <w:r>
        <w:rPr>
          <w:rFonts w:hint="eastAsia" w:ascii="宋体" w:hAnsi="宋体" w:eastAsia="宋体" w:cs="宋体"/>
          <w:color w:val="auto"/>
          <w:szCs w:val="30"/>
          <w:highlight w:val="none"/>
          <w:lang w:val="zh-CN"/>
        </w:rPr>
        <w:t>三、</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澄清有关问题</w:t>
      </w:r>
      <w:bookmarkEnd w:id="896"/>
    </w:p>
    <w:p w14:paraId="513C6F4A">
      <w:pPr>
        <w:autoSpaceDE w:val="0"/>
        <w:autoSpaceDN w:val="0"/>
        <w:adjustRightInd w:val="0"/>
        <w:spacing w:line="360" w:lineRule="auto"/>
        <w:ind w:left="567" w:hanging="567"/>
        <w:rPr>
          <w:rFonts w:ascii="宋体" w:hAnsi="宋体" w:eastAsia="宋体" w:cs="宋体"/>
          <w:color w:val="auto"/>
          <w:szCs w:val="30"/>
          <w:highlight w:val="none"/>
        </w:rPr>
      </w:pPr>
      <w:bookmarkStart w:id="897" w:name="_Toc1206_WPSOffice_Level1"/>
      <w:r>
        <w:rPr>
          <w:rFonts w:hint="eastAsia" w:ascii="宋体" w:hAnsi="宋体" w:eastAsia="宋体" w:cs="宋体"/>
          <w:color w:val="auto"/>
          <w:szCs w:val="30"/>
          <w:highlight w:val="none"/>
        </w:rPr>
        <w:t>四、 比较和评价</w:t>
      </w:r>
      <w:bookmarkEnd w:id="897"/>
    </w:p>
    <w:p w14:paraId="046398C9">
      <w:pPr>
        <w:autoSpaceDE w:val="0"/>
        <w:autoSpaceDN w:val="0"/>
        <w:adjustRightInd w:val="0"/>
        <w:spacing w:line="360" w:lineRule="auto"/>
        <w:ind w:left="567" w:hanging="567"/>
        <w:rPr>
          <w:rFonts w:ascii="宋体" w:hAnsi="宋体" w:eastAsia="宋体" w:cs="宋体"/>
          <w:color w:val="auto"/>
          <w:szCs w:val="30"/>
          <w:highlight w:val="none"/>
        </w:rPr>
      </w:pPr>
      <w:bookmarkStart w:id="898" w:name="_Toc12163_WPSOffice_Level1"/>
      <w:r>
        <w:rPr>
          <w:rFonts w:hint="eastAsia" w:ascii="宋体" w:hAnsi="宋体" w:eastAsia="宋体" w:cs="宋体"/>
          <w:color w:val="auto"/>
          <w:szCs w:val="30"/>
          <w:highlight w:val="none"/>
          <w:lang w:val="zh-CN"/>
        </w:rPr>
        <w:t>五、</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推荐中标候选人名单</w:t>
      </w:r>
      <w:bookmarkEnd w:id="898"/>
    </w:p>
    <w:p w14:paraId="5326A8F0">
      <w:pPr>
        <w:autoSpaceDE w:val="0"/>
        <w:autoSpaceDN w:val="0"/>
        <w:adjustRightInd w:val="0"/>
        <w:spacing w:line="360" w:lineRule="auto"/>
        <w:ind w:left="567" w:hanging="567"/>
        <w:rPr>
          <w:rFonts w:ascii="宋体" w:hAnsi="宋体" w:eastAsia="宋体" w:cs="宋体"/>
          <w:color w:val="auto"/>
          <w:szCs w:val="30"/>
          <w:highlight w:val="none"/>
        </w:rPr>
      </w:pPr>
      <w:bookmarkStart w:id="899" w:name="_Toc366_WPSOffice_Level1"/>
      <w:r>
        <w:rPr>
          <w:rFonts w:hint="eastAsia" w:ascii="宋体" w:hAnsi="宋体" w:eastAsia="宋体" w:cs="宋体"/>
          <w:color w:val="auto"/>
          <w:szCs w:val="30"/>
          <w:highlight w:val="none"/>
          <w:lang w:val="zh-CN"/>
        </w:rPr>
        <w:t>六、</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编写评</w:t>
      </w:r>
      <w:r>
        <w:rPr>
          <w:rFonts w:hint="eastAsia" w:ascii="宋体" w:hAnsi="宋体" w:eastAsia="宋体" w:cs="宋体"/>
          <w:color w:val="auto"/>
          <w:szCs w:val="30"/>
          <w:highlight w:val="none"/>
          <w:lang w:val="en-US" w:eastAsia="zh-CN"/>
        </w:rPr>
        <w:t>标</w:t>
      </w:r>
      <w:r>
        <w:rPr>
          <w:rFonts w:hint="eastAsia" w:ascii="宋体" w:hAnsi="宋体" w:eastAsia="宋体" w:cs="宋体"/>
          <w:color w:val="auto"/>
          <w:szCs w:val="30"/>
          <w:highlight w:val="none"/>
          <w:lang w:val="zh-CN"/>
        </w:rPr>
        <w:t>报告</w:t>
      </w:r>
      <w:bookmarkEnd w:id="899"/>
    </w:p>
    <w:p w14:paraId="72476003">
      <w:pPr>
        <w:autoSpaceDE w:val="0"/>
        <w:autoSpaceDN w:val="0"/>
        <w:adjustRightInd w:val="0"/>
        <w:spacing w:line="360" w:lineRule="auto"/>
        <w:ind w:left="567" w:hanging="567"/>
        <w:rPr>
          <w:rFonts w:ascii="宋体" w:hAnsi="宋体" w:eastAsia="宋体" w:cs="宋体"/>
          <w:color w:val="auto"/>
          <w:szCs w:val="30"/>
          <w:highlight w:val="none"/>
        </w:rPr>
      </w:pPr>
      <w:bookmarkStart w:id="900" w:name="_Toc22378_WPSOffice_Level1"/>
      <w:r>
        <w:rPr>
          <w:rFonts w:hint="eastAsia" w:ascii="宋体" w:hAnsi="宋体" w:eastAsia="宋体" w:cs="宋体"/>
          <w:color w:val="auto"/>
          <w:szCs w:val="30"/>
          <w:highlight w:val="none"/>
          <w:lang w:val="zh-CN"/>
        </w:rPr>
        <w:t>七、</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注意事项</w:t>
      </w:r>
      <w:bookmarkEnd w:id="900"/>
    </w:p>
    <w:p w14:paraId="6182F4DF">
      <w:pPr>
        <w:tabs>
          <w:tab w:val="right" w:pos="7320"/>
        </w:tabs>
        <w:autoSpaceDE w:val="0"/>
        <w:autoSpaceDN w:val="0"/>
        <w:adjustRightInd w:val="0"/>
        <w:spacing w:line="360" w:lineRule="auto"/>
        <w:ind w:left="720" w:hanging="720"/>
        <w:rPr>
          <w:rFonts w:ascii="宋体" w:hAnsi="宋体" w:eastAsia="宋体" w:cs="宋体"/>
          <w:color w:val="auto"/>
          <w:szCs w:val="30"/>
          <w:highlight w:val="none"/>
        </w:rPr>
      </w:pPr>
    </w:p>
    <w:p w14:paraId="4286BAC7">
      <w:pPr>
        <w:tabs>
          <w:tab w:val="right" w:pos="7320"/>
        </w:tabs>
        <w:autoSpaceDE w:val="0"/>
        <w:autoSpaceDN w:val="0"/>
        <w:adjustRightInd w:val="0"/>
        <w:spacing w:line="360" w:lineRule="auto"/>
        <w:ind w:left="720" w:hanging="720"/>
        <w:rPr>
          <w:rFonts w:ascii="宋体" w:hAnsi="宋体" w:eastAsia="宋体" w:cs="宋体"/>
          <w:color w:val="auto"/>
          <w:szCs w:val="30"/>
          <w:highlight w:val="none"/>
        </w:rPr>
      </w:pPr>
    </w:p>
    <w:p w14:paraId="3157F635">
      <w:pPr>
        <w:tabs>
          <w:tab w:val="left" w:pos="1080"/>
          <w:tab w:val="right" w:pos="7320"/>
        </w:tabs>
        <w:autoSpaceDE w:val="0"/>
        <w:autoSpaceDN w:val="0"/>
        <w:adjustRightInd w:val="0"/>
        <w:spacing w:line="400" w:lineRule="atLeast"/>
        <w:ind w:left="720" w:hanging="720"/>
        <w:rPr>
          <w:rFonts w:ascii="宋体" w:hAnsi="宋体" w:eastAsia="宋体" w:cs="宋体"/>
          <w:color w:val="auto"/>
          <w:szCs w:val="30"/>
          <w:highlight w:val="none"/>
        </w:rPr>
      </w:pPr>
    </w:p>
    <w:p w14:paraId="112C1BA1">
      <w:pPr>
        <w:tabs>
          <w:tab w:val="left" w:pos="1140"/>
        </w:tabs>
        <w:autoSpaceDE w:val="0"/>
        <w:autoSpaceDN w:val="0"/>
        <w:adjustRightInd w:val="0"/>
        <w:spacing w:line="360" w:lineRule="auto"/>
        <w:jc w:val="center"/>
        <w:rPr>
          <w:rFonts w:ascii="宋体" w:hAnsi="宋体" w:eastAsia="宋体" w:cs="宋体"/>
          <w:b/>
          <w:bCs/>
          <w:color w:val="auto"/>
          <w:sz w:val="28"/>
          <w:szCs w:val="28"/>
          <w:highlight w:val="none"/>
        </w:rPr>
      </w:pPr>
      <w:r>
        <w:rPr>
          <w:rFonts w:hint="eastAsia" w:ascii="宋体" w:hAnsi="宋体" w:eastAsia="宋体" w:cs="宋体"/>
          <w:color w:val="auto"/>
          <w:sz w:val="30"/>
          <w:szCs w:val="30"/>
          <w:highlight w:val="none"/>
        </w:rPr>
        <w:br w:type="page"/>
      </w:r>
      <w:bookmarkStart w:id="901" w:name="_Toc27181_WPSOffice_Level1"/>
      <w:r>
        <w:rPr>
          <w:rFonts w:hint="eastAsia" w:ascii="宋体" w:hAnsi="宋体" w:eastAsia="宋体" w:cs="宋体"/>
          <w:color w:val="auto"/>
          <w:sz w:val="28"/>
          <w:szCs w:val="28"/>
          <w:highlight w:val="none"/>
          <w:lang w:val="zh-CN"/>
        </w:rPr>
        <w:t>一、</w:t>
      </w:r>
      <w:r>
        <w:rPr>
          <w:rFonts w:hint="eastAsia" w:ascii="宋体" w:hAnsi="宋体" w:eastAsia="宋体" w:cs="宋体"/>
          <w:b/>
          <w:bCs/>
          <w:color w:val="auto"/>
          <w:sz w:val="28"/>
          <w:szCs w:val="28"/>
          <w:highlight w:val="none"/>
          <w:lang w:val="zh-CN"/>
        </w:rPr>
        <w:t>总则</w:t>
      </w:r>
      <w:bookmarkEnd w:id="901"/>
    </w:p>
    <w:p w14:paraId="26099B9A">
      <w:pPr>
        <w:tabs>
          <w:tab w:val="left" w:pos="567"/>
          <w:tab w:val="left" w:pos="600"/>
        </w:tabs>
        <w:autoSpaceDE w:val="0"/>
        <w:autoSpaceDN w:val="0"/>
        <w:adjustRightInd w:val="0"/>
        <w:spacing w:line="360" w:lineRule="auto"/>
        <w:ind w:left="600" w:hanging="600"/>
        <w:rPr>
          <w:rFonts w:ascii="宋体" w:hAnsi="宋体" w:eastAsia="宋体" w:cs="宋体"/>
          <w:b/>
          <w:bCs/>
          <w:color w:val="auto"/>
          <w:szCs w:val="24"/>
          <w:highlight w:val="none"/>
          <w:lang w:val="zh-CN"/>
        </w:rPr>
      </w:pPr>
      <w:r>
        <w:rPr>
          <w:rFonts w:hint="eastAsia" w:ascii="宋体" w:hAnsi="宋体" w:eastAsia="宋体" w:cs="宋体"/>
          <w:b/>
          <w:bCs/>
          <w:color w:val="auto"/>
          <w:szCs w:val="24"/>
          <w:highlight w:val="none"/>
          <w:lang w:val="zh-CN"/>
        </w:rPr>
        <w:t>1、一般规定</w:t>
      </w:r>
    </w:p>
    <w:p w14:paraId="7E57FDC3">
      <w:pPr>
        <w:autoSpaceDE w:val="0"/>
        <w:autoSpaceDN w:val="0"/>
        <w:adjustRightInd w:val="0"/>
        <w:spacing w:line="360" w:lineRule="auto"/>
        <w:ind w:left="567" w:hanging="567"/>
        <w:rPr>
          <w:rFonts w:ascii="宋体" w:hAnsi="宋体" w:eastAsia="宋体" w:cs="宋体"/>
          <w:color w:val="auto"/>
          <w:kern w:val="0"/>
          <w:szCs w:val="32"/>
          <w:highlight w:val="none"/>
        </w:rPr>
      </w:pPr>
      <w:r>
        <w:rPr>
          <w:rFonts w:hint="eastAsia" w:ascii="宋体" w:hAnsi="宋体" w:eastAsia="宋体" w:cs="宋体"/>
          <w:color w:val="auto"/>
          <w:szCs w:val="21"/>
          <w:highlight w:val="none"/>
          <w:lang w:val="zh-CN"/>
        </w:rPr>
        <w:t>1.1</w:t>
      </w:r>
      <w:r>
        <w:rPr>
          <w:rFonts w:hint="eastAsia" w:ascii="宋体" w:hAnsi="宋体" w:eastAsia="宋体" w:cs="宋体"/>
          <w:color w:val="auto"/>
          <w:szCs w:val="21"/>
          <w:highlight w:val="none"/>
          <w:lang w:val="zh-CN"/>
        </w:rPr>
        <w:tab/>
      </w:r>
      <w:r>
        <w:rPr>
          <w:rFonts w:hint="eastAsia" w:ascii="宋体" w:hAnsi="宋体" w:eastAsia="宋体" w:cs="宋体"/>
          <w:color w:val="auto"/>
          <w:kern w:val="0"/>
          <w:szCs w:val="21"/>
          <w:highlight w:val="none"/>
          <w:lang w:eastAsia="zh-CN"/>
        </w:rPr>
        <w:t>东莞市众源环境投资有限公司半干化泥粉外运资源化处置服务供应商库 2025 年第二次扩增供应商项目</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招标</w:t>
      </w:r>
      <w:r>
        <w:rPr>
          <w:rFonts w:hint="eastAsia" w:ascii="宋体" w:hAnsi="宋体" w:eastAsia="宋体" w:cs="宋体"/>
          <w:color w:val="auto"/>
          <w:szCs w:val="21"/>
          <w:highlight w:val="none"/>
          <w:lang w:val="zh-CN"/>
        </w:rPr>
        <w:t>编号：SSSSSZ12502462</w:t>
      </w:r>
      <w:r>
        <w:rPr>
          <w:rFonts w:hint="eastAsia" w:ascii="宋体" w:hAnsi="宋体" w:eastAsia="宋体" w:cs="宋体"/>
          <w:color w:val="auto"/>
          <w:kern w:val="0"/>
          <w:szCs w:val="32"/>
          <w:highlight w:val="none"/>
        </w:rPr>
        <w:t>)的</w:t>
      </w:r>
      <w:r>
        <w:rPr>
          <w:rFonts w:hint="eastAsia" w:ascii="宋体" w:hAnsi="宋体" w:eastAsia="宋体" w:cs="宋体"/>
          <w:color w:val="auto"/>
          <w:szCs w:val="21"/>
          <w:highlight w:val="none"/>
          <w:lang w:val="zh-CN"/>
        </w:rPr>
        <w:t>招标</w:t>
      </w:r>
      <w:r>
        <w:rPr>
          <w:rFonts w:hint="eastAsia" w:ascii="宋体" w:hAnsi="宋体" w:eastAsia="宋体" w:cs="宋体"/>
          <w:color w:val="auto"/>
          <w:kern w:val="0"/>
          <w:szCs w:val="32"/>
          <w:highlight w:val="none"/>
          <w:lang w:val="en-US" w:eastAsia="zh-CN"/>
        </w:rPr>
        <w:t>按照</w:t>
      </w:r>
      <w:r>
        <w:rPr>
          <w:rFonts w:hint="eastAsia" w:ascii="宋体" w:hAnsi="宋体" w:eastAsia="宋体" w:cs="宋体"/>
          <w:color w:val="auto"/>
          <w:kern w:val="0"/>
          <w:szCs w:val="32"/>
          <w:highlight w:val="none"/>
        </w:rPr>
        <w:t>《中华人民共和国招标投标法》等有关规定进行。</w:t>
      </w:r>
    </w:p>
    <w:p w14:paraId="68A9AB02">
      <w:pPr>
        <w:autoSpaceDE w:val="0"/>
        <w:autoSpaceDN w:val="0"/>
        <w:adjustRightInd w:val="0"/>
        <w:spacing w:line="360" w:lineRule="auto"/>
        <w:ind w:left="567" w:hanging="567"/>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1.2</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w:t>
      </w:r>
      <w:r>
        <w:rPr>
          <w:rFonts w:hint="eastAsia" w:ascii="宋体" w:hAnsi="宋体" w:eastAsia="宋体" w:cs="宋体"/>
          <w:color w:val="auto"/>
          <w:szCs w:val="24"/>
          <w:highlight w:val="none"/>
          <w:lang w:val="en-US" w:eastAsia="zh-CN"/>
        </w:rPr>
        <w:t>标</w:t>
      </w:r>
      <w:r>
        <w:rPr>
          <w:rFonts w:hint="eastAsia" w:ascii="宋体" w:hAnsi="宋体" w:eastAsia="宋体" w:cs="宋体"/>
          <w:color w:val="auto"/>
          <w:szCs w:val="24"/>
          <w:highlight w:val="none"/>
          <w:lang w:val="zh-CN"/>
        </w:rPr>
        <w:t>必须遵循公平、公正、诚实信用的原则。</w:t>
      </w:r>
    </w:p>
    <w:p w14:paraId="1E637ECF">
      <w:pPr>
        <w:autoSpaceDE w:val="0"/>
        <w:autoSpaceDN w:val="0"/>
        <w:adjustRightInd w:val="0"/>
        <w:spacing w:line="360" w:lineRule="auto"/>
        <w:ind w:left="567" w:hanging="567"/>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1.3</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招标代理机构</w:t>
      </w:r>
      <w:r>
        <w:rPr>
          <w:rFonts w:hint="eastAsia" w:ascii="宋体" w:hAnsi="宋体" w:eastAsia="宋体" w:cs="宋体"/>
          <w:color w:val="auto"/>
          <w:kern w:val="0"/>
          <w:szCs w:val="32"/>
          <w:highlight w:val="none"/>
        </w:rPr>
        <w:t>(</w:t>
      </w:r>
      <w:r>
        <w:rPr>
          <w:rFonts w:hint="eastAsia" w:ascii="宋体" w:hAnsi="宋体" w:eastAsia="宋体" w:cs="宋体"/>
          <w:color w:val="auto"/>
          <w:kern w:val="0"/>
          <w:szCs w:val="32"/>
          <w:highlight w:val="none"/>
          <w:lang w:eastAsia="zh-CN"/>
        </w:rPr>
        <w:t>广州宏达工程顾问集团有限公司</w:t>
      </w:r>
      <w:r>
        <w:rPr>
          <w:rFonts w:hint="eastAsia" w:ascii="宋体" w:hAnsi="宋体" w:eastAsia="宋体" w:cs="宋体"/>
          <w:color w:val="auto"/>
          <w:kern w:val="0"/>
          <w:szCs w:val="32"/>
          <w:highlight w:val="none"/>
        </w:rPr>
        <w:t>）组</w:t>
      </w:r>
      <w:r>
        <w:rPr>
          <w:rFonts w:hint="eastAsia" w:ascii="宋体" w:hAnsi="宋体" w:eastAsia="宋体" w:cs="宋体"/>
          <w:color w:val="auto"/>
          <w:szCs w:val="24"/>
          <w:highlight w:val="none"/>
          <w:lang w:val="zh-CN"/>
        </w:rPr>
        <w:t>织评标工作，全过程接受</w:t>
      </w:r>
      <w:r>
        <w:rPr>
          <w:rFonts w:hint="eastAsia" w:ascii="宋体" w:hAnsi="宋体" w:eastAsia="宋体" w:cs="宋体"/>
          <w:color w:val="auto"/>
          <w:szCs w:val="24"/>
          <w:highlight w:val="none"/>
          <w:lang w:val="en-US" w:eastAsia="zh-CN"/>
        </w:rPr>
        <w:t>招标</w:t>
      </w:r>
      <w:r>
        <w:rPr>
          <w:rFonts w:hint="eastAsia" w:ascii="宋体" w:hAnsi="宋体" w:eastAsia="宋体" w:cs="宋体"/>
          <w:color w:val="auto"/>
          <w:szCs w:val="24"/>
          <w:highlight w:val="none"/>
          <w:lang w:val="zh-CN"/>
        </w:rPr>
        <w:t>人及相关部门的监督、管理和指导。</w:t>
      </w:r>
    </w:p>
    <w:p w14:paraId="443224E3">
      <w:pPr>
        <w:autoSpaceDE w:val="0"/>
        <w:autoSpaceDN w:val="0"/>
        <w:adjustRightInd w:val="0"/>
        <w:spacing w:line="360" w:lineRule="auto"/>
        <w:ind w:left="567" w:hanging="567"/>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1.4</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评标按照招标文件规定的内容进行，采取</w:t>
      </w:r>
      <w:r>
        <w:rPr>
          <w:rFonts w:hint="eastAsia" w:ascii="宋体" w:hAnsi="宋体" w:eastAsia="宋体" w:cs="宋体"/>
          <w:color w:val="auto"/>
          <w:szCs w:val="24"/>
          <w:highlight w:val="none"/>
          <w:lang w:val="en-US" w:eastAsia="zh-CN"/>
        </w:rPr>
        <w:t>综合评分法进行评审</w:t>
      </w:r>
      <w:r>
        <w:rPr>
          <w:rFonts w:hint="eastAsia" w:ascii="宋体" w:hAnsi="宋体" w:eastAsia="宋体" w:cs="宋体"/>
          <w:color w:val="auto"/>
          <w:szCs w:val="24"/>
          <w:highlight w:val="none"/>
          <w:lang w:val="zh-CN"/>
        </w:rPr>
        <w:t>。</w:t>
      </w:r>
    </w:p>
    <w:p w14:paraId="5B0F5B04">
      <w:pPr>
        <w:numPr>
          <w:ilvl w:val="1"/>
          <w:numId w:val="4"/>
        </w:numPr>
        <w:autoSpaceDE w:val="0"/>
        <w:autoSpaceDN w:val="0"/>
        <w:adjustRightInd w:val="0"/>
        <w:spacing w:line="360" w:lineRule="auto"/>
        <w:ind w:left="565" w:hanging="564" w:hangingChars="269"/>
        <w:jc w:val="left"/>
        <w:rPr>
          <w:rFonts w:ascii="宋体" w:hAnsi="宋体" w:eastAsia="宋体" w:cs="宋体"/>
          <w:color w:val="auto"/>
          <w:szCs w:val="24"/>
          <w:highlight w:val="none"/>
          <w:lang w:val="zh-CN"/>
        </w:rPr>
      </w:pPr>
      <w:r>
        <w:rPr>
          <w:rFonts w:hint="eastAsia" w:ascii="宋体" w:hAnsi="宋体" w:eastAsia="宋体" w:cs="宋体"/>
          <w:color w:val="auto"/>
          <w:szCs w:val="24"/>
          <w:highlight w:val="none"/>
        </w:rPr>
        <w:t xml:space="preserve"> </w:t>
      </w:r>
      <w:r>
        <w:rPr>
          <w:rFonts w:hint="eastAsia" w:ascii="宋体" w:hAnsi="宋体" w:eastAsia="宋体" w:cs="宋体"/>
          <w:color w:val="auto"/>
          <w:szCs w:val="24"/>
          <w:highlight w:val="none"/>
          <w:lang w:val="zh-CN"/>
        </w:rPr>
        <w:t>本办法的评审对象是指投标人按照招标文件要求提供的有效投标文件，包括投标人应评标委员会要求对原投标文件作出的正式书面澄清文件。</w:t>
      </w:r>
    </w:p>
    <w:p w14:paraId="62186235">
      <w:pPr>
        <w:autoSpaceDE w:val="0"/>
        <w:autoSpaceDN w:val="0"/>
        <w:adjustRightInd w:val="0"/>
        <w:spacing w:line="360" w:lineRule="auto"/>
        <w:rPr>
          <w:rFonts w:ascii="宋体" w:hAnsi="宋体" w:eastAsia="宋体" w:cs="宋体"/>
          <w:color w:val="auto"/>
          <w:sz w:val="24"/>
          <w:szCs w:val="24"/>
          <w:highlight w:val="none"/>
          <w:lang w:val="zh-CN"/>
        </w:rPr>
      </w:pPr>
    </w:p>
    <w:p w14:paraId="1202CCB9">
      <w:pPr>
        <w:tabs>
          <w:tab w:val="left" w:pos="360"/>
          <w:tab w:val="left" w:pos="600"/>
        </w:tabs>
        <w:autoSpaceDE w:val="0"/>
        <w:autoSpaceDN w:val="0"/>
        <w:adjustRightInd w:val="0"/>
        <w:spacing w:line="360" w:lineRule="auto"/>
        <w:ind w:left="600" w:hanging="600"/>
        <w:rPr>
          <w:rFonts w:ascii="宋体" w:hAnsi="宋体" w:eastAsia="宋体" w:cs="宋体"/>
          <w:b/>
          <w:bCs/>
          <w:color w:val="auto"/>
          <w:szCs w:val="24"/>
          <w:highlight w:val="none"/>
          <w:lang w:val="zh-CN"/>
        </w:rPr>
      </w:pPr>
      <w:r>
        <w:rPr>
          <w:rFonts w:hint="eastAsia" w:ascii="宋体" w:hAnsi="宋体" w:eastAsia="宋体" w:cs="宋体"/>
          <w:b/>
          <w:bCs/>
          <w:color w:val="auto"/>
          <w:szCs w:val="24"/>
          <w:highlight w:val="none"/>
          <w:lang w:val="zh-CN"/>
        </w:rPr>
        <w:t>2、</w:t>
      </w:r>
      <w:r>
        <w:rPr>
          <w:rFonts w:hint="eastAsia" w:ascii="宋体" w:hAnsi="宋体" w:eastAsia="宋体" w:cs="宋体"/>
          <w:b/>
          <w:bCs/>
          <w:color w:val="auto"/>
          <w:szCs w:val="24"/>
          <w:highlight w:val="none"/>
          <w:lang w:val="zh-CN"/>
        </w:rPr>
        <w:tab/>
      </w:r>
      <w:r>
        <w:rPr>
          <w:rFonts w:hint="eastAsia" w:ascii="宋体" w:hAnsi="宋体" w:eastAsia="宋体" w:cs="宋体"/>
          <w:b/>
          <w:bCs/>
          <w:color w:val="auto"/>
          <w:szCs w:val="24"/>
          <w:highlight w:val="none"/>
          <w:lang w:val="zh-CN"/>
        </w:rPr>
        <w:t>评</w:t>
      </w:r>
      <w:r>
        <w:rPr>
          <w:rFonts w:hint="eastAsia" w:ascii="宋体" w:hAnsi="宋体" w:eastAsia="宋体" w:cs="宋体"/>
          <w:b/>
          <w:bCs/>
          <w:color w:val="auto"/>
          <w:szCs w:val="24"/>
          <w:highlight w:val="none"/>
          <w:lang w:val="en-US" w:eastAsia="zh-CN"/>
        </w:rPr>
        <w:t>标</w:t>
      </w:r>
      <w:r>
        <w:rPr>
          <w:rFonts w:hint="eastAsia" w:ascii="宋体" w:hAnsi="宋体" w:eastAsia="宋体" w:cs="宋体"/>
          <w:b/>
          <w:bCs/>
          <w:color w:val="auto"/>
          <w:szCs w:val="24"/>
          <w:highlight w:val="none"/>
          <w:lang w:val="zh-CN"/>
        </w:rPr>
        <w:t>组织机构的组成</w:t>
      </w:r>
    </w:p>
    <w:p w14:paraId="1D16E983">
      <w:pPr>
        <w:tabs>
          <w:tab w:val="left" w:pos="567"/>
          <w:tab w:val="left" w:pos="1145"/>
        </w:tabs>
        <w:autoSpaceDE w:val="0"/>
        <w:autoSpaceDN w:val="0"/>
        <w:adjustRightInd w:val="0"/>
        <w:spacing w:line="360" w:lineRule="auto"/>
        <w:ind w:left="600" w:hanging="6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2.1</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评标委员会</w:t>
      </w:r>
      <w:r>
        <w:rPr>
          <w:rFonts w:hint="eastAsia" w:ascii="宋体" w:hAnsi="宋体" w:eastAsia="宋体" w:cs="宋体"/>
          <w:color w:val="auto"/>
          <w:kern w:val="0"/>
          <w:szCs w:val="24"/>
          <w:highlight w:val="none"/>
        </w:rPr>
        <w:t>由招标人和技术、经济等方面的专家组成，成员为</w:t>
      </w:r>
      <w:r>
        <w:rPr>
          <w:rFonts w:hint="eastAsia" w:ascii="宋体" w:hAnsi="宋体" w:eastAsia="宋体" w:cs="宋体"/>
          <w:color w:val="auto"/>
          <w:kern w:val="0"/>
          <w:szCs w:val="24"/>
          <w:highlight w:val="none"/>
          <w:lang w:val="en-US" w:eastAsia="zh-CN"/>
        </w:rPr>
        <w:t>7</w:t>
      </w:r>
      <w:r>
        <w:rPr>
          <w:rFonts w:ascii="宋体" w:hAnsi="宋体" w:eastAsia="宋体" w:cs="宋体"/>
          <w:color w:val="auto"/>
          <w:kern w:val="0"/>
          <w:szCs w:val="24"/>
          <w:highlight w:val="none"/>
        </w:rPr>
        <w:t>人以上（含</w:t>
      </w:r>
      <w:r>
        <w:rPr>
          <w:rFonts w:hint="eastAsia" w:ascii="宋体" w:hAnsi="宋体" w:eastAsia="宋体" w:cs="宋体"/>
          <w:color w:val="auto"/>
          <w:kern w:val="0"/>
          <w:szCs w:val="24"/>
          <w:highlight w:val="none"/>
          <w:lang w:val="en-US" w:eastAsia="zh-CN"/>
        </w:rPr>
        <w:t>7</w:t>
      </w:r>
      <w:r>
        <w:rPr>
          <w:rFonts w:ascii="宋体" w:hAnsi="宋体" w:eastAsia="宋体" w:cs="宋体"/>
          <w:color w:val="auto"/>
          <w:kern w:val="0"/>
          <w:szCs w:val="24"/>
          <w:highlight w:val="none"/>
        </w:rPr>
        <w:t>人）单数</w:t>
      </w:r>
      <w:r>
        <w:rPr>
          <w:rFonts w:hint="eastAsia" w:ascii="宋体" w:hAnsi="宋体" w:eastAsia="宋体" w:cs="宋体"/>
          <w:color w:val="auto"/>
          <w:kern w:val="0"/>
          <w:szCs w:val="24"/>
          <w:highlight w:val="none"/>
        </w:rPr>
        <w:t>，其中技术、经济等方面的专家不少于成员总数的三分之二。</w:t>
      </w:r>
      <w:r>
        <w:rPr>
          <w:rFonts w:hint="eastAsia" w:ascii="宋体" w:hAnsi="宋体" w:eastAsia="宋体" w:cs="宋体"/>
          <w:color w:val="auto"/>
          <w:szCs w:val="24"/>
          <w:highlight w:val="none"/>
          <w:lang w:val="zh-CN"/>
        </w:rPr>
        <w:t>专家依法从</w:t>
      </w:r>
      <w:r>
        <w:rPr>
          <w:rFonts w:hint="eastAsia" w:ascii="宋体" w:hAnsi="宋体" w:eastAsia="宋体" w:cs="宋体"/>
          <w:color w:val="auto"/>
          <w:kern w:val="0"/>
          <w:szCs w:val="24"/>
          <w:highlight w:val="none"/>
        </w:rPr>
        <w:t>专家库中随机抽取产生。</w:t>
      </w:r>
    </w:p>
    <w:p w14:paraId="04200449">
      <w:pPr>
        <w:tabs>
          <w:tab w:val="left" w:pos="567"/>
          <w:tab w:val="left" w:pos="1145"/>
        </w:tabs>
        <w:autoSpaceDE w:val="0"/>
        <w:autoSpaceDN w:val="0"/>
        <w:adjustRightInd w:val="0"/>
        <w:spacing w:line="360" w:lineRule="auto"/>
        <w:ind w:left="600" w:hanging="6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2.2</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评标工作组由</w:t>
      </w:r>
      <w:r>
        <w:rPr>
          <w:rFonts w:hint="eastAsia" w:ascii="宋体" w:hAnsi="宋体" w:eastAsia="宋体" w:cs="宋体"/>
          <w:color w:val="auto"/>
          <w:szCs w:val="24"/>
          <w:highlight w:val="none"/>
          <w:lang w:val="en-US" w:eastAsia="zh-CN"/>
        </w:rPr>
        <w:t>招标</w:t>
      </w:r>
      <w:r>
        <w:rPr>
          <w:rFonts w:hint="eastAsia" w:ascii="宋体" w:hAnsi="宋体" w:eastAsia="宋体" w:cs="宋体"/>
          <w:color w:val="auto"/>
          <w:szCs w:val="24"/>
          <w:highlight w:val="none"/>
          <w:lang w:val="zh-CN"/>
        </w:rPr>
        <w:t>人、</w:t>
      </w:r>
      <w:r>
        <w:rPr>
          <w:rFonts w:hint="eastAsia" w:ascii="宋体" w:hAnsi="宋体" w:eastAsia="宋体" w:cs="宋体"/>
          <w:color w:val="auto"/>
          <w:szCs w:val="24"/>
          <w:highlight w:val="none"/>
          <w:lang w:val="en-US" w:eastAsia="zh-CN"/>
        </w:rPr>
        <w:t>招标</w:t>
      </w:r>
      <w:r>
        <w:rPr>
          <w:rFonts w:hint="eastAsia" w:ascii="宋体" w:hAnsi="宋体" w:eastAsia="宋体" w:cs="宋体"/>
          <w:color w:val="auto"/>
          <w:szCs w:val="24"/>
          <w:highlight w:val="none"/>
          <w:lang w:val="zh-CN"/>
        </w:rPr>
        <w:t>代理机构及有关专家组成，由评标委员会确认，并接受其领导。</w:t>
      </w:r>
    </w:p>
    <w:p w14:paraId="0C914ABB">
      <w:pPr>
        <w:autoSpaceDE w:val="0"/>
        <w:autoSpaceDN w:val="0"/>
        <w:adjustRightInd w:val="0"/>
        <w:spacing w:line="360" w:lineRule="auto"/>
        <w:ind w:left="600" w:hanging="6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2.3</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评标工作组分成评标委员会、秘书组。</w:t>
      </w:r>
    </w:p>
    <w:p w14:paraId="2BB371FB">
      <w:pPr>
        <w:autoSpaceDE w:val="0"/>
        <w:autoSpaceDN w:val="0"/>
        <w:adjustRightInd w:val="0"/>
        <w:spacing w:line="360" w:lineRule="auto"/>
        <w:ind w:left="600" w:hanging="6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2.4</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评标委员会应相对独立工作，负责评审、撰写</w:t>
      </w:r>
      <w:r>
        <w:rPr>
          <w:rFonts w:hint="eastAsia" w:ascii="宋体" w:hAnsi="宋体" w:eastAsia="宋体" w:cs="宋体"/>
          <w:color w:val="auto"/>
          <w:szCs w:val="24"/>
          <w:highlight w:val="none"/>
          <w:lang w:val="en-US" w:eastAsia="zh-CN"/>
        </w:rPr>
        <w:t>评标</w:t>
      </w:r>
      <w:r>
        <w:rPr>
          <w:rFonts w:hint="eastAsia" w:ascii="宋体" w:hAnsi="宋体" w:eastAsia="宋体" w:cs="宋体"/>
          <w:color w:val="auto"/>
          <w:szCs w:val="24"/>
          <w:highlight w:val="none"/>
          <w:lang w:val="zh-CN"/>
        </w:rPr>
        <w:t>报告。</w:t>
      </w:r>
      <w:r>
        <w:rPr>
          <w:rFonts w:hint="eastAsia" w:ascii="宋体" w:hAnsi="宋体" w:eastAsia="宋体" w:cs="宋体"/>
          <w:color w:val="auto"/>
          <w:szCs w:val="24"/>
          <w:highlight w:val="none"/>
          <w:lang w:val="en-US" w:eastAsia="zh-CN"/>
        </w:rPr>
        <w:t>招标</w:t>
      </w:r>
      <w:r>
        <w:rPr>
          <w:rFonts w:hint="eastAsia" w:ascii="宋体" w:hAnsi="宋体" w:eastAsia="宋体" w:cs="宋体"/>
          <w:color w:val="auto"/>
          <w:szCs w:val="24"/>
          <w:highlight w:val="none"/>
          <w:lang w:val="zh-CN"/>
        </w:rPr>
        <w:t>代理机构秘书组负责评</w:t>
      </w:r>
      <w:r>
        <w:rPr>
          <w:rFonts w:hint="eastAsia" w:ascii="宋体" w:hAnsi="宋体" w:eastAsia="宋体" w:cs="宋体"/>
          <w:color w:val="auto"/>
          <w:szCs w:val="24"/>
          <w:highlight w:val="none"/>
          <w:lang w:val="en-US" w:eastAsia="zh-CN"/>
        </w:rPr>
        <w:t>标</w:t>
      </w:r>
      <w:r>
        <w:rPr>
          <w:rFonts w:hint="eastAsia" w:ascii="宋体" w:hAnsi="宋体" w:eastAsia="宋体" w:cs="宋体"/>
          <w:color w:val="auto"/>
          <w:szCs w:val="24"/>
          <w:highlight w:val="none"/>
          <w:lang w:val="zh-CN"/>
        </w:rPr>
        <w:t>过程中资料的保管、发放及回收，协调技术和评标委员会评</w:t>
      </w:r>
      <w:r>
        <w:rPr>
          <w:rFonts w:hint="eastAsia" w:ascii="宋体" w:hAnsi="宋体" w:eastAsia="宋体" w:cs="宋体"/>
          <w:color w:val="auto"/>
          <w:szCs w:val="24"/>
          <w:highlight w:val="none"/>
          <w:lang w:val="en-US" w:eastAsia="zh-CN"/>
        </w:rPr>
        <w:t>标</w:t>
      </w:r>
      <w:r>
        <w:rPr>
          <w:rFonts w:hint="eastAsia" w:ascii="宋体" w:hAnsi="宋体" w:eastAsia="宋体" w:cs="宋体"/>
          <w:color w:val="auto"/>
          <w:szCs w:val="24"/>
          <w:highlight w:val="none"/>
          <w:lang w:val="zh-CN"/>
        </w:rPr>
        <w:t>工作的进展和整理、汇总评标资料及复核。</w:t>
      </w:r>
    </w:p>
    <w:p w14:paraId="732D68DB">
      <w:pPr>
        <w:autoSpaceDE w:val="0"/>
        <w:autoSpaceDN w:val="0"/>
        <w:adjustRightInd w:val="0"/>
        <w:spacing w:line="360" w:lineRule="auto"/>
        <w:rPr>
          <w:rFonts w:ascii="宋体" w:hAnsi="宋体" w:eastAsia="宋体" w:cs="宋体"/>
          <w:color w:val="auto"/>
          <w:sz w:val="24"/>
          <w:szCs w:val="24"/>
          <w:highlight w:val="none"/>
          <w:lang w:val="zh-CN"/>
        </w:rPr>
      </w:pPr>
    </w:p>
    <w:p w14:paraId="315B7C5A">
      <w:pPr>
        <w:autoSpaceDE w:val="0"/>
        <w:autoSpaceDN w:val="0"/>
        <w:adjustRightInd w:val="0"/>
        <w:spacing w:line="360" w:lineRule="auto"/>
        <w:rPr>
          <w:rFonts w:ascii="宋体" w:hAnsi="宋体" w:eastAsia="宋体" w:cs="宋体"/>
          <w:color w:val="auto"/>
          <w:sz w:val="24"/>
          <w:szCs w:val="24"/>
          <w:highlight w:val="none"/>
          <w:lang w:val="zh-CN"/>
        </w:rPr>
      </w:pPr>
      <w:r>
        <w:rPr>
          <w:rFonts w:hint="eastAsia" w:ascii="宋体" w:hAnsi="宋体" w:eastAsia="宋体" w:cs="宋体"/>
          <w:b/>
          <w:color w:val="auto"/>
          <w:szCs w:val="21"/>
          <w:highlight w:val="none"/>
          <w:lang w:val="zh-CN"/>
        </w:rPr>
        <w:t>3、</w:t>
      </w:r>
      <w:r>
        <w:rPr>
          <w:rFonts w:hint="eastAsia" w:ascii="宋体" w:hAnsi="宋体" w:eastAsia="宋体" w:cs="宋体"/>
          <w:b/>
          <w:bCs/>
          <w:color w:val="auto"/>
          <w:szCs w:val="21"/>
          <w:highlight w:val="none"/>
          <w:lang w:val="zh-CN"/>
        </w:rPr>
        <w:t>评标委员会</w:t>
      </w:r>
      <w:r>
        <w:rPr>
          <w:rFonts w:hint="eastAsia" w:ascii="宋体" w:hAnsi="宋体" w:eastAsia="宋体" w:cs="宋体"/>
          <w:b/>
          <w:bCs/>
          <w:color w:val="auto"/>
          <w:szCs w:val="24"/>
          <w:highlight w:val="none"/>
          <w:lang w:val="zh-CN"/>
        </w:rPr>
        <w:t>职责</w:t>
      </w:r>
    </w:p>
    <w:p w14:paraId="639B50BB">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3.1  审查投标文件是否符合招标文件要求，并作出评价；</w:t>
      </w:r>
    </w:p>
    <w:p w14:paraId="7C6F86AB">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3.2  要求投标人对投标文件有关事项作出解释或者澄清；</w:t>
      </w:r>
    </w:p>
    <w:p w14:paraId="2C625D8B">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3.3</w:t>
      </w:r>
      <w:r>
        <w:rPr>
          <w:rFonts w:hint="eastAsia" w:ascii="宋体" w:hAnsi="宋体" w:eastAsia="宋体" w:cs="宋体"/>
          <w:color w:val="auto"/>
          <w:kern w:val="0"/>
          <w:szCs w:val="24"/>
          <w:highlight w:val="none"/>
          <w:lang w:val="zh-CN"/>
        </w:rPr>
        <w:tab/>
      </w:r>
      <w:r>
        <w:rPr>
          <w:rFonts w:hint="eastAsia" w:ascii="宋体" w:hAnsi="宋体" w:eastAsia="宋体" w:cs="宋体"/>
          <w:color w:val="auto"/>
          <w:kern w:val="0"/>
          <w:szCs w:val="24"/>
          <w:highlight w:val="none"/>
          <w:lang w:val="zh-CN"/>
        </w:rPr>
        <w:t xml:space="preserve"> 推荐中标候选人名单及排序；</w:t>
      </w:r>
    </w:p>
    <w:p w14:paraId="7485FC0D">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3.4</w:t>
      </w:r>
      <w:r>
        <w:rPr>
          <w:rFonts w:hint="eastAsia" w:ascii="宋体" w:hAnsi="宋体" w:eastAsia="宋体" w:cs="宋体"/>
          <w:color w:val="auto"/>
          <w:kern w:val="0"/>
          <w:szCs w:val="24"/>
          <w:highlight w:val="none"/>
          <w:lang w:val="zh-CN"/>
        </w:rPr>
        <w:tab/>
      </w:r>
      <w:r>
        <w:rPr>
          <w:rFonts w:hint="eastAsia" w:ascii="宋体" w:hAnsi="宋体" w:eastAsia="宋体" w:cs="宋体"/>
          <w:color w:val="auto"/>
          <w:kern w:val="0"/>
          <w:szCs w:val="24"/>
          <w:highlight w:val="none"/>
          <w:lang w:val="zh-CN"/>
        </w:rPr>
        <w:t xml:space="preserve"> 向招标人、招标代理机构或者有关部门报告非法干预</w:t>
      </w:r>
      <w:r>
        <w:rPr>
          <w:rFonts w:hint="eastAsia" w:ascii="宋体" w:hAnsi="宋体" w:eastAsia="宋体" w:cs="宋体"/>
          <w:color w:val="auto"/>
          <w:kern w:val="0"/>
          <w:szCs w:val="24"/>
          <w:highlight w:val="none"/>
          <w:lang w:val="en-US" w:eastAsia="zh-CN"/>
        </w:rPr>
        <w:t>评标</w:t>
      </w:r>
      <w:r>
        <w:rPr>
          <w:rFonts w:hint="eastAsia" w:ascii="宋体" w:hAnsi="宋体" w:eastAsia="宋体" w:cs="宋体"/>
          <w:color w:val="auto"/>
          <w:kern w:val="0"/>
          <w:szCs w:val="24"/>
          <w:highlight w:val="none"/>
          <w:lang w:val="zh-CN"/>
        </w:rPr>
        <w:t>工作的行为。</w:t>
      </w:r>
    </w:p>
    <w:p w14:paraId="0189D330">
      <w:pPr>
        <w:autoSpaceDE w:val="0"/>
        <w:autoSpaceDN w:val="0"/>
        <w:adjustRightInd w:val="0"/>
        <w:spacing w:line="360" w:lineRule="auto"/>
        <w:jc w:val="left"/>
        <w:rPr>
          <w:rFonts w:ascii="宋体" w:hAnsi="宋体" w:eastAsia="宋体" w:cs="宋体"/>
          <w:color w:val="auto"/>
          <w:kern w:val="0"/>
          <w:sz w:val="24"/>
          <w:szCs w:val="24"/>
          <w:highlight w:val="none"/>
          <w:lang w:val="zh-CN"/>
        </w:rPr>
      </w:pPr>
    </w:p>
    <w:p w14:paraId="18CCC751">
      <w:pPr>
        <w:tabs>
          <w:tab w:val="left" w:pos="720"/>
        </w:tabs>
        <w:autoSpaceDE w:val="0"/>
        <w:autoSpaceDN w:val="0"/>
        <w:adjustRightInd w:val="0"/>
        <w:spacing w:line="360" w:lineRule="auto"/>
        <w:rPr>
          <w:rFonts w:ascii="宋体" w:hAnsi="宋体" w:eastAsia="宋体" w:cs="宋体"/>
          <w:b/>
          <w:bCs/>
          <w:color w:val="auto"/>
          <w:szCs w:val="21"/>
          <w:highlight w:val="none"/>
          <w:lang w:val="zh-CN"/>
        </w:rPr>
      </w:pPr>
      <w:r>
        <w:rPr>
          <w:rFonts w:hint="eastAsia" w:ascii="宋体" w:hAnsi="宋体" w:eastAsia="宋体" w:cs="宋体"/>
          <w:b/>
          <w:bCs/>
          <w:color w:val="auto"/>
          <w:szCs w:val="21"/>
          <w:highlight w:val="none"/>
          <w:lang w:val="zh-CN"/>
        </w:rPr>
        <w:t>4、评标委员会义务</w:t>
      </w:r>
    </w:p>
    <w:p w14:paraId="472A468F">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4.1  遵纪守法，客观、公正、廉洁地履行职责；</w:t>
      </w:r>
    </w:p>
    <w:p w14:paraId="4D0173FF">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4.2  按照招标文件规定的评标方法和评标标准进行评审，对评审意见承担个人责任；</w:t>
      </w:r>
    </w:p>
    <w:p w14:paraId="595466DF">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4.3  对评标过程和结果，以及投标人的商业秘密保密；</w:t>
      </w:r>
    </w:p>
    <w:p w14:paraId="4A53E1F8">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4.4  参与评标报告的起草；</w:t>
      </w:r>
    </w:p>
    <w:p w14:paraId="4A50C8D3">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4.5  配合有关部门的投诉处理工作；</w:t>
      </w:r>
    </w:p>
    <w:p w14:paraId="34A4B4BE">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4.6  配合招标人、招标代理机构答复投标人提出的质疑、异议。</w:t>
      </w:r>
    </w:p>
    <w:p w14:paraId="4F65C48B">
      <w:pPr>
        <w:tabs>
          <w:tab w:val="left" w:pos="720"/>
        </w:tabs>
        <w:autoSpaceDE w:val="0"/>
        <w:autoSpaceDN w:val="0"/>
        <w:adjustRightInd w:val="0"/>
        <w:spacing w:line="360" w:lineRule="auto"/>
        <w:rPr>
          <w:rFonts w:ascii="宋体" w:hAnsi="宋体" w:eastAsia="宋体" w:cs="宋体"/>
          <w:color w:val="auto"/>
          <w:sz w:val="24"/>
          <w:szCs w:val="24"/>
          <w:highlight w:val="none"/>
          <w:lang w:val="zh-CN"/>
        </w:rPr>
      </w:pPr>
    </w:p>
    <w:p w14:paraId="3D7323BC">
      <w:pPr>
        <w:tabs>
          <w:tab w:val="left" w:pos="1547"/>
        </w:tabs>
        <w:autoSpaceDE w:val="0"/>
        <w:autoSpaceDN w:val="0"/>
        <w:adjustRightInd w:val="0"/>
        <w:spacing w:line="360" w:lineRule="auto"/>
        <w:rPr>
          <w:rFonts w:ascii="宋体" w:hAnsi="宋体" w:eastAsia="宋体" w:cs="Times New Roman"/>
          <w:b/>
          <w:color w:val="auto"/>
          <w:szCs w:val="24"/>
          <w:highlight w:val="none"/>
          <w:lang w:val="zh-CN"/>
        </w:rPr>
      </w:pPr>
      <w:r>
        <w:rPr>
          <w:rFonts w:hint="eastAsia" w:ascii="宋体" w:hAnsi="宋体" w:eastAsia="宋体" w:cs="宋体"/>
          <w:b/>
          <w:bCs/>
          <w:color w:val="auto"/>
          <w:szCs w:val="21"/>
          <w:highlight w:val="none"/>
          <w:lang w:val="zh-CN"/>
        </w:rPr>
        <w:t>5、评审程序</w:t>
      </w:r>
    </w:p>
    <w:p w14:paraId="5AA61EF4">
      <w:pPr>
        <w:autoSpaceDE w:val="0"/>
        <w:autoSpaceDN w:val="0"/>
        <w:adjustRightInd w:val="0"/>
        <w:spacing w:line="360" w:lineRule="auto"/>
        <w:ind w:left="567" w:hanging="567"/>
        <w:rPr>
          <w:rFonts w:hint="eastAsia" w:ascii="宋体" w:hAnsi="宋体" w:eastAsia="宋体" w:cs="Times New Roman"/>
          <w:b/>
          <w:color w:val="auto"/>
          <w:szCs w:val="24"/>
          <w:highlight w:val="none"/>
          <w:lang w:val="zh-CN"/>
        </w:rPr>
      </w:pPr>
      <w:r>
        <w:rPr>
          <w:rFonts w:hint="eastAsia" w:ascii="宋体" w:hAnsi="宋体" w:eastAsia="宋体" w:cs="Times New Roman"/>
          <w:b/>
          <w:color w:val="auto"/>
          <w:szCs w:val="24"/>
          <w:highlight w:val="none"/>
          <w:lang w:val="zh-CN"/>
        </w:rPr>
        <w:t>公开招标：</w:t>
      </w:r>
    </w:p>
    <w:p w14:paraId="6BE39316">
      <w:pPr>
        <w:autoSpaceDE w:val="0"/>
        <w:autoSpaceDN w:val="0"/>
        <w:adjustRightInd w:val="0"/>
        <w:spacing w:line="360" w:lineRule="auto"/>
        <w:ind w:left="567" w:hanging="567"/>
        <w:rPr>
          <w:rFonts w:hint="eastAsia" w:ascii="宋体" w:hAnsi="宋体" w:eastAsia="宋体" w:cs="Times New Roman"/>
          <w:bCs/>
          <w:color w:val="auto"/>
          <w:szCs w:val="24"/>
          <w:highlight w:val="none"/>
          <w:lang w:val="zh-CN"/>
        </w:rPr>
      </w:pPr>
      <w:r>
        <w:rPr>
          <w:rFonts w:ascii="宋体" w:hAnsi="宋体" w:eastAsia="宋体" w:cs="Times New Roman"/>
          <w:color w:val="auto"/>
          <w:szCs w:val="24"/>
          <w:highlight w:val="none"/>
          <w:lang w:val="zh-CN"/>
        </w:rPr>
        <w:t>5.</w:t>
      </w:r>
      <w:r>
        <w:rPr>
          <w:rFonts w:hint="eastAsia" w:ascii="宋体" w:hAnsi="宋体" w:eastAsia="宋体" w:cs="Times New Roman"/>
          <w:color w:val="auto"/>
          <w:szCs w:val="24"/>
          <w:highlight w:val="none"/>
          <w:lang w:val="zh-CN"/>
        </w:rPr>
        <w:t>1</w:t>
      </w:r>
      <w:r>
        <w:rPr>
          <w:rFonts w:ascii="宋体" w:hAnsi="宋体" w:eastAsia="宋体" w:cs="Times New Roman"/>
          <w:color w:val="auto"/>
          <w:szCs w:val="24"/>
          <w:highlight w:val="none"/>
          <w:lang w:val="zh-CN"/>
        </w:rPr>
        <w:tab/>
      </w:r>
      <w:r>
        <w:rPr>
          <w:rFonts w:hint="eastAsia" w:ascii="宋体" w:hAnsi="宋体" w:eastAsia="宋体" w:cs="Times New Roman"/>
          <w:bCs/>
          <w:color w:val="auto"/>
          <w:szCs w:val="24"/>
          <w:highlight w:val="none"/>
          <w:lang w:val="zh-CN"/>
        </w:rPr>
        <w:t>评审首先由评标委员会对投标人的</w:t>
      </w:r>
      <w:r>
        <w:rPr>
          <w:rFonts w:hint="eastAsia" w:ascii="宋体" w:hAnsi="宋体" w:eastAsia="宋体" w:cs="Times New Roman"/>
          <w:color w:val="auto"/>
          <w:szCs w:val="24"/>
          <w:highlight w:val="none"/>
          <w:lang w:val="zh-CN"/>
        </w:rPr>
        <w:t>投标</w:t>
      </w:r>
      <w:r>
        <w:rPr>
          <w:rFonts w:hint="eastAsia" w:ascii="宋体" w:hAnsi="宋体" w:eastAsia="宋体" w:cs="Times New Roman"/>
          <w:bCs/>
          <w:color w:val="auto"/>
          <w:szCs w:val="24"/>
          <w:highlight w:val="none"/>
          <w:lang w:val="zh-CN"/>
        </w:rPr>
        <w:t>文件做初审，对未能通过初审的投标文件不再进入下一阶段评审。</w:t>
      </w:r>
    </w:p>
    <w:p w14:paraId="3E3EACA5">
      <w:pPr>
        <w:autoSpaceDE w:val="0"/>
        <w:autoSpaceDN w:val="0"/>
        <w:adjustRightInd w:val="0"/>
        <w:spacing w:line="360" w:lineRule="auto"/>
        <w:ind w:left="567" w:hanging="567"/>
        <w:rPr>
          <w:rFonts w:hint="eastAsia"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5.</w:t>
      </w:r>
      <w:r>
        <w:rPr>
          <w:rFonts w:hint="eastAsia" w:ascii="宋体" w:hAnsi="宋体" w:eastAsia="宋体" w:cs="Times New Roman"/>
          <w:color w:val="auto"/>
          <w:szCs w:val="24"/>
          <w:highlight w:val="none"/>
          <w:lang w:val="zh-CN"/>
        </w:rPr>
        <w:t>2</w:t>
      </w:r>
      <w:r>
        <w:rPr>
          <w:rFonts w:ascii="宋体" w:hAnsi="宋体" w:eastAsia="宋体" w:cs="Times New Roman"/>
          <w:color w:val="auto"/>
          <w:szCs w:val="24"/>
          <w:highlight w:val="none"/>
          <w:lang w:val="zh-CN"/>
        </w:rPr>
        <w:tab/>
      </w:r>
      <w:r>
        <w:rPr>
          <w:rFonts w:hint="eastAsia" w:ascii="宋体" w:hAnsi="宋体" w:eastAsia="宋体" w:cs="Times New Roman"/>
          <w:bCs/>
          <w:color w:val="auto"/>
          <w:szCs w:val="24"/>
          <w:highlight w:val="none"/>
          <w:lang w:val="zh-CN"/>
        </w:rPr>
        <w:t>评标</w:t>
      </w:r>
      <w:r>
        <w:rPr>
          <w:rFonts w:hint="eastAsia" w:ascii="宋体" w:hAnsi="宋体" w:eastAsia="宋体" w:cs="Arial"/>
          <w:color w:val="auto"/>
          <w:szCs w:val="24"/>
          <w:highlight w:val="none"/>
          <w:lang w:val="zh-CN"/>
        </w:rPr>
        <w:t>委员会</w:t>
      </w:r>
      <w:r>
        <w:rPr>
          <w:rFonts w:hint="eastAsia" w:ascii="宋体" w:hAnsi="宋体" w:eastAsia="宋体" w:cs="Times New Roman"/>
          <w:color w:val="auto"/>
          <w:szCs w:val="24"/>
          <w:highlight w:val="none"/>
          <w:lang w:val="zh-CN"/>
        </w:rPr>
        <w:t>对</w:t>
      </w:r>
      <w:r>
        <w:rPr>
          <w:rFonts w:hint="eastAsia" w:ascii="宋体" w:hAnsi="宋体" w:eastAsia="宋体" w:cs="Arial"/>
          <w:color w:val="auto"/>
          <w:szCs w:val="24"/>
          <w:highlight w:val="none"/>
          <w:lang w:val="zh-CN"/>
        </w:rPr>
        <w:t>通过初审的</w:t>
      </w:r>
      <w:r>
        <w:rPr>
          <w:rFonts w:hint="eastAsia" w:ascii="宋体" w:hAnsi="宋体" w:eastAsia="宋体" w:cs="Times New Roman"/>
          <w:color w:val="auto"/>
          <w:szCs w:val="24"/>
          <w:highlight w:val="none"/>
          <w:lang w:val="zh-CN"/>
        </w:rPr>
        <w:t>投标人的投标文件进行详细的比较和评价。如需要，进行必要的澄清工作。</w:t>
      </w:r>
    </w:p>
    <w:p w14:paraId="0F247B0F">
      <w:pPr>
        <w:autoSpaceDE w:val="0"/>
        <w:autoSpaceDN w:val="0"/>
        <w:adjustRightInd w:val="0"/>
        <w:spacing w:line="360" w:lineRule="auto"/>
        <w:ind w:left="567" w:hanging="567"/>
        <w:rPr>
          <w:rFonts w:hint="eastAsia"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5.</w:t>
      </w:r>
      <w:r>
        <w:rPr>
          <w:rFonts w:hint="eastAsia" w:ascii="宋体" w:hAnsi="宋体" w:eastAsia="宋体" w:cs="Times New Roman"/>
          <w:color w:val="auto"/>
          <w:szCs w:val="24"/>
          <w:highlight w:val="none"/>
          <w:lang w:val="zh-CN"/>
        </w:rPr>
        <w:t>3  依据评分标准以及各项权重，各位评标委员会成员单独就每个投标人的商务状况、技术状况进行比较和评价，分别评出其商务得分和技术得分。</w:t>
      </w:r>
    </w:p>
    <w:p w14:paraId="1ECB7636">
      <w:pPr>
        <w:autoSpaceDE w:val="0"/>
        <w:autoSpaceDN w:val="0"/>
        <w:adjustRightInd w:val="0"/>
        <w:spacing w:line="360" w:lineRule="auto"/>
        <w:ind w:left="567" w:hanging="567"/>
        <w:rPr>
          <w:rFonts w:hint="eastAsia" w:ascii="宋体" w:hAnsi="宋体" w:eastAsia="宋体" w:cs="Times New Roman"/>
          <w:color w:val="auto"/>
          <w:kern w:val="0"/>
          <w:szCs w:val="24"/>
          <w:highlight w:val="none"/>
          <w:lang w:val="zh-CN"/>
        </w:rPr>
      </w:pPr>
      <w:r>
        <w:rPr>
          <w:rFonts w:hint="eastAsia" w:ascii="宋体" w:hAnsi="宋体" w:eastAsia="宋体" w:cs="Times New Roman"/>
          <w:color w:val="auto"/>
          <w:kern w:val="0"/>
          <w:szCs w:val="24"/>
          <w:highlight w:val="none"/>
          <w:lang w:val="zh-CN"/>
        </w:rPr>
        <w:t>5.</w:t>
      </w:r>
      <w:r>
        <w:rPr>
          <w:rFonts w:hint="eastAsia" w:ascii="宋体" w:hAnsi="宋体" w:eastAsia="宋体" w:cs="Times New Roman"/>
          <w:color w:val="auto"/>
          <w:kern w:val="0"/>
          <w:szCs w:val="24"/>
          <w:highlight w:val="none"/>
        </w:rPr>
        <w:t>4</w:t>
      </w:r>
      <w:r>
        <w:rPr>
          <w:rFonts w:hint="eastAsia" w:ascii="宋体" w:hAnsi="宋体" w:eastAsia="宋体" w:cs="Times New Roman"/>
          <w:color w:val="auto"/>
          <w:kern w:val="0"/>
          <w:szCs w:val="24"/>
          <w:highlight w:val="none"/>
          <w:lang w:val="zh-CN"/>
        </w:rPr>
        <w:t xml:space="preserve">  将各</w:t>
      </w:r>
      <w:r>
        <w:rPr>
          <w:rFonts w:hint="eastAsia" w:ascii="宋体" w:hAnsi="宋体" w:eastAsia="宋体" w:cs="Times New Roman"/>
          <w:color w:val="auto"/>
          <w:szCs w:val="24"/>
          <w:highlight w:val="none"/>
          <w:lang w:val="zh-CN"/>
        </w:rPr>
        <w:t>评委对</w:t>
      </w:r>
      <w:r>
        <w:rPr>
          <w:rFonts w:hint="eastAsia" w:ascii="宋体" w:hAnsi="宋体" w:eastAsia="宋体" w:cs="Times New Roman"/>
          <w:color w:val="auto"/>
          <w:kern w:val="0"/>
          <w:szCs w:val="24"/>
          <w:highlight w:val="none"/>
          <w:lang w:val="zh-CN"/>
        </w:rPr>
        <w:t>投标人的技术打分的最终综合得分、商务打分的算术平均值相加得出投标人的总分。</w:t>
      </w:r>
    </w:p>
    <w:p w14:paraId="22AE09FF">
      <w:pPr>
        <w:autoSpaceDE w:val="0"/>
        <w:autoSpaceDN w:val="0"/>
        <w:adjustRightInd w:val="0"/>
        <w:spacing w:line="360" w:lineRule="auto"/>
        <w:ind w:left="567" w:hanging="567"/>
        <w:rPr>
          <w:rFonts w:hint="eastAsia" w:ascii="宋体" w:hAnsi="宋体" w:eastAsia="宋体" w:cs="Times New Roman"/>
          <w:color w:val="auto"/>
          <w:kern w:val="0"/>
          <w:szCs w:val="21"/>
          <w:highlight w:val="none"/>
        </w:rPr>
      </w:pPr>
      <w:r>
        <w:rPr>
          <w:rFonts w:hint="eastAsia" w:ascii="宋体" w:hAnsi="宋体" w:eastAsia="宋体" w:cs="Times New Roman"/>
          <w:bCs/>
          <w:color w:val="auto"/>
          <w:kern w:val="0"/>
          <w:szCs w:val="24"/>
          <w:highlight w:val="none"/>
        </w:rPr>
        <w:t xml:space="preserve">5.5  </w:t>
      </w:r>
      <w:r>
        <w:rPr>
          <w:rFonts w:hint="eastAsia" w:ascii="宋体" w:hAnsi="宋体" w:eastAsia="宋体" w:cs="Times New Roman"/>
          <w:bCs/>
          <w:color w:val="auto"/>
          <w:szCs w:val="24"/>
          <w:highlight w:val="none"/>
          <w:lang w:val="zh-CN"/>
        </w:rPr>
        <w:t>评标</w:t>
      </w:r>
      <w:r>
        <w:rPr>
          <w:rFonts w:hint="eastAsia" w:ascii="宋体" w:hAnsi="宋体" w:eastAsia="宋体" w:cs="Arial"/>
          <w:color w:val="auto"/>
          <w:szCs w:val="24"/>
          <w:highlight w:val="none"/>
          <w:lang w:val="zh-CN"/>
        </w:rPr>
        <w:t>委员会</w:t>
      </w:r>
      <w:r>
        <w:rPr>
          <w:rFonts w:hint="eastAsia" w:ascii="宋体" w:hAnsi="宋体" w:eastAsia="宋体" w:cs="Times New Roman"/>
          <w:color w:val="auto"/>
          <w:kern w:val="0"/>
          <w:szCs w:val="21"/>
          <w:highlight w:val="none"/>
        </w:rPr>
        <w:t>将</w:t>
      </w:r>
      <w:r>
        <w:rPr>
          <w:rFonts w:hint="eastAsia" w:ascii="宋体" w:hAnsi="宋体" w:eastAsia="宋体" w:cs="Times New Roman"/>
          <w:color w:val="auto"/>
          <w:kern w:val="0"/>
          <w:szCs w:val="21"/>
          <w:highlight w:val="none"/>
          <w:lang w:val="en-US" w:eastAsia="zh-CN"/>
        </w:rPr>
        <w:t>根据本附件 五、推荐中标候选人名单的规定向招标人推荐本项目的中标候选人</w:t>
      </w:r>
      <w:r>
        <w:rPr>
          <w:rFonts w:hint="eastAsia" w:ascii="宋体" w:hAnsi="宋体" w:eastAsia="宋体" w:cs="Times New Roman"/>
          <w:color w:val="auto"/>
          <w:kern w:val="0"/>
          <w:szCs w:val="21"/>
          <w:highlight w:val="none"/>
        </w:rPr>
        <w:t>。</w:t>
      </w:r>
    </w:p>
    <w:p w14:paraId="67A1AF9A">
      <w:pPr>
        <w:autoSpaceDE w:val="0"/>
        <w:autoSpaceDN w:val="0"/>
        <w:adjustRightInd w:val="0"/>
        <w:spacing w:line="360" w:lineRule="auto"/>
        <w:ind w:left="525" w:hanging="525" w:hangingChars="250"/>
        <w:jc w:val="left"/>
        <w:rPr>
          <w:rFonts w:hint="eastAsia" w:ascii="宋体" w:hAnsi="宋体" w:eastAsia="宋体" w:cs="Times New Roman"/>
          <w:color w:val="auto"/>
          <w:szCs w:val="24"/>
          <w:highlight w:val="none"/>
          <w:lang w:val="zh-CN"/>
        </w:rPr>
      </w:pPr>
      <w:r>
        <w:rPr>
          <w:rFonts w:hint="eastAsia" w:ascii="宋体" w:hAnsi="宋体" w:eastAsia="宋体" w:cs="Times New Roman"/>
          <w:color w:val="auto"/>
          <w:kern w:val="0"/>
          <w:szCs w:val="24"/>
          <w:highlight w:val="none"/>
          <w:lang w:val="zh-CN"/>
        </w:rPr>
        <w:t>5.</w:t>
      </w:r>
      <w:r>
        <w:rPr>
          <w:rFonts w:hint="eastAsia" w:ascii="宋体" w:hAnsi="宋体" w:eastAsia="宋体" w:cs="Times New Roman"/>
          <w:color w:val="auto"/>
          <w:szCs w:val="24"/>
          <w:highlight w:val="none"/>
        </w:rPr>
        <w:t>6</w:t>
      </w:r>
      <w:r>
        <w:rPr>
          <w:rFonts w:ascii="宋体" w:hAnsi="宋体" w:eastAsia="宋体" w:cs="Times New Roman"/>
          <w:color w:val="auto"/>
          <w:szCs w:val="24"/>
          <w:highlight w:val="none"/>
          <w:lang w:val="zh-CN"/>
        </w:rPr>
        <w:tab/>
      </w:r>
      <w:r>
        <w:rPr>
          <w:rFonts w:hint="eastAsia" w:ascii="宋体" w:hAnsi="宋体" w:eastAsia="宋体" w:cs="Times New Roman"/>
          <w:color w:val="auto"/>
          <w:kern w:val="0"/>
          <w:szCs w:val="24"/>
          <w:highlight w:val="none"/>
          <w:lang w:val="zh-CN"/>
        </w:rPr>
        <w:t>评标委员会</w:t>
      </w:r>
      <w:r>
        <w:rPr>
          <w:rFonts w:hint="eastAsia" w:ascii="宋体" w:hAnsi="宋体" w:eastAsia="宋体" w:cs="Times New Roman"/>
          <w:color w:val="auto"/>
          <w:szCs w:val="24"/>
          <w:highlight w:val="none"/>
          <w:lang w:val="zh-CN"/>
        </w:rPr>
        <w:t>根据评审结果编写评标报告。</w:t>
      </w:r>
    </w:p>
    <w:p w14:paraId="74EB3C2C">
      <w:pPr>
        <w:autoSpaceDE w:val="0"/>
        <w:autoSpaceDN w:val="0"/>
        <w:adjustRightInd w:val="0"/>
        <w:spacing w:line="360" w:lineRule="auto"/>
        <w:ind w:left="525" w:hanging="525" w:hangingChars="250"/>
        <w:jc w:val="left"/>
        <w:rPr>
          <w:rFonts w:ascii="宋体" w:hAnsi="宋体" w:eastAsia="宋体" w:cs="Times New Roman"/>
          <w:color w:val="auto"/>
          <w:szCs w:val="24"/>
          <w:highlight w:val="none"/>
          <w:lang w:val="zh-CN"/>
        </w:rPr>
      </w:pPr>
    </w:p>
    <w:p w14:paraId="1A817391">
      <w:pPr>
        <w:tabs>
          <w:tab w:val="left" w:pos="1140"/>
        </w:tabs>
        <w:autoSpaceDE w:val="0"/>
        <w:autoSpaceDN w:val="0"/>
        <w:adjustRightInd w:val="0"/>
        <w:spacing w:line="360" w:lineRule="auto"/>
        <w:jc w:val="center"/>
        <w:rPr>
          <w:rFonts w:ascii="宋体" w:hAnsi="宋体" w:eastAsia="宋体" w:cs="宋体"/>
          <w:b/>
          <w:bCs/>
          <w:color w:val="auto"/>
          <w:sz w:val="28"/>
          <w:szCs w:val="28"/>
          <w:highlight w:val="none"/>
        </w:rPr>
      </w:pPr>
      <w:bookmarkStart w:id="902" w:name="_Toc19435_WPSOffice_Level1"/>
      <w:r>
        <w:rPr>
          <w:rFonts w:hint="eastAsia" w:ascii="宋体" w:hAnsi="宋体" w:eastAsia="宋体" w:cs="宋体"/>
          <w:b/>
          <w:bCs/>
          <w:color w:val="auto"/>
          <w:sz w:val="28"/>
          <w:szCs w:val="28"/>
          <w:highlight w:val="none"/>
          <w:lang w:val="zh-CN"/>
        </w:rPr>
        <w:t>二、投标文件的初审</w:t>
      </w:r>
      <w:bookmarkEnd w:id="902"/>
    </w:p>
    <w:p w14:paraId="7B66C80F">
      <w:pPr>
        <w:autoSpaceDE w:val="0"/>
        <w:autoSpaceDN w:val="0"/>
        <w:adjustRightInd w:val="0"/>
        <w:spacing w:line="360" w:lineRule="auto"/>
        <w:rPr>
          <w:rFonts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rPr>
        <w:t>6、投标文件的初审分为资格性检查和符合性检查。</w:t>
      </w:r>
    </w:p>
    <w:p w14:paraId="02429862">
      <w:pPr>
        <w:autoSpaceDE w:val="0"/>
        <w:autoSpaceDN w:val="0"/>
        <w:adjustRightInd w:val="0"/>
        <w:spacing w:line="360" w:lineRule="auto"/>
        <w:ind w:left="529" w:hanging="529" w:hangingChars="252"/>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6.1  资格性检查是指评标委员会依据法律法规和招标文件的规定，对投标文件中的资格证明、投标保证金、投标人（含其不具有独立法人资格的分支机构）信用（由</w:t>
      </w:r>
      <w:r>
        <w:rPr>
          <w:rFonts w:hint="eastAsia" w:ascii="宋体" w:hAnsi="宋体" w:eastAsia="宋体" w:cs="宋体"/>
          <w:color w:val="auto"/>
          <w:szCs w:val="24"/>
          <w:highlight w:val="none"/>
          <w:lang w:val="en-US" w:eastAsia="zh-CN"/>
        </w:rPr>
        <w:t>招标</w:t>
      </w:r>
      <w:r>
        <w:rPr>
          <w:rFonts w:hint="eastAsia" w:ascii="宋体" w:hAnsi="宋体" w:eastAsia="宋体" w:cs="宋体"/>
          <w:color w:val="auto"/>
          <w:szCs w:val="24"/>
          <w:highlight w:val="none"/>
          <w:lang w:val="zh-CN"/>
        </w:rPr>
        <w:t>代理机构在递交投标文件截止时间当天通过“信用中国”网站对投标人信用进行查询，</w:t>
      </w:r>
      <w:r>
        <w:rPr>
          <w:rFonts w:hint="eastAsia" w:ascii="宋体" w:hAnsi="宋体" w:eastAsia="宋体" w:cs="宋体"/>
          <w:color w:val="auto"/>
          <w:szCs w:val="24"/>
          <w:highlight w:val="none"/>
          <w:lang w:val="en-US" w:eastAsia="zh-CN"/>
        </w:rPr>
        <w:t>招标</w:t>
      </w:r>
      <w:r>
        <w:rPr>
          <w:rFonts w:hint="eastAsia" w:ascii="宋体" w:hAnsi="宋体" w:eastAsia="宋体" w:cs="宋体"/>
          <w:color w:val="auto"/>
          <w:szCs w:val="24"/>
          <w:highlight w:val="none"/>
          <w:lang w:val="zh-CN"/>
        </w:rPr>
        <w:t>代理机构将查询情况提交评标委员会评审）等进行审查，以确定投标人是否具备</w:t>
      </w:r>
      <w:r>
        <w:rPr>
          <w:rFonts w:hint="eastAsia" w:ascii="宋体" w:hAnsi="宋体" w:eastAsia="宋体" w:cs="宋体"/>
          <w:color w:val="auto"/>
          <w:szCs w:val="24"/>
          <w:highlight w:val="none"/>
          <w:lang w:val="en-US" w:eastAsia="zh-CN"/>
        </w:rPr>
        <w:t>投标</w:t>
      </w:r>
      <w:r>
        <w:rPr>
          <w:rFonts w:hint="eastAsia" w:ascii="宋体" w:hAnsi="宋体" w:eastAsia="宋体" w:cs="宋体"/>
          <w:color w:val="auto"/>
          <w:szCs w:val="24"/>
          <w:highlight w:val="none"/>
          <w:lang w:val="zh-CN"/>
        </w:rPr>
        <w:t>资格。</w:t>
      </w:r>
    </w:p>
    <w:p w14:paraId="2A465DF7">
      <w:pPr>
        <w:autoSpaceDE w:val="0"/>
        <w:autoSpaceDN w:val="0"/>
        <w:adjustRightInd w:val="0"/>
        <w:spacing w:line="360" w:lineRule="auto"/>
        <w:ind w:left="529" w:hanging="529" w:hangingChars="252"/>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6.2  符合性检查是指评标委员会依据招标文件规定，从投标文件的有效性、完整性和对招标文件的响应程度进行审查，以确定是否对招标文件的实质性要求作出响应。</w:t>
      </w:r>
    </w:p>
    <w:p w14:paraId="59E35E79">
      <w:pPr>
        <w:autoSpaceDE w:val="0"/>
        <w:autoSpaceDN w:val="0"/>
        <w:adjustRightInd w:val="0"/>
        <w:spacing w:line="360" w:lineRule="auto"/>
        <w:ind w:left="420" w:leftChars="200" w:firstLine="420" w:firstLineChars="2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实质性响应的</w:t>
      </w:r>
      <w:r>
        <w:rPr>
          <w:rFonts w:hint="eastAsia" w:ascii="宋体" w:hAnsi="宋体" w:eastAsia="宋体" w:cs="宋体"/>
          <w:color w:val="auto"/>
          <w:szCs w:val="24"/>
          <w:highlight w:val="none"/>
          <w:lang w:val="en-US" w:eastAsia="zh-CN"/>
        </w:rPr>
        <w:t>投标</w:t>
      </w:r>
      <w:r>
        <w:rPr>
          <w:rFonts w:hint="eastAsia" w:ascii="宋体" w:hAnsi="宋体" w:eastAsia="宋体" w:cs="宋体"/>
          <w:color w:val="auto"/>
          <w:szCs w:val="24"/>
          <w:highlight w:val="none"/>
          <w:lang w:val="zh-CN"/>
        </w:rPr>
        <w:t>指的是符合招标文件要求的全部“★”条款和验收标准而无任何重大偏离或保留。重大偏离或保留系指实质上影响到合同项下的服务范围、质量，或指与招标文件有实质不一致，限制了合同项下委托人的权利和承包人的义务, 或对该重大偏离的修改对提交实质性响应</w:t>
      </w:r>
      <w:r>
        <w:rPr>
          <w:rFonts w:hint="eastAsia" w:ascii="宋体" w:hAnsi="宋体" w:eastAsia="宋体" w:cs="宋体"/>
          <w:color w:val="auto"/>
          <w:szCs w:val="24"/>
          <w:highlight w:val="none"/>
          <w:lang w:val="en-US" w:eastAsia="zh-CN"/>
        </w:rPr>
        <w:t>投标</w:t>
      </w:r>
      <w:r>
        <w:rPr>
          <w:rFonts w:hint="eastAsia" w:ascii="宋体" w:hAnsi="宋体" w:eastAsia="宋体" w:cs="宋体"/>
          <w:color w:val="auto"/>
          <w:szCs w:val="24"/>
          <w:highlight w:val="none"/>
          <w:lang w:val="zh-CN"/>
        </w:rPr>
        <w:t>的其他投标人将不公平。</w:t>
      </w:r>
    </w:p>
    <w:p w14:paraId="6E97C6DF">
      <w:pPr>
        <w:autoSpaceDE w:val="0"/>
        <w:autoSpaceDN w:val="0"/>
        <w:adjustRightInd w:val="0"/>
        <w:spacing w:line="360" w:lineRule="auto"/>
        <w:ind w:firstLine="840" w:firstLineChars="4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评标委员会决定投标文件的响应性是基于投标文件的内容本身而不靠外部的证据。</w:t>
      </w:r>
    </w:p>
    <w:p w14:paraId="22BD9E1F">
      <w:pPr>
        <w:autoSpaceDE w:val="0"/>
        <w:autoSpaceDN w:val="0"/>
        <w:adjustRightInd w:val="0"/>
        <w:spacing w:line="360" w:lineRule="auto"/>
        <w:ind w:left="420" w:leftChars="200" w:firstLine="422" w:firstLineChars="200"/>
        <w:rPr>
          <w:rFonts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rPr>
        <w:t>对是否符合实质性响应招标文件有争议的投标文件,评标委员会成员将以记名方式表决,根据少数服</w:t>
      </w:r>
      <w:r>
        <w:rPr>
          <w:rFonts w:hint="eastAsia" w:ascii="宋体" w:hAnsi="宋体" w:eastAsia="宋体" w:cs="宋体"/>
          <w:b/>
          <w:color w:val="auto"/>
          <w:szCs w:val="24"/>
          <w:highlight w:val="none"/>
        </w:rPr>
        <w:t>从</w:t>
      </w:r>
      <w:r>
        <w:rPr>
          <w:rFonts w:hint="eastAsia" w:ascii="宋体" w:hAnsi="宋体" w:eastAsia="宋体" w:cs="宋体"/>
          <w:b/>
          <w:color w:val="auto"/>
          <w:szCs w:val="24"/>
          <w:highlight w:val="none"/>
          <w:lang w:val="zh-CN"/>
        </w:rPr>
        <w:t>多数的原则，获多数表决通过的投标人才有资格进入下一阶段的评审,否则将被认定为无效投标文件。</w:t>
      </w:r>
    </w:p>
    <w:p w14:paraId="5C39D471">
      <w:pPr>
        <w:numPr>
          <w:ilvl w:val="0"/>
          <w:numId w:val="0"/>
        </w:numPr>
        <w:autoSpaceDE w:val="0"/>
        <w:autoSpaceDN w:val="0"/>
        <w:adjustRightInd w:val="0"/>
        <w:spacing w:line="360" w:lineRule="auto"/>
        <w:rPr>
          <w:rFonts w:hint="eastAsia" w:ascii="宋体" w:hAnsi="宋体" w:eastAsia="宋体" w:cs="宋体"/>
          <w:b/>
          <w:color w:val="auto"/>
          <w:szCs w:val="21"/>
          <w:highlight w:val="none"/>
        </w:rPr>
      </w:pPr>
      <w:r>
        <w:rPr>
          <w:rFonts w:hint="eastAsia" w:ascii="宋体" w:hAnsi="宋体" w:eastAsia="宋体" w:cs="宋体"/>
          <w:b/>
          <w:color w:val="auto"/>
          <w:kern w:val="2"/>
          <w:sz w:val="21"/>
          <w:szCs w:val="21"/>
          <w:highlight w:val="none"/>
          <w:lang w:val="en-US" w:eastAsia="zh-CN" w:bidi="ar-SA"/>
        </w:rPr>
        <w:t>7、</w:t>
      </w:r>
      <w:r>
        <w:rPr>
          <w:rFonts w:hint="eastAsia" w:ascii="宋体" w:hAnsi="宋体" w:eastAsia="宋体" w:cs="宋体"/>
          <w:b/>
          <w:color w:val="auto"/>
          <w:szCs w:val="21"/>
          <w:highlight w:val="none"/>
          <w:lang w:eastAsia="zh-CN"/>
        </w:rPr>
        <w:t>投标文件</w:t>
      </w:r>
      <w:r>
        <w:rPr>
          <w:rFonts w:hint="eastAsia" w:ascii="宋体" w:hAnsi="宋体" w:eastAsia="宋体" w:cs="宋体"/>
          <w:b/>
          <w:color w:val="auto"/>
          <w:szCs w:val="21"/>
          <w:highlight w:val="none"/>
        </w:rPr>
        <w:t>出现下列情况之一的，被认定为无效</w:t>
      </w:r>
      <w:r>
        <w:rPr>
          <w:rFonts w:hint="eastAsia" w:ascii="宋体" w:hAnsi="宋体" w:eastAsia="宋体" w:cs="宋体"/>
          <w:b/>
          <w:color w:val="auto"/>
          <w:szCs w:val="21"/>
          <w:highlight w:val="none"/>
          <w:lang w:val="zh-CN"/>
        </w:rPr>
        <w:t>投标</w:t>
      </w:r>
      <w:r>
        <w:rPr>
          <w:rFonts w:hint="eastAsia" w:ascii="宋体" w:hAnsi="宋体" w:eastAsia="宋体" w:cs="宋体"/>
          <w:b/>
          <w:color w:val="auto"/>
          <w:szCs w:val="21"/>
          <w:highlight w:val="none"/>
        </w:rPr>
        <w:t>：</w:t>
      </w:r>
    </w:p>
    <w:p w14:paraId="07A5BEE2">
      <w:pPr>
        <w:numPr>
          <w:ilvl w:val="0"/>
          <w:numId w:val="0"/>
        </w:num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 上传的投标文件损坏或无法读取的；</w:t>
      </w:r>
    </w:p>
    <w:p w14:paraId="326E7F37">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.2 经招标人确认，投标人在公共资源交易企业库填报的与本项目密切相关的信息与事实不相符的；</w:t>
      </w:r>
    </w:p>
    <w:p w14:paraId="148E179F">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.3 投标文件中使用的本项目招标文件版本，与交易系统上发布的本项目招标文件的最新版本不一致的；</w:t>
      </w:r>
    </w:p>
    <w:p w14:paraId="7F0AD8FC">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 xml:space="preserve">7.4 </w:t>
      </w:r>
      <w:r>
        <w:rPr>
          <w:rFonts w:hint="eastAsia" w:ascii="宋体" w:hAnsi="宋体" w:eastAsia="宋体" w:cs="宋体"/>
          <w:b/>
          <w:color w:val="auto"/>
          <w:szCs w:val="21"/>
          <w:highlight w:val="none"/>
          <w:lang w:val="zh-CN"/>
        </w:rPr>
        <w:t>投标文件签名使用的数字证书与签到的投标人名称不一致的；</w:t>
      </w:r>
    </w:p>
    <w:p w14:paraId="2C85152C">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5</w:t>
      </w:r>
      <w:r>
        <w:rPr>
          <w:rFonts w:hint="eastAsia" w:ascii="宋体" w:hAnsi="宋体" w:eastAsia="宋体" w:cs="宋体"/>
          <w:b/>
          <w:color w:val="auto"/>
          <w:szCs w:val="21"/>
          <w:highlight w:val="none"/>
          <w:lang w:val="zh-CN"/>
        </w:rPr>
        <w:t xml:space="preserve"> 投标人的投标编制MAC信息、投标编制CPU序列号、投标编制硬盘序列号均与其他投标人相同的；</w:t>
      </w:r>
    </w:p>
    <w:p w14:paraId="62B82974">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lang w:val="zh-CN"/>
        </w:rPr>
        <w:t xml:space="preserve"> 投标文件附有招标人不能接受的条件的；</w:t>
      </w:r>
    </w:p>
    <w:p w14:paraId="548A8B42">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 xml:space="preserve"> 投标人资格不满足第二篇投标人须知第2</w:t>
      </w:r>
      <w:r>
        <w:rPr>
          <w:rFonts w:hint="eastAsia" w:ascii="宋体" w:hAnsi="宋体" w:eastAsia="宋体" w:cs="宋体"/>
          <w:b/>
          <w:color w:val="auto"/>
          <w:szCs w:val="21"/>
          <w:highlight w:val="none"/>
          <w:lang w:val="en-US" w:eastAsia="zh-CN"/>
        </w:rPr>
        <w:t>条</w:t>
      </w:r>
      <w:r>
        <w:rPr>
          <w:rFonts w:hint="eastAsia" w:ascii="宋体" w:hAnsi="宋体" w:eastAsia="宋体" w:cs="宋体"/>
          <w:b/>
          <w:color w:val="auto"/>
          <w:szCs w:val="21"/>
          <w:highlight w:val="none"/>
          <w:lang w:val="zh-CN"/>
        </w:rPr>
        <w:t>的要求；</w:t>
      </w:r>
    </w:p>
    <w:p w14:paraId="6094CA3C">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szCs w:val="21"/>
          <w:highlight w:val="none"/>
        </w:rPr>
        <w:t>7</w:t>
      </w:r>
      <w:r>
        <w:rPr>
          <w:rFonts w:hint="eastAsia" w:ascii="宋体" w:hAnsi="宋体" w:eastAsia="宋体" w:cs="宋体"/>
          <w:b/>
          <w:szCs w:val="21"/>
          <w:highlight w:val="none"/>
          <w:lang w:val="zh-CN"/>
        </w:rPr>
        <w:t xml:space="preserve">.8 </w:t>
      </w:r>
      <w:r>
        <w:rPr>
          <w:rFonts w:hint="eastAsia" w:ascii="宋体" w:hAnsi="宋体" w:eastAsia="宋体" w:cs="宋体"/>
          <w:b/>
          <w:szCs w:val="21"/>
          <w:highlight w:val="none"/>
          <w:lang w:val="en-US" w:eastAsia="zh-CN"/>
        </w:rPr>
        <w:t>投标人</w:t>
      </w:r>
      <w:r>
        <w:rPr>
          <w:rFonts w:hint="eastAsia" w:ascii="宋体" w:hAnsi="宋体" w:eastAsia="宋体" w:cs="宋体"/>
          <w:b/>
          <w:szCs w:val="21"/>
          <w:highlight w:val="none"/>
          <w:lang w:val="zh-CN"/>
        </w:rPr>
        <w:t>未按招标文件要求交纳投标保证金的；</w:t>
      </w:r>
    </w:p>
    <w:p w14:paraId="6F4C0D70">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9</w:t>
      </w:r>
      <w:r>
        <w:rPr>
          <w:rFonts w:hint="eastAsia" w:ascii="宋体" w:hAnsi="宋体" w:eastAsia="宋体" w:cs="宋体"/>
          <w:b/>
          <w:color w:val="auto"/>
          <w:szCs w:val="21"/>
          <w:highlight w:val="none"/>
          <w:lang w:val="zh-CN"/>
        </w:rPr>
        <w:t xml:space="preserve"> 投标人递交两份或多份内容不同的投标文件，且未书面声明哪一个有效；</w:t>
      </w:r>
    </w:p>
    <w:p w14:paraId="0A1A1CF1">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10</w:t>
      </w:r>
      <w:r>
        <w:rPr>
          <w:rFonts w:hint="eastAsia" w:ascii="宋体" w:hAnsi="宋体" w:eastAsia="宋体" w:cs="宋体"/>
          <w:b/>
          <w:color w:val="auto"/>
          <w:szCs w:val="21"/>
          <w:highlight w:val="none"/>
          <w:lang w:val="zh-CN"/>
        </w:rPr>
        <w:t xml:space="preserve"> 投标文件未使用企业数字证书或个人数字证书电子签名的； </w:t>
      </w:r>
    </w:p>
    <w:p w14:paraId="59DD73F8">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11</w:t>
      </w:r>
      <w:r>
        <w:rPr>
          <w:rFonts w:hint="eastAsia" w:ascii="宋体" w:hAnsi="宋体" w:eastAsia="宋体" w:cs="宋体"/>
          <w:b/>
          <w:color w:val="auto"/>
          <w:szCs w:val="21"/>
          <w:highlight w:val="none"/>
          <w:lang w:val="zh-CN"/>
        </w:rPr>
        <w:t xml:space="preserve"> </w:t>
      </w:r>
      <w:r>
        <w:rPr>
          <w:rFonts w:hint="eastAsia" w:ascii="宋体" w:hAnsi="宋体" w:eastAsia="宋体" w:cs="宋体"/>
          <w:b/>
          <w:color w:val="auto"/>
          <w:szCs w:val="21"/>
          <w:highlight w:val="none"/>
          <w:lang w:val="en-US" w:eastAsia="zh-CN"/>
        </w:rPr>
        <w:t>投标</w:t>
      </w:r>
      <w:r>
        <w:rPr>
          <w:rFonts w:hint="eastAsia" w:ascii="宋体" w:hAnsi="宋体" w:eastAsia="宋体" w:cs="宋体"/>
          <w:b/>
          <w:color w:val="auto"/>
          <w:szCs w:val="21"/>
          <w:highlight w:val="none"/>
          <w:lang w:val="zh-CN"/>
        </w:rPr>
        <w:t>有效期限不符合要求；</w:t>
      </w:r>
    </w:p>
    <w:p w14:paraId="4E8745B1">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 xml:space="preserve">12 </w:t>
      </w:r>
      <w:r>
        <w:rPr>
          <w:rFonts w:hint="eastAsia" w:ascii="宋体" w:hAnsi="宋体" w:eastAsia="宋体" w:cs="宋体"/>
          <w:b/>
          <w:color w:val="auto"/>
          <w:szCs w:val="21"/>
          <w:highlight w:val="none"/>
          <w:lang w:val="zh-CN"/>
        </w:rPr>
        <w:t>投标文件未对</w:t>
      </w:r>
      <w:r>
        <w:rPr>
          <w:rFonts w:hint="eastAsia" w:ascii="宋体" w:hAnsi="宋体" w:eastAsia="宋体" w:cs="宋体"/>
          <w:b/>
          <w:color w:val="auto"/>
          <w:szCs w:val="21"/>
          <w:highlight w:val="none"/>
          <w:lang w:val="en-US" w:eastAsia="zh-CN"/>
        </w:rPr>
        <w:t>招标</w:t>
      </w:r>
      <w:r>
        <w:rPr>
          <w:rFonts w:hint="eastAsia" w:ascii="宋体" w:hAnsi="宋体" w:eastAsia="宋体" w:cs="宋体"/>
          <w:b/>
          <w:color w:val="auto"/>
          <w:szCs w:val="21"/>
          <w:highlight w:val="none"/>
          <w:lang w:val="zh-CN"/>
        </w:rPr>
        <w:t>范围内的全部内容进行投标或投标方案不是唯一；</w:t>
      </w:r>
    </w:p>
    <w:p w14:paraId="0DB4FCD6">
      <w:pPr>
        <w:keepNext w:val="0"/>
        <w:keepLines w:val="0"/>
        <w:pageBreakBefore w:val="0"/>
        <w:widowControl w:val="0"/>
        <w:kinsoku/>
        <w:wordWrap/>
        <w:overflowPunct/>
        <w:topLinePunct w:val="0"/>
        <w:autoSpaceDE w:val="0"/>
        <w:autoSpaceDN w:val="0"/>
        <w:bidi w:val="0"/>
        <w:adjustRightInd w:val="0"/>
        <w:spacing w:line="360" w:lineRule="auto"/>
        <w:textAlignment w:val="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13</w:t>
      </w:r>
      <w:r>
        <w:rPr>
          <w:rFonts w:hint="eastAsia" w:ascii="宋体" w:hAnsi="宋体" w:eastAsia="宋体" w:cs="宋体"/>
          <w:b/>
          <w:color w:val="auto"/>
          <w:szCs w:val="21"/>
          <w:highlight w:val="none"/>
          <w:lang w:val="zh-CN"/>
        </w:rPr>
        <w:t xml:space="preserve"> 未提供或虚假填写《合同条款偏离表》，或对《合同条款偏离表》有负偏离的；</w:t>
      </w:r>
    </w:p>
    <w:p w14:paraId="444F85BE">
      <w:pPr>
        <w:keepNext w:val="0"/>
        <w:keepLines w:val="0"/>
        <w:pageBreakBefore w:val="0"/>
        <w:widowControl w:val="0"/>
        <w:kinsoku/>
        <w:wordWrap/>
        <w:overflowPunct/>
        <w:topLinePunct w:val="0"/>
        <w:autoSpaceDE w:val="0"/>
        <w:autoSpaceDN w:val="0"/>
        <w:bidi w:val="0"/>
        <w:adjustRightInd w:val="0"/>
        <w:spacing w:line="360" w:lineRule="auto"/>
        <w:textAlignment w:val="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14</w:t>
      </w:r>
      <w:r>
        <w:rPr>
          <w:rFonts w:hint="eastAsia" w:ascii="宋体" w:hAnsi="宋体" w:eastAsia="宋体" w:cs="宋体"/>
          <w:b/>
          <w:color w:val="auto"/>
          <w:szCs w:val="21"/>
          <w:highlight w:val="none"/>
          <w:lang w:val="zh-CN"/>
        </w:rPr>
        <w:t xml:space="preserve"> 未填写或虚假填写《用户需求偏离表》的；</w:t>
      </w:r>
    </w:p>
    <w:p w14:paraId="6DC71653">
      <w:pPr>
        <w:keepNext w:val="0"/>
        <w:keepLines w:val="0"/>
        <w:pageBreakBefore w:val="0"/>
        <w:widowControl w:val="0"/>
        <w:kinsoku/>
        <w:wordWrap/>
        <w:overflowPunct/>
        <w:topLinePunct w:val="0"/>
        <w:autoSpaceDE w:val="0"/>
        <w:autoSpaceDN w:val="0"/>
        <w:bidi w:val="0"/>
        <w:adjustRightInd w:val="0"/>
        <w:spacing w:line="360" w:lineRule="auto"/>
        <w:textAlignment w:val="auto"/>
        <w:rPr>
          <w:rFonts w:hint="eastAsia"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15</w:t>
      </w:r>
      <w:r>
        <w:rPr>
          <w:rFonts w:hint="eastAsia" w:ascii="宋体" w:hAnsi="宋体" w:eastAsia="宋体" w:cs="宋体"/>
          <w:b/>
          <w:color w:val="auto"/>
          <w:szCs w:val="21"/>
          <w:highlight w:val="none"/>
          <w:lang w:val="zh-CN"/>
        </w:rPr>
        <w:t xml:space="preserve"> 未响应招标文件提出的实质性要求和条件（标注★的条款）</w:t>
      </w:r>
      <w:r>
        <w:rPr>
          <w:rFonts w:hint="eastAsia" w:ascii="宋体" w:hAnsi="宋体" w:eastAsia="宋体" w:cs="宋体"/>
          <w:b/>
          <w:color w:val="auto"/>
          <w:szCs w:val="21"/>
          <w:highlight w:val="none"/>
          <w:lang w:val="en-US" w:eastAsia="zh-CN"/>
        </w:rPr>
        <w:t>；</w:t>
      </w:r>
    </w:p>
    <w:p w14:paraId="30149C43">
      <w:pPr>
        <w:autoSpaceDE w:val="0"/>
        <w:autoSpaceDN w:val="0"/>
        <w:spacing w:line="360" w:lineRule="auto"/>
        <w:rPr>
          <w:rFonts w:hint="default"/>
          <w:lang w:val="en-US" w:eastAsia="zh-CN"/>
        </w:rPr>
      </w:pPr>
      <w:r>
        <w:rPr>
          <w:rFonts w:hint="eastAsia" w:ascii="宋体" w:hAnsi="宋体" w:eastAsia="宋体" w:cs="宋体"/>
          <w:b/>
          <w:color w:val="auto"/>
          <w:szCs w:val="21"/>
          <w:highlight w:val="none"/>
          <w:lang w:val="en-US" w:eastAsia="zh-CN"/>
        </w:rPr>
        <w:t>7.16 投标人是“东莞市众源环境投资有限公司半干化泥粉外运资源化处置服务供应商库”内的供应商的；</w:t>
      </w:r>
    </w:p>
    <w:p w14:paraId="3F7D2A81">
      <w:pPr>
        <w:keepNext w:val="0"/>
        <w:keepLines w:val="0"/>
        <w:pageBreakBefore w:val="0"/>
        <w:widowControl w:val="0"/>
        <w:kinsoku/>
        <w:wordWrap/>
        <w:overflowPunct/>
        <w:topLinePunct w:val="0"/>
        <w:autoSpaceDE w:val="0"/>
        <w:autoSpaceDN w:val="0"/>
        <w:bidi w:val="0"/>
        <w:adjustRightInd w:val="0"/>
        <w:spacing w:line="360" w:lineRule="auto"/>
        <w:ind w:left="315" w:hanging="316" w:hangingChars="150"/>
        <w:textAlignment w:val="auto"/>
        <w:rPr>
          <w:rFonts w:hint="eastAsia" w:ascii="宋体" w:hAnsi="宋体" w:eastAsia="宋体" w:cs="宋体"/>
          <w:b/>
          <w:color w:val="auto"/>
          <w:szCs w:val="21"/>
          <w:highlight w:val="none"/>
          <w:lang w:val="zh-CN" w:eastAsia="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17</w:t>
      </w:r>
      <w:r>
        <w:rPr>
          <w:rFonts w:hint="eastAsia" w:ascii="宋体" w:hAnsi="宋体" w:eastAsia="宋体" w:cs="宋体"/>
          <w:b/>
          <w:color w:val="auto"/>
          <w:szCs w:val="21"/>
          <w:highlight w:val="none"/>
          <w:lang w:val="zh-CN"/>
        </w:rPr>
        <w:t xml:space="preserve"> 出现招标文件其他条款中定义为无效投标的情况；属于法律、法规、规章规定的应作无效投标文件处理的</w:t>
      </w:r>
      <w:r>
        <w:rPr>
          <w:rFonts w:hint="eastAsia" w:ascii="宋体" w:hAnsi="宋体" w:eastAsia="宋体" w:cs="宋体"/>
          <w:b/>
          <w:color w:val="auto"/>
          <w:szCs w:val="21"/>
          <w:highlight w:val="none"/>
          <w:lang w:val="en-US" w:eastAsia="zh-CN"/>
        </w:rPr>
        <w:t>。</w:t>
      </w:r>
    </w:p>
    <w:p w14:paraId="4C335700">
      <w:pPr>
        <w:autoSpaceDE w:val="0"/>
        <w:autoSpaceDN w:val="0"/>
        <w:adjustRightInd w:val="0"/>
        <w:spacing w:line="360" w:lineRule="auto"/>
        <w:ind w:left="315" w:hanging="315" w:hangingChars="150"/>
        <w:rPr>
          <w:rFonts w:ascii="宋体" w:hAnsi="宋体" w:eastAsia="宋体" w:cs="宋体"/>
          <w:color w:val="auto"/>
          <w:kern w:val="0"/>
          <w:szCs w:val="24"/>
          <w:highlight w:val="none"/>
          <w:lang w:val="zh-CN"/>
        </w:rPr>
      </w:pPr>
      <w:r>
        <w:rPr>
          <w:rFonts w:hint="eastAsia" w:ascii="宋体" w:hAnsi="宋体" w:eastAsia="宋体" w:cs="宋体"/>
          <w:bCs/>
          <w:color w:val="auto"/>
          <w:kern w:val="0"/>
          <w:szCs w:val="24"/>
          <w:highlight w:val="none"/>
          <w:lang w:val="zh-CN"/>
        </w:rPr>
        <w:t>8、</w:t>
      </w:r>
      <w:r>
        <w:rPr>
          <w:rFonts w:hint="eastAsia" w:ascii="宋体" w:hAnsi="宋体" w:eastAsia="宋体" w:cs="宋体"/>
          <w:color w:val="auto"/>
          <w:kern w:val="0"/>
          <w:szCs w:val="24"/>
          <w:highlight w:val="none"/>
          <w:lang w:val="zh-CN"/>
        </w:rPr>
        <w:t>评标委员会应当书面要求存在细微偏差的投标人在</w:t>
      </w:r>
      <w:r>
        <w:rPr>
          <w:rFonts w:hint="eastAsia" w:ascii="宋体" w:hAnsi="宋体" w:eastAsia="宋体" w:cs="宋体"/>
          <w:color w:val="auto"/>
          <w:kern w:val="0"/>
          <w:szCs w:val="24"/>
          <w:highlight w:val="none"/>
          <w:lang w:val="en-US" w:eastAsia="zh-CN"/>
        </w:rPr>
        <w:t>开标</w:t>
      </w:r>
      <w:r>
        <w:rPr>
          <w:rFonts w:hint="eastAsia" w:ascii="宋体" w:hAnsi="宋体" w:eastAsia="宋体" w:cs="宋体"/>
          <w:color w:val="auto"/>
          <w:kern w:val="0"/>
          <w:szCs w:val="24"/>
          <w:highlight w:val="none"/>
          <w:lang w:val="zh-CN"/>
        </w:rPr>
        <w:t>评审结束前予以补正。细微偏差是指投标文件在实质上响应招标文件要求，但在个别地方存在漏项或者提供了不完整的技术方案信息和数据等情况，并且补正这些遗漏或者不完整不会对其他投标人造成不公平的结果。细微偏差不影响投标文件的有效性。</w:t>
      </w:r>
    </w:p>
    <w:p w14:paraId="58526C36">
      <w:pPr>
        <w:spacing w:line="360" w:lineRule="auto"/>
        <w:ind w:left="480"/>
        <w:rPr>
          <w:rFonts w:ascii="宋体" w:hAnsi="宋体" w:eastAsia="宋体" w:cs="宋体"/>
          <w:b/>
          <w:color w:val="auto"/>
          <w:kern w:val="0"/>
          <w:szCs w:val="21"/>
          <w:highlight w:val="none"/>
        </w:rPr>
      </w:pPr>
    </w:p>
    <w:p w14:paraId="2ACB2757">
      <w:pPr>
        <w:tabs>
          <w:tab w:val="left" w:pos="1140"/>
        </w:tabs>
        <w:autoSpaceDE w:val="0"/>
        <w:autoSpaceDN w:val="0"/>
        <w:adjustRightInd w:val="0"/>
        <w:spacing w:line="360" w:lineRule="auto"/>
        <w:ind w:firstLine="3528" w:firstLineChars="1255"/>
        <w:jc w:val="left"/>
        <w:rPr>
          <w:rFonts w:ascii="宋体" w:hAnsi="宋体" w:eastAsia="宋体" w:cs="宋体"/>
          <w:b/>
          <w:bCs/>
          <w:color w:val="auto"/>
          <w:sz w:val="28"/>
          <w:szCs w:val="28"/>
          <w:highlight w:val="none"/>
        </w:rPr>
      </w:pPr>
      <w:bookmarkStart w:id="903" w:name="_Toc4109_WPSOffice_Level1"/>
      <w:r>
        <w:rPr>
          <w:rFonts w:hint="eastAsia" w:ascii="宋体" w:hAnsi="宋体" w:eastAsia="宋体" w:cs="宋体"/>
          <w:b/>
          <w:bCs/>
          <w:color w:val="auto"/>
          <w:sz w:val="28"/>
          <w:szCs w:val="28"/>
          <w:highlight w:val="none"/>
          <w:lang w:val="zh-CN"/>
        </w:rPr>
        <w:t>三、澄清有关问题</w:t>
      </w:r>
      <w:bookmarkEnd w:id="903"/>
    </w:p>
    <w:p w14:paraId="26EEA41E">
      <w:pPr>
        <w:autoSpaceDE w:val="0"/>
        <w:autoSpaceDN w:val="0"/>
        <w:adjustRightInd w:val="0"/>
        <w:spacing w:line="360" w:lineRule="auto"/>
        <w:ind w:left="315" w:hanging="315" w:hangingChars="150"/>
        <w:rPr>
          <w:rFonts w:ascii="宋体" w:hAnsi="宋体" w:eastAsia="宋体" w:cs="宋体"/>
          <w:color w:val="auto"/>
          <w:szCs w:val="24"/>
          <w:highlight w:val="none"/>
          <w:lang w:val="zh-CN"/>
        </w:rPr>
      </w:pPr>
      <w:r>
        <w:rPr>
          <w:rFonts w:hint="eastAsia" w:ascii="宋体" w:hAnsi="宋体" w:eastAsia="宋体" w:cs="宋体"/>
          <w:bCs/>
          <w:color w:val="auto"/>
          <w:szCs w:val="24"/>
          <w:highlight w:val="none"/>
          <w:lang w:val="zh-CN"/>
        </w:rPr>
        <w:t>9、</w:t>
      </w:r>
      <w:r>
        <w:rPr>
          <w:rFonts w:hint="eastAsia" w:ascii="宋体" w:hAnsi="宋体" w:eastAsia="宋体" w:cs="宋体"/>
          <w:color w:val="auto"/>
          <w:szCs w:val="24"/>
          <w:highlight w:val="none"/>
          <w:lang w:val="zh-CN"/>
        </w:rPr>
        <w:t>在</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的商务、技术资格性检查及符合性检查过程中，</w:t>
      </w:r>
      <w:r>
        <w:rPr>
          <w:rFonts w:hint="eastAsia" w:ascii="宋体" w:hAnsi="宋体" w:eastAsia="宋体" w:cs="宋体"/>
          <w:color w:val="auto"/>
          <w:kern w:val="0"/>
          <w:szCs w:val="24"/>
          <w:highlight w:val="none"/>
          <w:lang w:val="zh-CN"/>
        </w:rPr>
        <w:t>投标人</w:t>
      </w:r>
      <w:r>
        <w:rPr>
          <w:rFonts w:hint="eastAsia" w:ascii="宋体" w:hAnsi="宋体" w:eastAsia="宋体" w:cs="宋体"/>
          <w:color w:val="auto"/>
          <w:szCs w:val="24"/>
          <w:highlight w:val="none"/>
          <w:lang w:val="zh-CN"/>
        </w:rPr>
        <w:t>可应评标委员会要求对</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中有关问题进行书面澄清。该书面澄清作为其</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的一部分。</w:t>
      </w:r>
    </w:p>
    <w:p w14:paraId="1E8B94B0">
      <w:pPr>
        <w:autoSpaceDE w:val="0"/>
        <w:autoSpaceDN w:val="0"/>
        <w:adjustRightInd w:val="0"/>
        <w:spacing w:line="360" w:lineRule="auto"/>
        <w:ind w:left="529" w:hanging="529" w:hangingChars="252"/>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9.1  对</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中含义不明确、同类问题表述不一致或者有明显文字和计算错误的内容，评标委员会可以书面形式（由评标委员会专家签字）要求投标人作出必要的澄清、说明或者纠正。</w:t>
      </w:r>
    </w:p>
    <w:p w14:paraId="6C8C82BF">
      <w:pPr>
        <w:autoSpaceDE w:val="0"/>
        <w:autoSpaceDN w:val="0"/>
        <w:adjustRightInd w:val="0"/>
        <w:spacing w:line="360" w:lineRule="auto"/>
        <w:ind w:left="529" w:hanging="529" w:hangingChars="252"/>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9.2  投标人的澄清、说明或者纠正应当采用书面形式，经加盖其公章或其合法代表人（法定代表人或法定代表人授权书列明的被授权人）签署方有效，并不得超出投标文件的范围或者改变投标文件的实质性内容。</w:t>
      </w:r>
    </w:p>
    <w:p w14:paraId="2CF69BAE">
      <w:pPr>
        <w:autoSpaceDE w:val="0"/>
        <w:autoSpaceDN w:val="0"/>
        <w:adjustRightInd w:val="0"/>
        <w:spacing w:line="360" w:lineRule="auto"/>
        <w:ind w:left="529" w:right="18" w:hanging="529" w:hangingChars="252"/>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9.3  经过澄清后仍不符合要求，则该项目在下一步评审进行评分调整；若重大（实质性）偏差仍存在，且不可接受，投标人则被认为是“不响应招标文件要求的投标人”，不再进入下一步评审。</w:t>
      </w:r>
    </w:p>
    <w:p w14:paraId="29947B42">
      <w:pPr>
        <w:autoSpaceDE w:val="0"/>
        <w:autoSpaceDN w:val="0"/>
        <w:adjustRightInd w:val="0"/>
        <w:spacing w:line="360" w:lineRule="auto"/>
        <w:jc w:val="center"/>
        <w:rPr>
          <w:rFonts w:ascii="宋体" w:hAnsi="宋体" w:eastAsia="宋体" w:cs="宋体"/>
          <w:b/>
          <w:bCs/>
          <w:color w:val="auto"/>
          <w:sz w:val="28"/>
          <w:szCs w:val="28"/>
          <w:highlight w:val="none"/>
          <w:lang w:val="zh-CN"/>
        </w:rPr>
      </w:pPr>
      <w:bookmarkStart w:id="904" w:name="_Toc8518_WPSOffice_Level1"/>
    </w:p>
    <w:p w14:paraId="476AC23C">
      <w:pPr>
        <w:autoSpaceDE w:val="0"/>
        <w:autoSpaceDN w:val="0"/>
        <w:adjustRightInd w:val="0"/>
        <w:spacing w:line="360" w:lineRule="auto"/>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zh-CN"/>
        </w:rPr>
        <w:t>四、比较和评价</w:t>
      </w:r>
      <w:bookmarkEnd w:id="904"/>
    </w:p>
    <w:p w14:paraId="0284E48E">
      <w:pPr>
        <w:autoSpaceDE w:val="0"/>
        <w:autoSpaceDN w:val="0"/>
        <w:adjustRightInd w:val="0"/>
        <w:spacing w:line="360" w:lineRule="auto"/>
        <w:ind w:left="422" w:leftChars="1" w:hanging="420" w:hangingChars="200"/>
        <w:rPr>
          <w:rFonts w:ascii="宋体" w:hAnsi="宋体" w:eastAsia="宋体" w:cs="宋体"/>
          <w:color w:val="auto"/>
          <w:szCs w:val="24"/>
          <w:highlight w:val="none"/>
          <w:lang w:val="zh-CN"/>
        </w:rPr>
      </w:pPr>
      <w:r>
        <w:rPr>
          <w:rFonts w:hint="eastAsia" w:ascii="宋体" w:hAnsi="宋体" w:eastAsia="宋体" w:cs="宋体"/>
          <w:bCs/>
          <w:color w:val="auto"/>
          <w:szCs w:val="24"/>
          <w:highlight w:val="none"/>
          <w:lang w:val="zh-CN"/>
        </w:rPr>
        <w:t>10、</w:t>
      </w:r>
      <w:r>
        <w:rPr>
          <w:rFonts w:hint="eastAsia" w:ascii="宋体" w:hAnsi="宋体" w:eastAsia="宋体" w:cs="宋体"/>
          <w:color w:val="auto"/>
          <w:szCs w:val="24"/>
          <w:highlight w:val="none"/>
          <w:lang w:val="zh-CN"/>
        </w:rPr>
        <w:t>评标委员会按招标文件中规定的评审方法和标准，对资格性检查和符合性检查合格的投标文件进行商务和技术评审、综合比较与评价；评标委员会根据商务和技术评审的结果，采用综合评分法，分别对投标文件的商务、技术内容进行打分。</w:t>
      </w:r>
    </w:p>
    <w:p w14:paraId="573385B8">
      <w:pPr>
        <w:autoSpaceDE w:val="0"/>
        <w:autoSpaceDN w:val="0"/>
        <w:adjustRightInd w:val="0"/>
        <w:spacing w:line="360" w:lineRule="auto"/>
        <w:ind w:left="422" w:leftChars="1" w:hanging="420" w:hangingChars="200"/>
        <w:rPr>
          <w:rFonts w:ascii="宋体" w:hAnsi="宋体" w:eastAsia="宋体" w:cs="宋体"/>
          <w:color w:val="auto"/>
          <w:szCs w:val="24"/>
          <w:highlight w:val="none"/>
          <w:lang w:val="zh-CN"/>
        </w:rPr>
      </w:pPr>
    </w:p>
    <w:p w14:paraId="38277F21">
      <w:pPr>
        <w:tabs>
          <w:tab w:val="left" w:pos="1701"/>
        </w:tabs>
        <w:autoSpaceDE w:val="0"/>
        <w:autoSpaceDN w:val="0"/>
        <w:adjustRightInd w:val="0"/>
        <w:spacing w:line="360" w:lineRule="auto"/>
        <w:rPr>
          <w:rFonts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rPr>
        <w:t>11、评委打分办法</w:t>
      </w:r>
    </w:p>
    <w:p w14:paraId="0C6A4C8E">
      <w:pPr>
        <w:autoSpaceDE w:val="0"/>
        <w:autoSpaceDN w:val="0"/>
        <w:adjustRightInd w:val="0"/>
        <w:spacing w:line="360" w:lineRule="auto"/>
        <w:rPr>
          <w:rFonts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11</w:t>
      </w:r>
      <w:r>
        <w:rPr>
          <w:rFonts w:hint="eastAsia" w:ascii="宋体" w:hAnsi="宋体" w:eastAsia="宋体" w:cs="Times New Roman"/>
          <w:color w:val="auto"/>
          <w:szCs w:val="24"/>
          <w:highlight w:val="none"/>
          <w:lang w:val="zh-CN"/>
        </w:rPr>
        <w:t>.1 参加评分的</w:t>
      </w:r>
      <w:r>
        <w:rPr>
          <w:rFonts w:hint="eastAsia" w:ascii="宋体" w:hAnsi="宋体" w:eastAsia="宋体" w:cs="Times New Roman"/>
          <w:color w:val="auto"/>
          <w:szCs w:val="24"/>
          <w:highlight w:val="none"/>
          <w:lang w:val="en-US" w:eastAsia="zh-CN"/>
        </w:rPr>
        <w:t>评委</w:t>
      </w:r>
      <w:r>
        <w:rPr>
          <w:rFonts w:hint="eastAsia" w:ascii="宋体" w:hAnsi="宋体" w:eastAsia="宋体" w:cs="Times New Roman"/>
          <w:color w:val="auto"/>
          <w:szCs w:val="24"/>
          <w:highlight w:val="none"/>
          <w:lang w:val="zh-CN"/>
        </w:rPr>
        <w:t>应尽力体现客观、实事求是，避免学派偏见和个人偏好。</w:t>
      </w:r>
    </w:p>
    <w:p w14:paraId="1866CA60">
      <w:pPr>
        <w:autoSpaceDE w:val="0"/>
        <w:autoSpaceDN w:val="0"/>
        <w:adjustRightInd w:val="0"/>
        <w:spacing w:line="360" w:lineRule="auto"/>
        <w:ind w:left="565" w:leftChars="-1" w:hanging="567" w:hangingChars="270"/>
        <w:rPr>
          <w:rFonts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11</w:t>
      </w:r>
      <w:r>
        <w:rPr>
          <w:rFonts w:hint="eastAsia" w:ascii="宋体" w:hAnsi="宋体" w:eastAsia="宋体" w:cs="Times New Roman"/>
          <w:color w:val="auto"/>
          <w:szCs w:val="24"/>
          <w:highlight w:val="none"/>
          <w:lang w:val="zh-CN"/>
        </w:rPr>
        <w:t>.2 衡量、对比的依据，应以招标文件、投标文件、提供的正式试验数据、</w:t>
      </w:r>
      <w:r>
        <w:rPr>
          <w:rFonts w:hint="eastAsia" w:ascii="宋体" w:hAnsi="宋体" w:eastAsia="宋体" w:cs="Times New Roman"/>
          <w:color w:val="auto"/>
          <w:szCs w:val="24"/>
          <w:highlight w:val="none"/>
          <w:lang w:val="en-US" w:eastAsia="zh-CN"/>
        </w:rPr>
        <w:t>开标</w:t>
      </w:r>
      <w:r>
        <w:rPr>
          <w:rFonts w:hint="eastAsia" w:ascii="宋体" w:hAnsi="宋体" w:eastAsia="宋体" w:cs="Times New Roman"/>
          <w:color w:val="auto"/>
          <w:szCs w:val="24"/>
          <w:highlight w:val="none"/>
          <w:lang w:val="zh-CN"/>
        </w:rPr>
        <w:t>澄清中的文字为准，口头回答和收集的资料只作为参考。</w:t>
      </w:r>
    </w:p>
    <w:p w14:paraId="278CA1C8">
      <w:pPr>
        <w:autoSpaceDE w:val="0"/>
        <w:autoSpaceDN w:val="0"/>
        <w:adjustRightInd w:val="0"/>
        <w:spacing w:line="360" w:lineRule="auto"/>
        <w:ind w:left="565" w:leftChars="-1" w:hanging="567" w:hangingChars="270"/>
        <w:rPr>
          <w:rFonts w:ascii="宋体" w:hAnsi="宋体" w:eastAsia="宋体" w:cs="宋体"/>
          <w:color w:val="auto"/>
          <w:kern w:val="0"/>
          <w:szCs w:val="21"/>
          <w:highlight w:val="none"/>
        </w:rPr>
      </w:pPr>
      <w:r>
        <w:rPr>
          <w:rFonts w:ascii="宋体" w:hAnsi="宋体" w:eastAsia="宋体" w:cs="Times New Roman"/>
          <w:color w:val="auto"/>
          <w:szCs w:val="24"/>
          <w:highlight w:val="none"/>
          <w:lang w:val="zh-CN"/>
        </w:rPr>
        <w:t>11</w:t>
      </w:r>
      <w:r>
        <w:rPr>
          <w:rFonts w:hint="eastAsia" w:ascii="宋体" w:hAnsi="宋体" w:eastAsia="宋体" w:cs="Times New Roman"/>
          <w:color w:val="auto"/>
          <w:szCs w:val="24"/>
          <w:highlight w:val="none"/>
          <w:lang w:val="zh-CN"/>
        </w:rPr>
        <w:t>.3 评分主要是为比较各投标人的商务、技术综合排序。</w:t>
      </w:r>
      <w:r>
        <w:rPr>
          <w:rFonts w:hint="eastAsia" w:ascii="宋体" w:hAnsi="宋体" w:eastAsia="宋体" w:cs="宋体"/>
          <w:color w:val="auto"/>
          <w:kern w:val="0"/>
          <w:szCs w:val="21"/>
          <w:highlight w:val="none"/>
          <w:lang w:eastAsia="zh-CN"/>
        </w:rPr>
        <w:t>评标委员会</w:t>
      </w:r>
      <w:r>
        <w:rPr>
          <w:rFonts w:hint="eastAsia" w:ascii="宋体" w:hAnsi="宋体" w:eastAsia="宋体" w:cs="宋体"/>
          <w:color w:val="auto"/>
          <w:kern w:val="0"/>
          <w:szCs w:val="21"/>
          <w:highlight w:val="none"/>
          <w:lang w:val="en-US" w:eastAsia="zh-CN"/>
        </w:rPr>
        <w:t>专家组</w:t>
      </w:r>
      <w:r>
        <w:rPr>
          <w:rFonts w:hint="eastAsia" w:ascii="宋体" w:hAnsi="宋体" w:eastAsia="宋体" w:cs="宋体"/>
          <w:color w:val="auto"/>
          <w:kern w:val="0"/>
          <w:szCs w:val="21"/>
          <w:highlight w:val="none"/>
        </w:rPr>
        <w:t>的每一位</w:t>
      </w:r>
      <w:r>
        <w:rPr>
          <w:rFonts w:hint="eastAsia" w:ascii="宋体" w:hAnsi="宋体" w:eastAsia="宋体" w:cs="宋体"/>
          <w:color w:val="auto"/>
          <w:kern w:val="0"/>
          <w:szCs w:val="21"/>
          <w:highlight w:val="none"/>
          <w:lang w:val="en-US" w:eastAsia="zh-CN"/>
        </w:rPr>
        <w:t>评委</w:t>
      </w:r>
      <w:r>
        <w:rPr>
          <w:rFonts w:hint="eastAsia" w:ascii="宋体" w:hAnsi="宋体" w:eastAsia="宋体" w:cs="宋体"/>
          <w:color w:val="auto"/>
          <w:kern w:val="0"/>
          <w:szCs w:val="21"/>
          <w:highlight w:val="none"/>
        </w:rPr>
        <w:t>根据</w:t>
      </w:r>
      <w:r>
        <w:rPr>
          <w:rFonts w:hint="eastAsia" w:ascii="宋体" w:hAnsi="宋体" w:eastAsia="宋体" w:cs="宋体"/>
          <w:color w:val="auto"/>
          <w:kern w:val="0"/>
          <w:szCs w:val="21"/>
          <w:highlight w:val="none"/>
          <w:lang w:eastAsia="zh-CN"/>
        </w:rPr>
        <w:t>招标文件</w:t>
      </w:r>
      <w:r>
        <w:rPr>
          <w:rFonts w:hint="eastAsia" w:ascii="宋体" w:hAnsi="宋体" w:eastAsia="宋体" w:cs="宋体"/>
          <w:color w:val="auto"/>
          <w:kern w:val="0"/>
          <w:szCs w:val="21"/>
          <w:highlight w:val="none"/>
        </w:rPr>
        <w:t>评分标准对</w:t>
      </w:r>
      <w:r>
        <w:rPr>
          <w:rFonts w:hint="eastAsia" w:ascii="宋体" w:hAnsi="宋体" w:eastAsia="宋体" w:cs="宋体"/>
          <w:color w:val="auto"/>
          <w:kern w:val="0"/>
          <w:szCs w:val="21"/>
          <w:highlight w:val="none"/>
          <w:lang w:eastAsia="zh-CN"/>
        </w:rPr>
        <w:t>投标文件</w:t>
      </w:r>
      <w:r>
        <w:rPr>
          <w:rFonts w:hint="eastAsia" w:ascii="宋体" w:hAnsi="宋体" w:eastAsia="宋体" w:cs="宋体"/>
          <w:color w:val="auto"/>
          <w:kern w:val="0"/>
          <w:szCs w:val="21"/>
          <w:highlight w:val="none"/>
        </w:rPr>
        <w:t>分别</w:t>
      </w:r>
      <w:r>
        <w:rPr>
          <w:rFonts w:hint="eastAsia" w:ascii="宋体" w:hAnsi="宋体" w:eastAsia="宋体" w:cs="宋体"/>
          <w:color w:val="auto"/>
          <w:kern w:val="0"/>
          <w:szCs w:val="21"/>
          <w:highlight w:val="none"/>
          <w:lang w:eastAsia="zh-CN"/>
        </w:rPr>
        <w:t>评审</w:t>
      </w:r>
      <w:r>
        <w:rPr>
          <w:rFonts w:hint="eastAsia" w:ascii="宋体" w:hAnsi="宋体" w:eastAsia="宋体" w:cs="宋体"/>
          <w:color w:val="auto"/>
          <w:kern w:val="0"/>
          <w:szCs w:val="21"/>
          <w:highlight w:val="none"/>
        </w:rPr>
        <w:t>，对有效</w:t>
      </w:r>
      <w:r>
        <w:rPr>
          <w:rFonts w:hint="eastAsia" w:ascii="宋体" w:hAnsi="宋体" w:eastAsia="宋体" w:cs="宋体"/>
          <w:color w:val="auto"/>
          <w:kern w:val="0"/>
          <w:szCs w:val="21"/>
          <w:highlight w:val="none"/>
          <w:lang w:eastAsia="zh-CN"/>
        </w:rPr>
        <w:t>投标人投标文件</w:t>
      </w:r>
      <w:r>
        <w:rPr>
          <w:rFonts w:hint="eastAsia" w:ascii="宋体" w:hAnsi="宋体" w:eastAsia="宋体" w:cs="宋体"/>
          <w:color w:val="auto"/>
          <w:kern w:val="0"/>
          <w:szCs w:val="21"/>
          <w:highlight w:val="none"/>
        </w:rPr>
        <w:t>的商务、技术分别评分。</w:t>
      </w:r>
    </w:p>
    <w:p w14:paraId="44956EC7">
      <w:pPr>
        <w:autoSpaceDE w:val="0"/>
        <w:autoSpaceDN w:val="0"/>
        <w:adjustRightInd w:val="0"/>
        <w:spacing w:line="360" w:lineRule="auto"/>
        <w:ind w:left="565" w:leftChars="-1" w:hanging="567" w:hangingChars="27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eastAsia="zh-CN"/>
        </w:rPr>
        <w:t>评标委员会</w:t>
      </w:r>
      <w:r>
        <w:rPr>
          <w:rFonts w:hint="eastAsia" w:ascii="宋体" w:hAnsi="宋体" w:eastAsia="宋体" w:cs="宋体"/>
          <w:color w:val="auto"/>
          <w:kern w:val="0"/>
          <w:szCs w:val="21"/>
          <w:highlight w:val="none"/>
        </w:rPr>
        <w:t>首先对</w:t>
      </w:r>
      <w:r>
        <w:rPr>
          <w:rFonts w:hint="eastAsia" w:ascii="宋体" w:hAnsi="宋体" w:eastAsia="宋体" w:cs="宋体"/>
          <w:color w:val="auto"/>
          <w:kern w:val="0"/>
          <w:szCs w:val="21"/>
          <w:highlight w:val="none"/>
          <w:lang w:eastAsia="zh-CN"/>
        </w:rPr>
        <w:t>商务标</w:t>
      </w:r>
      <w:r>
        <w:rPr>
          <w:rFonts w:hint="eastAsia" w:ascii="宋体" w:hAnsi="宋体" w:eastAsia="宋体" w:cs="宋体"/>
          <w:color w:val="auto"/>
          <w:kern w:val="0"/>
          <w:szCs w:val="21"/>
          <w:highlight w:val="none"/>
        </w:rPr>
        <w:t>进行</w:t>
      </w:r>
      <w:r>
        <w:rPr>
          <w:rFonts w:hint="eastAsia" w:ascii="宋体" w:hAnsi="宋体" w:eastAsia="宋体" w:cs="宋体"/>
          <w:color w:val="auto"/>
          <w:kern w:val="0"/>
          <w:szCs w:val="21"/>
          <w:highlight w:val="none"/>
          <w:lang w:eastAsia="zh-CN"/>
        </w:rPr>
        <w:t>评审</w:t>
      </w:r>
      <w:r>
        <w:rPr>
          <w:rFonts w:hint="eastAsia" w:ascii="宋体" w:hAnsi="宋体" w:eastAsia="宋体" w:cs="宋体"/>
          <w:color w:val="auto"/>
          <w:kern w:val="0"/>
          <w:szCs w:val="21"/>
          <w:highlight w:val="none"/>
        </w:rPr>
        <w:t>，按</w:t>
      </w:r>
      <w:r>
        <w:rPr>
          <w:rFonts w:hint="eastAsia" w:ascii="宋体" w:hAnsi="宋体" w:eastAsia="宋体" w:cs="宋体"/>
          <w:color w:val="auto"/>
          <w:kern w:val="0"/>
          <w:szCs w:val="21"/>
          <w:highlight w:val="none"/>
          <w:lang w:val="en-US" w:eastAsia="zh-CN"/>
        </w:rPr>
        <w:t>评标</w:t>
      </w:r>
      <w:r>
        <w:rPr>
          <w:rFonts w:hint="eastAsia" w:ascii="宋体" w:hAnsi="宋体" w:eastAsia="宋体" w:cs="宋体"/>
          <w:color w:val="auto"/>
          <w:kern w:val="0"/>
          <w:szCs w:val="21"/>
          <w:highlight w:val="none"/>
        </w:rPr>
        <w:t>标准打分后，取所有</w:t>
      </w:r>
      <w:r>
        <w:rPr>
          <w:rFonts w:hint="eastAsia" w:ascii="宋体" w:hAnsi="宋体" w:eastAsia="宋体" w:cs="Times New Roman"/>
          <w:color w:val="auto"/>
          <w:szCs w:val="24"/>
          <w:highlight w:val="none"/>
          <w:lang w:val="en-US" w:eastAsia="zh-CN"/>
        </w:rPr>
        <w:t>评委</w:t>
      </w:r>
      <w:r>
        <w:rPr>
          <w:rFonts w:hint="eastAsia" w:ascii="宋体" w:hAnsi="宋体" w:eastAsia="宋体" w:cs="宋体"/>
          <w:color w:val="auto"/>
          <w:kern w:val="0"/>
          <w:szCs w:val="21"/>
          <w:highlight w:val="none"/>
        </w:rPr>
        <w:t>评分的平均值得出该</w:t>
      </w:r>
      <w:r>
        <w:rPr>
          <w:rFonts w:hint="eastAsia" w:ascii="宋体" w:hAnsi="宋体" w:eastAsia="宋体" w:cs="宋体"/>
          <w:color w:val="auto"/>
          <w:kern w:val="0"/>
          <w:szCs w:val="21"/>
          <w:highlight w:val="none"/>
          <w:lang w:eastAsia="zh-CN"/>
        </w:rPr>
        <w:t>投标人</w:t>
      </w:r>
      <w:r>
        <w:rPr>
          <w:rFonts w:hint="eastAsia" w:ascii="宋体" w:hAnsi="宋体" w:eastAsia="宋体" w:cs="宋体"/>
          <w:color w:val="auto"/>
          <w:kern w:val="0"/>
          <w:szCs w:val="21"/>
          <w:highlight w:val="none"/>
        </w:rPr>
        <w:t>的商务评分；</w:t>
      </w:r>
    </w:p>
    <w:p w14:paraId="26062C11">
      <w:pPr>
        <w:autoSpaceDE w:val="0"/>
        <w:autoSpaceDN w:val="0"/>
        <w:adjustRightInd w:val="0"/>
        <w:spacing w:line="360" w:lineRule="auto"/>
        <w:ind w:left="565" w:leftChars="-1" w:hanging="567" w:hangingChars="270"/>
        <w:rPr>
          <w:rFonts w:ascii="宋体" w:hAnsi="宋体" w:eastAsia="宋体" w:cs="宋体"/>
          <w:color w:val="auto"/>
          <w:szCs w:val="21"/>
          <w:highlight w:val="none"/>
        </w:rPr>
      </w:pPr>
      <w:r>
        <w:rPr>
          <w:rFonts w:hint="eastAsia" w:ascii="宋体" w:hAnsi="宋体" w:eastAsia="宋体" w:cs="宋体"/>
          <w:color w:val="auto"/>
          <w:kern w:val="0"/>
          <w:szCs w:val="21"/>
          <w:highlight w:val="none"/>
        </w:rPr>
        <w:t>（2）然后</w:t>
      </w:r>
      <w:r>
        <w:rPr>
          <w:rFonts w:hint="eastAsia" w:ascii="宋体" w:hAnsi="宋体" w:eastAsia="宋体" w:cs="宋体"/>
          <w:color w:val="auto"/>
          <w:kern w:val="0"/>
          <w:szCs w:val="21"/>
          <w:highlight w:val="none"/>
          <w:lang w:eastAsia="zh-CN"/>
        </w:rPr>
        <w:t>评标委员会</w:t>
      </w:r>
      <w:r>
        <w:rPr>
          <w:rFonts w:hint="eastAsia" w:ascii="宋体" w:hAnsi="宋体" w:eastAsia="宋体" w:cs="宋体"/>
          <w:color w:val="auto"/>
          <w:kern w:val="0"/>
          <w:szCs w:val="21"/>
          <w:highlight w:val="none"/>
        </w:rPr>
        <w:t>对</w:t>
      </w:r>
      <w:r>
        <w:rPr>
          <w:rFonts w:hint="eastAsia" w:ascii="宋体" w:hAnsi="宋体" w:eastAsia="宋体" w:cs="宋体"/>
          <w:color w:val="auto"/>
          <w:kern w:val="0"/>
          <w:szCs w:val="21"/>
          <w:highlight w:val="none"/>
          <w:lang w:eastAsia="zh-CN"/>
        </w:rPr>
        <w:t>技术标</w:t>
      </w:r>
      <w:r>
        <w:rPr>
          <w:rFonts w:hint="eastAsia" w:ascii="宋体" w:hAnsi="宋体" w:eastAsia="宋体" w:cs="宋体"/>
          <w:color w:val="auto"/>
          <w:kern w:val="0"/>
          <w:szCs w:val="21"/>
          <w:highlight w:val="none"/>
        </w:rPr>
        <w:t>进行</w:t>
      </w:r>
      <w:r>
        <w:rPr>
          <w:rFonts w:hint="eastAsia" w:ascii="宋体" w:hAnsi="宋体" w:eastAsia="宋体" w:cs="宋体"/>
          <w:color w:val="auto"/>
          <w:kern w:val="0"/>
          <w:szCs w:val="21"/>
          <w:highlight w:val="none"/>
          <w:lang w:eastAsia="zh-CN"/>
        </w:rPr>
        <w:t>评审</w:t>
      </w:r>
      <w:r>
        <w:rPr>
          <w:rFonts w:hint="eastAsia" w:ascii="宋体" w:hAnsi="宋体" w:eastAsia="宋体" w:cs="宋体"/>
          <w:color w:val="auto"/>
          <w:kern w:val="0"/>
          <w:szCs w:val="21"/>
          <w:highlight w:val="none"/>
        </w:rPr>
        <w:t>，按</w:t>
      </w:r>
      <w:r>
        <w:rPr>
          <w:rFonts w:hint="eastAsia" w:ascii="宋体" w:hAnsi="宋体" w:eastAsia="宋体" w:cs="宋体"/>
          <w:color w:val="auto"/>
          <w:kern w:val="0"/>
          <w:szCs w:val="21"/>
          <w:highlight w:val="none"/>
          <w:lang w:val="en-US" w:eastAsia="zh-CN"/>
        </w:rPr>
        <w:t>评标</w:t>
      </w:r>
      <w:r>
        <w:rPr>
          <w:rFonts w:hint="eastAsia" w:ascii="宋体" w:hAnsi="宋体" w:eastAsia="宋体" w:cs="宋体"/>
          <w:color w:val="auto"/>
          <w:kern w:val="0"/>
          <w:szCs w:val="21"/>
          <w:highlight w:val="none"/>
        </w:rPr>
        <w:t>标准打分后，</w:t>
      </w:r>
      <w:r>
        <w:rPr>
          <w:rFonts w:hint="eastAsia" w:ascii="宋体" w:hAnsi="宋体" w:eastAsia="宋体" w:cs="宋体"/>
          <w:color w:val="auto"/>
          <w:szCs w:val="21"/>
          <w:highlight w:val="none"/>
        </w:rPr>
        <w:t>当</w:t>
      </w:r>
      <w:r>
        <w:rPr>
          <w:rFonts w:hint="eastAsia" w:ascii="宋体" w:hAnsi="宋体" w:eastAsia="宋体" w:cs="宋体"/>
          <w:color w:val="auto"/>
          <w:szCs w:val="21"/>
          <w:highlight w:val="none"/>
          <w:lang w:eastAsia="zh-CN"/>
        </w:rPr>
        <w:t>评标委员会</w:t>
      </w:r>
      <w:r>
        <w:rPr>
          <w:rFonts w:hint="eastAsia" w:ascii="宋体" w:hAnsi="宋体" w:eastAsia="宋体" w:cs="宋体"/>
          <w:color w:val="auto"/>
          <w:szCs w:val="21"/>
          <w:highlight w:val="none"/>
        </w:rPr>
        <w:t>为五人时，在所有</w:t>
      </w:r>
      <w:r>
        <w:rPr>
          <w:rFonts w:hint="eastAsia" w:ascii="宋体" w:hAnsi="宋体" w:eastAsia="宋体" w:cs="Times New Roman"/>
          <w:color w:val="auto"/>
          <w:szCs w:val="24"/>
          <w:highlight w:val="none"/>
          <w:lang w:val="en-US" w:eastAsia="zh-CN"/>
        </w:rPr>
        <w:t>评委</w:t>
      </w:r>
      <w:r>
        <w:rPr>
          <w:rFonts w:hint="eastAsia" w:ascii="宋体" w:hAnsi="宋体" w:eastAsia="宋体" w:cs="宋体"/>
          <w:color w:val="auto"/>
          <w:szCs w:val="21"/>
          <w:highlight w:val="none"/>
        </w:rPr>
        <w:t>对同一份</w:t>
      </w:r>
      <w:r>
        <w:rPr>
          <w:rFonts w:hint="eastAsia" w:ascii="宋体" w:hAnsi="宋体" w:eastAsia="宋体" w:cs="宋体"/>
          <w:color w:val="auto"/>
          <w:szCs w:val="21"/>
          <w:highlight w:val="none"/>
          <w:lang w:eastAsia="zh-CN"/>
        </w:rPr>
        <w:t>投标文件</w:t>
      </w:r>
      <w:r>
        <w:rPr>
          <w:rFonts w:hint="eastAsia" w:ascii="宋体" w:hAnsi="宋体" w:eastAsia="宋体" w:cs="宋体"/>
          <w:color w:val="auto"/>
          <w:szCs w:val="21"/>
          <w:highlight w:val="none"/>
        </w:rPr>
        <w:t>技术标</w:t>
      </w:r>
      <w:r>
        <w:rPr>
          <w:rFonts w:hint="eastAsia" w:ascii="宋体" w:hAnsi="宋体" w:eastAsia="宋体" w:cs="宋体"/>
          <w:color w:val="auto"/>
          <w:szCs w:val="21"/>
          <w:highlight w:val="none"/>
          <w:lang w:eastAsia="zh-CN"/>
        </w:rPr>
        <w:t>评审</w:t>
      </w:r>
      <w:r>
        <w:rPr>
          <w:rFonts w:hint="eastAsia" w:ascii="宋体" w:hAnsi="宋体" w:eastAsia="宋体" w:cs="宋体"/>
          <w:color w:val="auto"/>
          <w:szCs w:val="21"/>
          <w:highlight w:val="none"/>
        </w:rPr>
        <w:t>的总评分中，去掉一个最高分和一个最低分，计算剩余总评分的算术平均值即为该</w:t>
      </w:r>
      <w:r>
        <w:rPr>
          <w:rFonts w:hint="eastAsia" w:ascii="宋体" w:hAnsi="宋体" w:eastAsia="宋体" w:cs="宋体"/>
          <w:color w:val="auto"/>
          <w:szCs w:val="21"/>
          <w:highlight w:val="none"/>
          <w:lang w:eastAsia="zh-CN"/>
        </w:rPr>
        <w:t>投标人</w:t>
      </w:r>
      <w:r>
        <w:rPr>
          <w:rFonts w:hint="eastAsia" w:ascii="宋体" w:hAnsi="宋体" w:eastAsia="宋体" w:cs="宋体"/>
          <w:color w:val="auto"/>
          <w:szCs w:val="21"/>
          <w:highlight w:val="none"/>
        </w:rPr>
        <w:t>技术部分的最终综合得分；当</w:t>
      </w:r>
      <w:r>
        <w:rPr>
          <w:rFonts w:hint="eastAsia" w:ascii="宋体" w:hAnsi="宋体" w:eastAsia="宋体" w:cs="宋体"/>
          <w:color w:val="auto"/>
          <w:szCs w:val="21"/>
          <w:highlight w:val="none"/>
          <w:lang w:eastAsia="zh-CN"/>
        </w:rPr>
        <w:t>评标委员会</w:t>
      </w:r>
      <w:r>
        <w:rPr>
          <w:rFonts w:hint="eastAsia" w:ascii="宋体" w:hAnsi="宋体" w:eastAsia="宋体" w:cs="宋体"/>
          <w:color w:val="auto"/>
          <w:szCs w:val="21"/>
          <w:highlight w:val="none"/>
        </w:rPr>
        <w:t>为七人及以上单数时，在各</w:t>
      </w:r>
      <w:r>
        <w:rPr>
          <w:rFonts w:hint="eastAsia" w:ascii="宋体" w:hAnsi="宋体" w:eastAsia="宋体" w:cs="Times New Roman"/>
          <w:color w:val="auto"/>
          <w:szCs w:val="24"/>
          <w:highlight w:val="none"/>
          <w:lang w:val="en-US" w:eastAsia="zh-CN"/>
        </w:rPr>
        <w:t>评委</w:t>
      </w:r>
      <w:r>
        <w:rPr>
          <w:rFonts w:hint="eastAsia" w:ascii="宋体" w:hAnsi="宋体" w:eastAsia="宋体" w:cs="宋体"/>
          <w:color w:val="auto"/>
          <w:szCs w:val="21"/>
          <w:highlight w:val="none"/>
        </w:rPr>
        <w:t>的打分中，同一</w:t>
      </w:r>
      <w:r>
        <w:rPr>
          <w:rFonts w:hint="eastAsia" w:ascii="宋体" w:hAnsi="宋体" w:eastAsia="宋体" w:cs="Times New Roman"/>
          <w:color w:val="auto"/>
          <w:szCs w:val="24"/>
          <w:highlight w:val="none"/>
          <w:lang w:val="en-US" w:eastAsia="zh-CN"/>
        </w:rPr>
        <w:t>评委</w:t>
      </w:r>
      <w:r>
        <w:rPr>
          <w:rFonts w:hint="eastAsia" w:ascii="宋体" w:hAnsi="宋体" w:eastAsia="宋体" w:cs="宋体"/>
          <w:color w:val="auto"/>
          <w:szCs w:val="21"/>
          <w:highlight w:val="none"/>
        </w:rPr>
        <w:t>的最高评分减去最低评分，去掉分差最大</w:t>
      </w:r>
      <w:r>
        <w:rPr>
          <w:rFonts w:hint="eastAsia" w:ascii="宋体" w:hAnsi="宋体" w:eastAsia="宋体" w:cs="Times New Roman"/>
          <w:color w:val="auto"/>
          <w:szCs w:val="24"/>
          <w:highlight w:val="none"/>
          <w:lang w:val="en-US" w:eastAsia="zh-CN"/>
        </w:rPr>
        <w:t>评委</w:t>
      </w:r>
      <w:r>
        <w:rPr>
          <w:rFonts w:hint="eastAsia" w:ascii="宋体" w:hAnsi="宋体" w:eastAsia="宋体" w:cs="宋体"/>
          <w:color w:val="auto"/>
          <w:szCs w:val="21"/>
          <w:highlight w:val="none"/>
        </w:rPr>
        <w:t>的所有打分（出现分差相同时，按最高评分减去次最低评分进行比较，如此类推），在所有剩余</w:t>
      </w:r>
      <w:r>
        <w:rPr>
          <w:rFonts w:hint="eastAsia" w:ascii="宋体" w:hAnsi="宋体" w:eastAsia="宋体" w:cs="Times New Roman"/>
          <w:color w:val="auto"/>
          <w:szCs w:val="24"/>
          <w:highlight w:val="none"/>
          <w:lang w:val="en-US" w:eastAsia="zh-CN"/>
        </w:rPr>
        <w:t>评委</w:t>
      </w:r>
      <w:r>
        <w:rPr>
          <w:rFonts w:hint="eastAsia" w:ascii="宋体" w:hAnsi="宋体" w:eastAsia="宋体" w:cs="宋体"/>
          <w:color w:val="auto"/>
          <w:szCs w:val="21"/>
          <w:highlight w:val="none"/>
        </w:rPr>
        <w:t>对同一份</w:t>
      </w:r>
      <w:r>
        <w:rPr>
          <w:rFonts w:hint="eastAsia" w:ascii="宋体" w:hAnsi="宋体" w:eastAsia="宋体" w:cs="宋体"/>
          <w:color w:val="auto"/>
          <w:szCs w:val="21"/>
          <w:highlight w:val="none"/>
          <w:lang w:eastAsia="zh-CN"/>
        </w:rPr>
        <w:t>投标文件</w:t>
      </w:r>
      <w:r>
        <w:rPr>
          <w:rFonts w:hint="eastAsia" w:ascii="宋体" w:hAnsi="宋体" w:eastAsia="宋体" w:cs="宋体"/>
          <w:color w:val="auto"/>
          <w:szCs w:val="21"/>
          <w:highlight w:val="none"/>
        </w:rPr>
        <w:t>技术部分</w:t>
      </w:r>
      <w:r>
        <w:rPr>
          <w:rFonts w:hint="eastAsia" w:ascii="宋体" w:hAnsi="宋体" w:eastAsia="宋体" w:cs="宋体"/>
          <w:color w:val="auto"/>
          <w:szCs w:val="21"/>
          <w:highlight w:val="none"/>
          <w:lang w:eastAsia="zh-CN"/>
        </w:rPr>
        <w:t>评审</w:t>
      </w:r>
      <w:r>
        <w:rPr>
          <w:rFonts w:hint="eastAsia" w:ascii="宋体" w:hAnsi="宋体" w:eastAsia="宋体" w:cs="宋体"/>
          <w:color w:val="auto"/>
          <w:szCs w:val="21"/>
          <w:highlight w:val="none"/>
        </w:rPr>
        <w:t>的总评分中，去掉一个最高分和一个最低分，计算剩余总评分的算术平均值即为该</w:t>
      </w:r>
      <w:r>
        <w:rPr>
          <w:rFonts w:hint="eastAsia" w:ascii="宋体" w:hAnsi="宋体" w:eastAsia="宋体" w:cs="宋体"/>
          <w:color w:val="auto"/>
          <w:szCs w:val="21"/>
          <w:highlight w:val="none"/>
          <w:lang w:eastAsia="zh-CN"/>
        </w:rPr>
        <w:t>投标人</w:t>
      </w:r>
      <w:r>
        <w:rPr>
          <w:rFonts w:hint="eastAsia" w:ascii="宋体" w:hAnsi="宋体" w:eastAsia="宋体" w:cs="宋体"/>
          <w:color w:val="auto"/>
          <w:szCs w:val="21"/>
          <w:highlight w:val="none"/>
        </w:rPr>
        <w:t>技术部分的最终综合得分；若</w:t>
      </w:r>
      <w:r>
        <w:rPr>
          <w:rFonts w:hint="eastAsia" w:ascii="宋体" w:hAnsi="宋体" w:eastAsia="宋体" w:cs="宋体"/>
          <w:color w:val="auto"/>
          <w:szCs w:val="21"/>
          <w:highlight w:val="none"/>
          <w:lang w:eastAsia="zh-CN"/>
        </w:rPr>
        <w:t>评标委员会</w:t>
      </w:r>
      <w:r>
        <w:rPr>
          <w:rFonts w:hint="eastAsia" w:ascii="宋体" w:hAnsi="宋体" w:eastAsia="宋体" w:cs="宋体"/>
          <w:color w:val="auto"/>
          <w:szCs w:val="21"/>
          <w:highlight w:val="none"/>
        </w:rPr>
        <w:t>成员对某一项按“优、</w:t>
      </w:r>
      <w:r>
        <w:rPr>
          <w:rFonts w:hint="eastAsia" w:ascii="宋体" w:hAnsi="宋体" w:eastAsia="宋体" w:cs="宋体"/>
          <w:color w:val="auto"/>
          <w:szCs w:val="21"/>
          <w:highlight w:val="none"/>
          <w:lang w:val="en-US" w:eastAsia="zh-CN"/>
        </w:rPr>
        <w:t>良、</w:t>
      </w:r>
      <w:r>
        <w:rPr>
          <w:rFonts w:hint="eastAsia" w:ascii="宋体" w:hAnsi="宋体" w:eastAsia="宋体" w:cs="宋体"/>
          <w:color w:val="auto"/>
          <w:szCs w:val="21"/>
          <w:highlight w:val="none"/>
        </w:rPr>
        <w:t>中、差”</w:t>
      </w:r>
      <w:r>
        <w:rPr>
          <w:rFonts w:hint="eastAsia" w:ascii="宋体" w:hAnsi="宋体" w:eastAsia="宋体" w:cs="宋体"/>
          <w:color w:val="auto"/>
          <w:szCs w:val="21"/>
          <w:highlight w:val="none"/>
          <w:lang w:eastAsia="zh-CN"/>
        </w:rPr>
        <w:t>评审</w:t>
      </w:r>
      <w:r>
        <w:rPr>
          <w:rFonts w:hint="eastAsia" w:ascii="宋体" w:hAnsi="宋体" w:eastAsia="宋体" w:cs="宋体"/>
          <w:color w:val="auto"/>
          <w:szCs w:val="21"/>
          <w:highlight w:val="none"/>
        </w:rPr>
        <w:t>的评分因素的评分低于权重分值60%的，应在</w:t>
      </w:r>
      <w:r>
        <w:rPr>
          <w:rFonts w:hint="eastAsia" w:ascii="宋体" w:hAnsi="宋体" w:eastAsia="宋体" w:cs="宋体"/>
          <w:color w:val="auto"/>
          <w:szCs w:val="21"/>
          <w:highlight w:val="none"/>
          <w:lang w:eastAsia="zh-CN"/>
        </w:rPr>
        <w:t>评</w:t>
      </w:r>
      <w:r>
        <w:rPr>
          <w:rFonts w:hint="eastAsia" w:ascii="宋体" w:hAnsi="宋体" w:eastAsia="宋体" w:cs="宋体"/>
          <w:color w:val="auto"/>
          <w:szCs w:val="21"/>
          <w:highlight w:val="none"/>
          <w:lang w:val="en-US" w:eastAsia="zh-CN"/>
        </w:rPr>
        <w:t>标</w:t>
      </w:r>
      <w:r>
        <w:rPr>
          <w:rFonts w:hint="eastAsia" w:ascii="宋体" w:hAnsi="宋体" w:eastAsia="宋体" w:cs="宋体"/>
          <w:color w:val="auto"/>
          <w:szCs w:val="21"/>
          <w:highlight w:val="none"/>
        </w:rPr>
        <w:t>报告中作出说明。</w:t>
      </w:r>
    </w:p>
    <w:p w14:paraId="41833359">
      <w:pPr>
        <w:tabs>
          <w:tab w:val="left" w:pos="600"/>
        </w:tabs>
        <w:autoSpaceDE w:val="0"/>
        <w:autoSpaceDN w:val="0"/>
        <w:adjustRightInd w:val="0"/>
        <w:spacing w:line="360" w:lineRule="auto"/>
        <w:rPr>
          <w:rFonts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11</w:t>
      </w:r>
      <w:r>
        <w:rPr>
          <w:rFonts w:hint="eastAsia" w:ascii="宋体" w:hAnsi="宋体" w:eastAsia="宋体" w:cs="Times New Roman"/>
          <w:color w:val="auto"/>
          <w:szCs w:val="24"/>
          <w:highlight w:val="none"/>
          <w:lang w:val="zh-CN"/>
        </w:rPr>
        <w:t>.4 评标委员会打分采取记名形式。</w:t>
      </w:r>
    </w:p>
    <w:p w14:paraId="1C56CFB7">
      <w:pPr>
        <w:autoSpaceDE w:val="0"/>
        <w:autoSpaceDN w:val="0"/>
        <w:adjustRightInd w:val="0"/>
        <w:spacing w:line="360" w:lineRule="auto"/>
        <w:ind w:left="565" w:leftChars="-1" w:hanging="567" w:hangingChars="270"/>
        <w:rPr>
          <w:rFonts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11</w:t>
      </w:r>
      <w:r>
        <w:rPr>
          <w:rFonts w:hint="eastAsia" w:ascii="宋体" w:hAnsi="宋体" w:eastAsia="宋体" w:cs="Times New Roman"/>
          <w:color w:val="auto"/>
          <w:szCs w:val="24"/>
          <w:highlight w:val="none"/>
          <w:lang w:val="zh-CN"/>
        </w:rPr>
        <w:t>.5 各</w:t>
      </w:r>
      <w:r>
        <w:rPr>
          <w:rFonts w:hint="eastAsia" w:ascii="宋体" w:hAnsi="宋体" w:eastAsia="宋体" w:cs="Times New Roman"/>
          <w:color w:val="auto"/>
          <w:szCs w:val="24"/>
          <w:highlight w:val="none"/>
          <w:lang w:val="en-US" w:eastAsia="zh-CN"/>
        </w:rPr>
        <w:t>评委</w:t>
      </w:r>
      <w:r>
        <w:rPr>
          <w:rFonts w:hint="eastAsia" w:ascii="宋体" w:hAnsi="宋体" w:eastAsia="宋体" w:cs="Times New Roman"/>
          <w:color w:val="auto"/>
          <w:szCs w:val="24"/>
          <w:highlight w:val="none"/>
          <w:lang w:val="zh-CN"/>
        </w:rPr>
        <w:t>根据秘书组提供的打分表严格按照评</w:t>
      </w:r>
      <w:r>
        <w:rPr>
          <w:rFonts w:hint="eastAsia" w:ascii="宋体" w:hAnsi="宋体" w:eastAsia="宋体" w:cs="Times New Roman"/>
          <w:color w:val="auto"/>
          <w:szCs w:val="24"/>
          <w:highlight w:val="none"/>
          <w:lang w:val="en-US" w:eastAsia="zh-CN"/>
        </w:rPr>
        <w:t>标</w:t>
      </w:r>
      <w:r>
        <w:rPr>
          <w:rFonts w:hint="eastAsia" w:ascii="宋体" w:hAnsi="宋体" w:eastAsia="宋体" w:cs="Times New Roman"/>
          <w:color w:val="auto"/>
          <w:szCs w:val="24"/>
          <w:highlight w:val="none"/>
          <w:lang w:val="zh-CN"/>
        </w:rPr>
        <w:t>大纲内的评分标准独立自主打分，任何人不得要</w:t>
      </w:r>
      <w:r>
        <w:rPr>
          <w:rFonts w:hint="eastAsia" w:ascii="宋体" w:hAnsi="宋体" w:eastAsia="宋体" w:cs="Times New Roman"/>
          <w:color w:val="auto"/>
          <w:szCs w:val="24"/>
          <w:highlight w:val="none"/>
          <w:lang w:val="en-US" w:eastAsia="zh-CN"/>
        </w:rPr>
        <w:t>求评委</w:t>
      </w:r>
      <w:r>
        <w:rPr>
          <w:rFonts w:hint="eastAsia" w:ascii="宋体" w:hAnsi="宋体" w:eastAsia="宋体" w:cs="Times New Roman"/>
          <w:color w:val="auto"/>
          <w:szCs w:val="24"/>
          <w:highlight w:val="none"/>
          <w:lang w:val="zh-CN"/>
        </w:rPr>
        <w:t>统一打分或统一确定等次顺序。</w:t>
      </w:r>
    </w:p>
    <w:p w14:paraId="1E14294F">
      <w:pPr>
        <w:autoSpaceDE w:val="0"/>
        <w:autoSpaceDN w:val="0"/>
        <w:adjustRightInd w:val="0"/>
        <w:spacing w:line="360" w:lineRule="auto"/>
        <w:ind w:left="426" w:hanging="426"/>
        <w:rPr>
          <w:rFonts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11</w:t>
      </w:r>
      <w:r>
        <w:rPr>
          <w:rFonts w:hint="eastAsia" w:ascii="宋体" w:hAnsi="宋体" w:eastAsia="宋体" w:cs="Times New Roman"/>
          <w:color w:val="auto"/>
          <w:szCs w:val="24"/>
          <w:highlight w:val="none"/>
          <w:lang w:val="zh-CN"/>
        </w:rPr>
        <w:t>.6 对打分表中的每项条款，各</w:t>
      </w:r>
      <w:r>
        <w:rPr>
          <w:rFonts w:hint="eastAsia" w:ascii="宋体" w:hAnsi="宋体" w:eastAsia="宋体" w:cs="Times New Roman"/>
          <w:color w:val="auto"/>
          <w:szCs w:val="24"/>
          <w:highlight w:val="none"/>
          <w:lang w:val="en-US" w:eastAsia="zh-CN"/>
        </w:rPr>
        <w:t>评委</w:t>
      </w:r>
      <w:r>
        <w:rPr>
          <w:rFonts w:hint="eastAsia" w:ascii="宋体" w:hAnsi="宋体" w:eastAsia="宋体" w:cs="Times New Roman"/>
          <w:color w:val="auto"/>
          <w:szCs w:val="24"/>
          <w:highlight w:val="none"/>
          <w:lang w:val="zh-CN"/>
        </w:rPr>
        <w:t>应根据投标文件、澄清材料、招标文件要求，按满足的程度给投标人打分。</w:t>
      </w:r>
    </w:p>
    <w:p w14:paraId="5A3C17FB">
      <w:pPr>
        <w:tabs>
          <w:tab w:val="left" w:pos="600"/>
        </w:tabs>
        <w:autoSpaceDE w:val="0"/>
        <w:autoSpaceDN w:val="0"/>
        <w:adjustRightInd w:val="0"/>
        <w:spacing w:line="360" w:lineRule="auto"/>
        <w:rPr>
          <w:rFonts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11</w:t>
      </w:r>
      <w:r>
        <w:rPr>
          <w:rFonts w:hint="eastAsia" w:ascii="宋体" w:hAnsi="宋体" w:eastAsia="宋体" w:cs="Times New Roman"/>
          <w:color w:val="auto"/>
          <w:szCs w:val="24"/>
          <w:highlight w:val="none"/>
          <w:lang w:val="zh-CN"/>
        </w:rPr>
        <w:t xml:space="preserve">.7 </w:t>
      </w:r>
      <w:r>
        <w:rPr>
          <w:rFonts w:hint="eastAsia" w:ascii="宋体" w:hAnsi="宋体" w:eastAsia="宋体" w:cs="Times New Roman"/>
          <w:color w:val="auto"/>
          <w:szCs w:val="24"/>
          <w:highlight w:val="none"/>
          <w:lang w:val="en-US" w:eastAsia="zh-CN"/>
        </w:rPr>
        <w:t>评分</w:t>
      </w:r>
      <w:r>
        <w:rPr>
          <w:rFonts w:hint="eastAsia" w:ascii="宋体" w:hAnsi="宋体" w:eastAsia="宋体" w:cs="Times New Roman"/>
          <w:color w:val="auto"/>
          <w:szCs w:val="24"/>
          <w:highlight w:val="none"/>
          <w:lang w:val="zh-CN"/>
        </w:rPr>
        <w:t>程序</w:t>
      </w:r>
    </w:p>
    <w:p w14:paraId="53D3A3ED">
      <w:pPr>
        <w:tabs>
          <w:tab w:val="left" w:pos="1134"/>
        </w:tabs>
        <w:autoSpaceDE w:val="0"/>
        <w:autoSpaceDN w:val="0"/>
        <w:adjustRightInd w:val="0"/>
        <w:spacing w:line="360" w:lineRule="auto"/>
        <w:ind w:left="565" w:leftChars="-1" w:hanging="567" w:hangingChars="270"/>
        <w:rPr>
          <w:rFonts w:ascii="宋体" w:hAnsi="宋体" w:eastAsia="宋体" w:cs="Times New Roman"/>
          <w:color w:val="auto"/>
          <w:szCs w:val="24"/>
          <w:highlight w:val="none"/>
          <w:lang w:val="zh-CN"/>
        </w:rPr>
      </w:pPr>
      <w:r>
        <w:rPr>
          <w:rFonts w:hint="eastAsia" w:ascii="宋体" w:hAnsi="宋体" w:eastAsia="宋体" w:cs="Times New Roman"/>
          <w:color w:val="auto"/>
          <w:szCs w:val="24"/>
          <w:highlight w:val="none"/>
          <w:lang w:val="zh-CN"/>
        </w:rPr>
        <w:t>（</w:t>
      </w:r>
      <w:r>
        <w:rPr>
          <w:rFonts w:ascii="宋体" w:hAnsi="宋体" w:eastAsia="宋体" w:cs="Times New Roman"/>
          <w:color w:val="auto"/>
          <w:szCs w:val="24"/>
          <w:highlight w:val="none"/>
          <w:lang w:val="zh-CN"/>
        </w:rPr>
        <w:t>1</w:t>
      </w:r>
      <w:r>
        <w:rPr>
          <w:rFonts w:hint="eastAsia" w:ascii="宋体" w:hAnsi="宋体" w:eastAsia="宋体" w:cs="Times New Roman"/>
          <w:color w:val="auto"/>
          <w:szCs w:val="24"/>
          <w:highlight w:val="none"/>
          <w:lang w:val="zh-CN"/>
        </w:rPr>
        <w:t>）就投标人的投标文件对照整理出商务、技术</w:t>
      </w:r>
      <w:r>
        <w:rPr>
          <w:rFonts w:hint="eastAsia" w:ascii="宋体" w:hAnsi="宋体" w:eastAsia="宋体" w:cs="Times New Roman"/>
          <w:color w:val="auto"/>
          <w:szCs w:val="24"/>
          <w:highlight w:val="none"/>
          <w:lang w:val="en-US" w:eastAsia="zh-CN"/>
        </w:rPr>
        <w:t>评标</w:t>
      </w:r>
      <w:r>
        <w:rPr>
          <w:rFonts w:hint="eastAsia" w:ascii="宋体" w:hAnsi="宋体" w:eastAsia="宋体" w:cs="Times New Roman"/>
          <w:color w:val="auto"/>
          <w:szCs w:val="24"/>
          <w:highlight w:val="none"/>
          <w:lang w:val="zh-CN"/>
        </w:rPr>
        <w:t>因素对比表、偏差表，并在经过校核的基础上逐项打分。</w:t>
      </w:r>
    </w:p>
    <w:p w14:paraId="1E42358B">
      <w:pPr>
        <w:tabs>
          <w:tab w:val="left" w:pos="1134"/>
        </w:tabs>
        <w:autoSpaceDE w:val="0"/>
        <w:autoSpaceDN w:val="0"/>
        <w:adjustRightInd w:val="0"/>
        <w:spacing w:line="360" w:lineRule="auto"/>
        <w:ind w:left="565" w:leftChars="-1" w:hanging="567" w:hangingChars="270"/>
        <w:rPr>
          <w:rFonts w:ascii="宋体" w:hAnsi="宋体" w:eastAsia="宋体" w:cs="Times New Roman"/>
          <w:color w:val="auto"/>
          <w:szCs w:val="24"/>
          <w:highlight w:val="none"/>
          <w:lang w:val="zh-CN"/>
        </w:rPr>
      </w:pPr>
      <w:r>
        <w:rPr>
          <w:rFonts w:hint="eastAsia" w:ascii="宋体" w:hAnsi="宋体" w:eastAsia="宋体" w:cs="Times New Roman"/>
          <w:color w:val="auto"/>
          <w:szCs w:val="24"/>
          <w:highlight w:val="none"/>
          <w:lang w:val="zh-CN"/>
        </w:rPr>
        <w:t>（</w:t>
      </w:r>
      <w:r>
        <w:rPr>
          <w:rFonts w:ascii="宋体" w:hAnsi="宋体" w:eastAsia="宋体" w:cs="Times New Roman"/>
          <w:color w:val="auto"/>
          <w:szCs w:val="24"/>
          <w:highlight w:val="none"/>
          <w:lang w:val="zh-CN"/>
        </w:rPr>
        <w:t>2</w:t>
      </w:r>
      <w:r>
        <w:rPr>
          <w:rFonts w:hint="eastAsia" w:ascii="宋体" w:hAnsi="宋体" w:eastAsia="宋体" w:cs="Times New Roman"/>
          <w:color w:val="auto"/>
          <w:szCs w:val="24"/>
          <w:highlight w:val="none"/>
          <w:lang w:val="zh-CN"/>
        </w:rPr>
        <w:t>）各</w:t>
      </w:r>
      <w:r>
        <w:rPr>
          <w:rFonts w:hint="eastAsia" w:ascii="宋体" w:hAnsi="宋体" w:eastAsia="宋体" w:cs="Times New Roman"/>
          <w:color w:val="auto"/>
          <w:szCs w:val="24"/>
          <w:highlight w:val="none"/>
          <w:lang w:val="en-US" w:eastAsia="zh-CN"/>
        </w:rPr>
        <w:t>评委</w:t>
      </w:r>
      <w:r>
        <w:rPr>
          <w:rFonts w:hint="eastAsia" w:ascii="宋体" w:hAnsi="宋体" w:eastAsia="宋体" w:cs="Times New Roman"/>
          <w:color w:val="auto"/>
          <w:szCs w:val="24"/>
          <w:highlight w:val="none"/>
          <w:lang w:val="zh-CN"/>
        </w:rPr>
        <w:t>独立完成打分后，将统计好的评分表交给</w:t>
      </w:r>
      <w:r>
        <w:rPr>
          <w:rFonts w:hint="eastAsia" w:ascii="宋体" w:hAnsi="宋体" w:eastAsia="宋体" w:cs="Times New Roman"/>
          <w:color w:val="auto"/>
          <w:szCs w:val="24"/>
          <w:highlight w:val="none"/>
          <w:lang w:val="en-US" w:eastAsia="zh-CN"/>
        </w:rPr>
        <w:t>招标</w:t>
      </w:r>
      <w:r>
        <w:rPr>
          <w:rFonts w:hint="eastAsia" w:ascii="宋体" w:hAnsi="宋体" w:eastAsia="宋体" w:cs="Times New Roman"/>
          <w:color w:val="auto"/>
          <w:szCs w:val="24"/>
          <w:highlight w:val="none"/>
          <w:lang w:val="zh-CN"/>
        </w:rPr>
        <w:t>代理机构秘书组复核。</w:t>
      </w:r>
    </w:p>
    <w:p w14:paraId="380B4793">
      <w:pPr>
        <w:tabs>
          <w:tab w:val="left" w:pos="1134"/>
        </w:tabs>
        <w:autoSpaceDE w:val="0"/>
        <w:autoSpaceDN w:val="0"/>
        <w:adjustRightInd w:val="0"/>
        <w:spacing w:line="360" w:lineRule="auto"/>
        <w:ind w:left="565" w:leftChars="-1" w:hanging="567" w:hangingChars="270"/>
        <w:rPr>
          <w:rFonts w:ascii="宋体" w:hAnsi="宋体" w:eastAsia="宋体" w:cs="Times New Roman"/>
          <w:color w:val="auto"/>
          <w:szCs w:val="24"/>
          <w:highlight w:val="none"/>
          <w:lang w:val="zh-CN"/>
        </w:rPr>
      </w:pPr>
      <w:r>
        <w:rPr>
          <w:rFonts w:hint="eastAsia" w:ascii="宋体" w:hAnsi="宋体" w:eastAsia="宋体" w:cs="Times New Roman"/>
          <w:color w:val="auto"/>
          <w:szCs w:val="24"/>
          <w:highlight w:val="none"/>
          <w:lang w:val="zh-CN"/>
        </w:rPr>
        <w:t>（</w:t>
      </w:r>
      <w:r>
        <w:rPr>
          <w:rFonts w:ascii="宋体" w:hAnsi="宋体" w:eastAsia="宋体" w:cs="Times New Roman"/>
          <w:color w:val="auto"/>
          <w:szCs w:val="24"/>
          <w:highlight w:val="none"/>
          <w:lang w:val="zh-CN"/>
        </w:rPr>
        <w:t>3</w:t>
      </w:r>
      <w:r>
        <w:rPr>
          <w:rFonts w:hint="eastAsia" w:ascii="宋体" w:hAnsi="宋体" w:eastAsia="宋体" w:cs="Times New Roman"/>
          <w:color w:val="auto"/>
          <w:szCs w:val="24"/>
          <w:highlight w:val="none"/>
          <w:lang w:val="zh-CN"/>
        </w:rPr>
        <w:t>）评分统计表中各投标人技术得分应为最终综合得分，商务得分应为</w:t>
      </w:r>
      <w:r>
        <w:rPr>
          <w:rFonts w:hint="eastAsia" w:ascii="宋体" w:hAnsi="宋体" w:eastAsia="宋体" w:cs="Times New Roman"/>
          <w:color w:val="auto"/>
          <w:szCs w:val="24"/>
          <w:highlight w:val="none"/>
          <w:lang w:val="en-US" w:eastAsia="zh-CN"/>
        </w:rPr>
        <w:t>评委</w:t>
      </w:r>
      <w:r>
        <w:rPr>
          <w:rFonts w:hint="eastAsia" w:ascii="宋体" w:hAnsi="宋体" w:eastAsia="宋体" w:cs="Times New Roman"/>
          <w:color w:val="auto"/>
          <w:szCs w:val="24"/>
          <w:highlight w:val="none"/>
          <w:lang w:val="zh-CN"/>
        </w:rPr>
        <w:t>打分的算术平均值。</w:t>
      </w:r>
    </w:p>
    <w:p w14:paraId="51CD5867">
      <w:pPr>
        <w:autoSpaceDE w:val="0"/>
        <w:autoSpaceDN w:val="0"/>
        <w:adjustRightInd w:val="0"/>
        <w:spacing w:line="360" w:lineRule="auto"/>
        <w:rPr>
          <w:rFonts w:ascii="宋体" w:hAnsi="宋体" w:eastAsia="宋体" w:cs="宋体"/>
          <w:color w:val="auto"/>
          <w:szCs w:val="24"/>
          <w:highlight w:val="none"/>
          <w:lang w:val="zh-CN"/>
        </w:rPr>
      </w:pPr>
    </w:p>
    <w:p w14:paraId="72DBD135">
      <w:pPr>
        <w:tabs>
          <w:tab w:val="left" w:pos="1701"/>
        </w:tabs>
        <w:autoSpaceDE w:val="0"/>
        <w:autoSpaceDN w:val="0"/>
        <w:adjustRightInd w:val="0"/>
        <w:spacing w:line="360" w:lineRule="auto"/>
        <w:outlineLvl w:val="2"/>
        <w:rPr>
          <w:rFonts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rPr>
        <w:t>12、评分因素及分值</w:t>
      </w:r>
    </w:p>
    <w:tbl>
      <w:tblPr>
        <w:tblStyle w:val="52"/>
        <w:tblW w:w="4999"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4675"/>
        <w:gridCol w:w="5693"/>
      </w:tblGrid>
      <w:tr w14:paraId="16B81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54" w:type="pct"/>
            <w:tcBorders>
              <w:top w:val="single" w:color="auto" w:sz="4" w:space="0"/>
              <w:left w:val="single" w:color="auto" w:sz="4" w:space="0"/>
              <w:bottom w:val="single" w:color="auto" w:sz="4" w:space="0"/>
              <w:right w:val="single" w:color="auto" w:sz="4" w:space="0"/>
            </w:tcBorders>
            <w:vAlign w:val="center"/>
          </w:tcPr>
          <w:p w14:paraId="218F5E33">
            <w:pPr>
              <w:spacing w:line="400" w:lineRule="exact"/>
              <w:jc w:val="center"/>
              <w:rPr>
                <w:rFonts w:ascii="宋体" w:hAnsi="宋体" w:eastAsia="宋体" w:cs="宋体"/>
                <w:b/>
                <w:color w:val="auto"/>
                <w:kern w:val="0"/>
                <w:sz w:val="21"/>
                <w:szCs w:val="21"/>
                <w:highlight w:val="none"/>
                <w:lang w:val="zh-CN"/>
              </w:rPr>
            </w:pPr>
            <w:r>
              <w:rPr>
                <w:rFonts w:hint="eastAsia" w:ascii="宋体" w:hAnsi="宋体" w:eastAsia="宋体" w:cs="宋体"/>
                <w:b/>
                <w:color w:val="auto"/>
                <w:kern w:val="0"/>
                <w:sz w:val="21"/>
                <w:szCs w:val="21"/>
                <w:highlight w:val="none"/>
                <w:lang w:val="zh-CN"/>
              </w:rPr>
              <w:t>评分因素</w:t>
            </w:r>
          </w:p>
        </w:tc>
        <w:tc>
          <w:tcPr>
            <w:tcW w:w="2745" w:type="pct"/>
            <w:tcBorders>
              <w:top w:val="single" w:color="auto" w:sz="4" w:space="0"/>
              <w:left w:val="single" w:color="auto" w:sz="4" w:space="0"/>
              <w:bottom w:val="single" w:color="auto" w:sz="4" w:space="0"/>
              <w:right w:val="single" w:color="auto" w:sz="4" w:space="0"/>
            </w:tcBorders>
            <w:vAlign w:val="center"/>
          </w:tcPr>
          <w:p w14:paraId="6E77B218">
            <w:pPr>
              <w:spacing w:line="400" w:lineRule="exact"/>
              <w:jc w:val="center"/>
              <w:rPr>
                <w:rFonts w:ascii="宋体" w:hAnsi="宋体" w:eastAsia="宋体" w:cs="宋体"/>
                <w:b/>
                <w:color w:val="auto"/>
                <w:kern w:val="0"/>
                <w:sz w:val="21"/>
                <w:szCs w:val="21"/>
                <w:highlight w:val="none"/>
                <w:lang w:val="zh-CN"/>
              </w:rPr>
            </w:pPr>
            <w:r>
              <w:rPr>
                <w:rFonts w:hint="eastAsia" w:ascii="宋体" w:hAnsi="宋体" w:eastAsia="宋体" w:cs="宋体"/>
                <w:b/>
                <w:color w:val="auto"/>
                <w:kern w:val="0"/>
                <w:sz w:val="21"/>
                <w:szCs w:val="21"/>
                <w:highlight w:val="none"/>
                <w:lang w:val="zh-CN"/>
              </w:rPr>
              <w:t>分值</w:t>
            </w:r>
          </w:p>
        </w:tc>
      </w:tr>
      <w:tr w14:paraId="1B7BA8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54" w:type="pct"/>
            <w:tcBorders>
              <w:top w:val="single" w:color="auto" w:sz="4" w:space="0"/>
              <w:left w:val="single" w:color="auto" w:sz="4" w:space="0"/>
              <w:bottom w:val="single" w:color="auto" w:sz="4" w:space="0"/>
              <w:right w:val="single" w:color="auto" w:sz="4" w:space="0"/>
            </w:tcBorders>
            <w:vAlign w:val="center"/>
          </w:tcPr>
          <w:p w14:paraId="0EAB173C">
            <w:pPr>
              <w:spacing w:line="400" w:lineRule="exact"/>
              <w:jc w:val="center"/>
              <w:rPr>
                <w:rFonts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1、商务</w:t>
            </w:r>
          </w:p>
        </w:tc>
        <w:tc>
          <w:tcPr>
            <w:tcW w:w="2745" w:type="pct"/>
            <w:tcBorders>
              <w:top w:val="single" w:color="auto" w:sz="4" w:space="0"/>
              <w:left w:val="single" w:color="auto" w:sz="4" w:space="0"/>
              <w:bottom w:val="single" w:color="auto" w:sz="4" w:space="0"/>
              <w:right w:val="single" w:color="auto" w:sz="4" w:space="0"/>
            </w:tcBorders>
            <w:vAlign w:val="center"/>
          </w:tcPr>
          <w:p w14:paraId="36E32EA1">
            <w:pPr>
              <w:autoSpaceDE w:val="0"/>
              <w:autoSpaceDN w:val="0"/>
              <w:adjustRightInd w:val="0"/>
              <w:spacing w:line="400" w:lineRule="exact"/>
              <w:jc w:val="center"/>
              <w:rPr>
                <w:rFonts w:hint="default" w:ascii="宋体" w:hAnsi="宋体" w:eastAsia="宋体" w:cs="宋体"/>
                <w:bCs/>
                <w:color w:val="auto"/>
                <w:kern w:val="0"/>
                <w:szCs w:val="21"/>
                <w:highlight w:val="none"/>
                <w:lang w:val="en-US" w:eastAsia="zh-CN"/>
              </w:rPr>
            </w:pPr>
            <w:r>
              <w:rPr>
                <w:rFonts w:hint="eastAsia" w:ascii="宋体" w:hAnsi="宋体" w:eastAsia="宋体" w:cs="宋体"/>
                <w:bCs/>
                <w:color w:val="auto"/>
                <w:kern w:val="0"/>
                <w:szCs w:val="21"/>
                <w:highlight w:val="none"/>
                <w:lang w:val="en-US" w:eastAsia="zh-CN"/>
              </w:rPr>
              <w:t>60分</w:t>
            </w:r>
          </w:p>
        </w:tc>
      </w:tr>
      <w:tr w14:paraId="23C76A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54" w:type="pct"/>
            <w:tcBorders>
              <w:top w:val="single" w:color="auto" w:sz="4" w:space="0"/>
              <w:left w:val="single" w:color="auto" w:sz="4" w:space="0"/>
              <w:bottom w:val="single" w:color="auto" w:sz="4" w:space="0"/>
              <w:right w:val="single" w:color="auto" w:sz="4" w:space="0"/>
            </w:tcBorders>
            <w:vAlign w:val="center"/>
          </w:tcPr>
          <w:p w14:paraId="08C528D6">
            <w:pPr>
              <w:spacing w:line="400" w:lineRule="exact"/>
              <w:jc w:val="center"/>
              <w:rPr>
                <w:rFonts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2、技术</w:t>
            </w:r>
          </w:p>
        </w:tc>
        <w:tc>
          <w:tcPr>
            <w:tcW w:w="2745" w:type="pct"/>
            <w:tcBorders>
              <w:top w:val="single" w:color="auto" w:sz="4" w:space="0"/>
              <w:left w:val="single" w:color="auto" w:sz="4" w:space="0"/>
              <w:bottom w:val="single" w:color="auto" w:sz="4" w:space="0"/>
              <w:right w:val="single" w:color="auto" w:sz="4" w:space="0"/>
            </w:tcBorders>
            <w:vAlign w:val="center"/>
          </w:tcPr>
          <w:p w14:paraId="18C275BC">
            <w:pPr>
              <w:autoSpaceDE w:val="0"/>
              <w:autoSpaceDN w:val="0"/>
              <w:adjustRightInd w:val="0"/>
              <w:spacing w:line="400" w:lineRule="exact"/>
              <w:jc w:val="center"/>
              <w:rPr>
                <w:rFonts w:hint="default" w:ascii="宋体" w:hAnsi="宋体" w:eastAsia="宋体" w:cs="宋体"/>
                <w:bCs/>
                <w:color w:val="auto"/>
                <w:kern w:val="0"/>
                <w:szCs w:val="21"/>
                <w:highlight w:val="none"/>
                <w:lang w:val="en-US" w:eastAsia="zh-CN"/>
              </w:rPr>
            </w:pPr>
            <w:r>
              <w:rPr>
                <w:rFonts w:hint="eastAsia" w:ascii="宋体" w:hAnsi="宋体" w:eastAsia="宋体" w:cs="宋体"/>
                <w:bCs/>
                <w:color w:val="auto"/>
                <w:kern w:val="0"/>
                <w:szCs w:val="21"/>
                <w:highlight w:val="none"/>
                <w:lang w:val="en-US" w:eastAsia="zh-CN"/>
              </w:rPr>
              <w:t>40分</w:t>
            </w:r>
          </w:p>
        </w:tc>
      </w:tr>
    </w:tbl>
    <w:p w14:paraId="3ADF3D02">
      <w:pPr>
        <w:numPr>
          <w:ilvl w:val="0"/>
          <w:numId w:val="5"/>
        </w:numPr>
        <w:autoSpaceDE w:val="0"/>
        <w:autoSpaceDN w:val="0"/>
        <w:adjustRightInd w:val="0"/>
        <w:spacing w:line="360" w:lineRule="auto"/>
        <w:rPr>
          <w:rFonts w:hint="eastAsia" w:ascii="宋体" w:hAnsi="宋体" w:eastAsia="宋体" w:cs="宋体"/>
          <w:b/>
          <w:color w:val="auto"/>
          <w:szCs w:val="21"/>
          <w:highlight w:val="none"/>
          <w:lang w:bidi="ar"/>
        </w:rPr>
      </w:pPr>
      <w:r>
        <w:rPr>
          <w:rFonts w:hint="eastAsia" w:ascii="宋体" w:hAnsi="宋体" w:eastAsia="宋体" w:cs="宋体"/>
          <w:b/>
          <w:color w:val="auto"/>
          <w:szCs w:val="21"/>
          <w:highlight w:val="none"/>
          <w:lang w:bidi="ar"/>
        </w:rPr>
        <w:t>商务：总分</w:t>
      </w:r>
      <w:r>
        <w:rPr>
          <w:rFonts w:hint="eastAsia" w:ascii="宋体" w:hAnsi="宋体" w:eastAsia="宋体" w:cs="宋体"/>
          <w:b/>
          <w:color w:val="auto"/>
          <w:szCs w:val="21"/>
          <w:highlight w:val="none"/>
          <w:lang w:val="en-US" w:eastAsia="zh-CN" w:bidi="ar"/>
        </w:rPr>
        <w:t xml:space="preserve"> 60</w:t>
      </w:r>
      <w:r>
        <w:rPr>
          <w:rFonts w:hint="eastAsia" w:ascii="宋体" w:hAnsi="宋体" w:eastAsia="宋体" w:cs="宋体"/>
          <w:b/>
          <w:color w:val="auto"/>
          <w:szCs w:val="21"/>
          <w:highlight w:val="none"/>
          <w:lang w:bidi="ar"/>
        </w:rPr>
        <w:t>分</w:t>
      </w:r>
    </w:p>
    <w:tbl>
      <w:tblPr>
        <w:tblStyle w:val="52"/>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1950"/>
        <w:gridCol w:w="6651"/>
        <w:gridCol w:w="1062"/>
      </w:tblGrid>
      <w:tr w14:paraId="63B09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0" w:type="pct"/>
            <w:vAlign w:val="center"/>
          </w:tcPr>
          <w:p w14:paraId="371B146B">
            <w:pPr>
              <w:keepNext w:val="0"/>
              <w:keepLines w:val="0"/>
              <w:pageBreakBefore w:val="0"/>
              <w:widowControl w:val="0"/>
              <w:kinsoku/>
              <w:wordWrap/>
              <w:overflowPunct/>
              <w:topLinePunct w:val="0"/>
              <w:autoSpaceDE/>
              <w:autoSpaceDN/>
              <w:bidi w:val="0"/>
              <w:adjustRightInd/>
              <w:snapToGrid w:val="0"/>
              <w:spacing w:line="400" w:lineRule="exact"/>
              <w:ind w:left="-53" w:leftChars="-25" w:right="-38" w:rightChars="-18" w:firstLine="2"/>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940" w:type="pct"/>
            <w:vAlign w:val="center"/>
          </w:tcPr>
          <w:p w14:paraId="16F1AC7E">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评审</w:t>
            </w:r>
            <w:r>
              <w:rPr>
                <w:rFonts w:hint="eastAsia" w:ascii="宋体" w:hAnsi="宋体" w:eastAsia="宋体" w:cs="宋体"/>
                <w:b/>
                <w:color w:val="auto"/>
                <w:szCs w:val="21"/>
                <w:highlight w:val="none"/>
                <w:lang w:val="zh-CN"/>
              </w:rPr>
              <w:t>内容</w:t>
            </w:r>
          </w:p>
        </w:tc>
        <w:tc>
          <w:tcPr>
            <w:tcW w:w="3206" w:type="pct"/>
            <w:vAlign w:val="center"/>
          </w:tcPr>
          <w:p w14:paraId="7C064565">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kern w:val="0"/>
                <w:szCs w:val="21"/>
                <w:highlight w:val="none"/>
              </w:rPr>
              <w:t>评审细则</w:t>
            </w:r>
          </w:p>
        </w:tc>
        <w:tc>
          <w:tcPr>
            <w:tcW w:w="512" w:type="pct"/>
            <w:shd w:val="clear" w:color="auto" w:fill="auto"/>
            <w:vAlign w:val="center"/>
          </w:tcPr>
          <w:p w14:paraId="3243C764">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sz w:val="21"/>
                <w:szCs w:val="21"/>
                <w:highlight w:val="none"/>
              </w:rPr>
              <w:t>满分值</w:t>
            </w:r>
          </w:p>
        </w:tc>
      </w:tr>
      <w:tr w14:paraId="16D81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pct"/>
            <w:vAlign w:val="center"/>
          </w:tcPr>
          <w:p w14:paraId="44CF4EE4">
            <w:pPr>
              <w:keepNext w:val="0"/>
              <w:keepLines w:val="0"/>
              <w:pageBreakBefore w:val="0"/>
              <w:widowControl w:val="0"/>
              <w:kinsoku/>
              <w:wordWrap/>
              <w:overflowPunct/>
              <w:topLinePunct w:val="0"/>
              <w:bidi w:val="0"/>
              <w:snapToGrid w:val="0"/>
              <w:spacing w:line="400" w:lineRule="exact"/>
              <w:ind w:left="-53" w:leftChars="-25" w:right="-38" w:rightChars="-18" w:firstLine="2"/>
              <w:jc w:val="center"/>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w:t>
            </w:r>
          </w:p>
        </w:tc>
        <w:tc>
          <w:tcPr>
            <w:tcW w:w="940" w:type="pct"/>
            <w:vAlign w:val="center"/>
          </w:tcPr>
          <w:p w14:paraId="5962094F">
            <w:pPr>
              <w:keepNext w:val="0"/>
              <w:keepLines w:val="0"/>
              <w:pageBreakBefore w:val="0"/>
              <w:widowControl w:val="0"/>
              <w:kinsoku/>
              <w:wordWrap/>
              <w:overflowPunct/>
              <w:topLinePunct w:val="0"/>
              <w:bidi w:val="0"/>
              <w:snapToGrid w:val="0"/>
              <w:spacing w:line="400" w:lineRule="exact"/>
              <w:jc w:val="center"/>
              <w:textAlignment w:val="auto"/>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lang w:val="zh-CN"/>
              </w:rPr>
              <w:t>财务状况</w:t>
            </w:r>
          </w:p>
        </w:tc>
        <w:tc>
          <w:tcPr>
            <w:tcW w:w="3206" w:type="pct"/>
            <w:tcBorders>
              <w:top w:val="single" w:color="auto" w:sz="4" w:space="0"/>
              <w:left w:val="single" w:color="auto" w:sz="4" w:space="0"/>
              <w:bottom w:val="single" w:color="auto" w:sz="4" w:space="0"/>
              <w:right w:val="single" w:color="auto" w:sz="4" w:space="0"/>
            </w:tcBorders>
            <w:vAlign w:val="center"/>
          </w:tcPr>
          <w:p w14:paraId="1B6D9E24">
            <w:pPr>
              <w:keepNext w:val="0"/>
              <w:keepLines w:val="0"/>
              <w:pageBreakBefore w:val="0"/>
              <w:widowControl w:val="0"/>
              <w:kinsoku/>
              <w:wordWrap/>
              <w:overflowPunct/>
              <w:topLinePunct w:val="0"/>
              <w:bidi w:val="0"/>
              <w:snapToGrid w:val="0"/>
              <w:spacing w:line="400" w:lineRule="exac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投标人</w:t>
            </w:r>
            <w:r>
              <w:rPr>
                <w:rFonts w:hint="eastAsia" w:ascii="宋体" w:hAnsi="宋体" w:eastAsia="宋体" w:cs="宋体"/>
                <w:color w:val="auto"/>
                <w:szCs w:val="21"/>
                <w:highlight w:val="none"/>
              </w:rPr>
              <w:t>202</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年-202</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年三个年度，每具有1个年度盈利的得1分，满分3分。</w:t>
            </w:r>
          </w:p>
          <w:p w14:paraId="4D3A73D6">
            <w:pPr>
              <w:keepNext w:val="0"/>
              <w:keepLines w:val="0"/>
              <w:pageBreakBefore w:val="0"/>
              <w:widowControl w:val="0"/>
              <w:kinsoku/>
              <w:wordWrap/>
              <w:overflowPunct/>
              <w:topLinePunct w:val="0"/>
              <w:autoSpaceDE w:val="0"/>
              <w:autoSpaceDN w:val="0"/>
              <w:bidi w:val="0"/>
              <w:spacing w:line="400" w:lineRule="exact"/>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备注：</w:t>
            </w:r>
          </w:p>
          <w:p w14:paraId="24295954">
            <w:pPr>
              <w:keepNext w:val="0"/>
              <w:keepLines w:val="0"/>
              <w:pageBreakBefore w:val="0"/>
              <w:widowControl w:val="0"/>
              <w:kinsoku/>
              <w:wordWrap/>
              <w:overflowPunct/>
              <w:topLinePunct w:val="0"/>
              <w:autoSpaceDE w:val="0"/>
              <w:autoSpaceDN w:val="0"/>
              <w:bidi w:val="0"/>
              <w:spacing w:line="400" w:lineRule="exact"/>
              <w:jc w:val="left"/>
              <w:textAlignment w:val="auto"/>
              <w:rPr>
                <w:rFonts w:hint="eastAsia" w:ascii="宋体" w:hAnsi="宋体" w:eastAsia="宋体" w:cs="宋体"/>
                <w:b/>
                <w:color w:val="auto"/>
                <w:sz w:val="21"/>
                <w:szCs w:val="21"/>
                <w:highlight w:val="none"/>
              </w:rPr>
            </w:pPr>
            <w:r>
              <w:rPr>
                <w:rFonts w:hint="eastAsia" w:ascii="宋体" w:hAnsi="宋体" w:eastAsia="宋体" w:cs="宋体"/>
                <w:b/>
                <w:bCs/>
                <w:color w:val="auto"/>
                <w:szCs w:val="21"/>
                <w:highlight w:val="none"/>
              </w:rPr>
              <w:t>盈利指净利润为正数（非零、非负数），</w:t>
            </w:r>
            <w:r>
              <w:rPr>
                <w:rFonts w:hint="eastAsia" w:ascii="宋体" w:hAnsi="宋体" w:eastAsia="宋体" w:cs="宋体"/>
                <w:b/>
                <w:bCs/>
                <w:color w:val="auto"/>
                <w:szCs w:val="21"/>
                <w:highlight w:val="none"/>
                <w:lang w:eastAsia="zh-CN"/>
              </w:rPr>
              <w:t>投标人</w:t>
            </w:r>
            <w:r>
              <w:rPr>
                <w:rFonts w:hint="eastAsia" w:ascii="宋体" w:hAnsi="宋体" w:eastAsia="宋体" w:cs="宋体"/>
                <w:b/>
                <w:bCs/>
                <w:color w:val="auto"/>
                <w:szCs w:val="21"/>
                <w:highlight w:val="none"/>
              </w:rPr>
              <w:t>应提供20</w:t>
            </w:r>
            <w:r>
              <w:rPr>
                <w:rFonts w:hint="eastAsia" w:ascii="宋体" w:hAnsi="宋体" w:eastAsia="宋体" w:cs="宋体"/>
                <w:b/>
                <w:bCs/>
                <w:color w:val="auto"/>
                <w:szCs w:val="21"/>
                <w:highlight w:val="none"/>
                <w:lang w:val="en-US" w:eastAsia="zh-CN"/>
              </w:rPr>
              <w:t>22</w:t>
            </w:r>
            <w:r>
              <w:rPr>
                <w:rFonts w:hint="eastAsia" w:ascii="宋体" w:hAnsi="宋体" w:eastAsia="宋体" w:cs="宋体"/>
                <w:b/>
                <w:bCs/>
                <w:color w:val="auto"/>
                <w:szCs w:val="21"/>
                <w:highlight w:val="none"/>
              </w:rPr>
              <w:t>年、20</w:t>
            </w:r>
            <w:r>
              <w:rPr>
                <w:rFonts w:hint="eastAsia" w:ascii="宋体" w:hAnsi="宋体" w:eastAsia="宋体" w:cs="宋体"/>
                <w:b/>
                <w:bCs/>
                <w:color w:val="auto"/>
                <w:szCs w:val="21"/>
                <w:highlight w:val="none"/>
                <w:lang w:val="en-US" w:eastAsia="zh-CN"/>
              </w:rPr>
              <w:t>23</w:t>
            </w:r>
            <w:r>
              <w:rPr>
                <w:rFonts w:hint="eastAsia" w:ascii="宋体" w:hAnsi="宋体" w:eastAsia="宋体" w:cs="宋体"/>
                <w:b/>
                <w:bCs/>
                <w:color w:val="auto"/>
                <w:szCs w:val="21"/>
                <w:highlight w:val="none"/>
              </w:rPr>
              <w:t>年、20</w:t>
            </w:r>
            <w:r>
              <w:rPr>
                <w:rFonts w:hint="eastAsia" w:ascii="宋体" w:hAnsi="宋体" w:eastAsia="宋体" w:cs="宋体"/>
                <w:b/>
                <w:bCs/>
                <w:color w:val="auto"/>
                <w:szCs w:val="21"/>
                <w:highlight w:val="none"/>
                <w:lang w:val="en-US" w:eastAsia="zh-CN"/>
              </w:rPr>
              <w:t>24</w:t>
            </w:r>
            <w:r>
              <w:rPr>
                <w:rFonts w:hint="eastAsia" w:ascii="宋体" w:hAnsi="宋体" w:eastAsia="宋体" w:cs="宋体"/>
                <w:b/>
                <w:bCs/>
                <w:color w:val="auto"/>
                <w:szCs w:val="21"/>
                <w:highlight w:val="none"/>
              </w:rPr>
              <w:t>年三个年度的财务报表，净利润以对应年度经审计的财务报表为准，应提供经独立会计师事务所审计过的有效的财务报表原件扫描件；未提供前述财务报表或财务报表未能反映净利润的，不得分。</w:t>
            </w:r>
          </w:p>
        </w:tc>
        <w:tc>
          <w:tcPr>
            <w:tcW w:w="512" w:type="pct"/>
            <w:tcBorders>
              <w:top w:val="single" w:color="auto" w:sz="4" w:space="0"/>
              <w:left w:val="single" w:color="auto" w:sz="4" w:space="0"/>
              <w:bottom w:val="single" w:color="auto" w:sz="4" w:space="0"/>
              <w:right w:val="single" w:color="auto" w:sz="4" w:space="0"/>
            </w:tcBorders>
            <w:shd w:val="clear" w:color="auto" w:fill="auto"/>
            <w:vAlign w:val="center"/>
          </w:tcPr>
          <w:p w14:paraId="09639B2B">
            <w:pPr>
              <w:keepNext w:val="0"/>
              <w:keepLines w:val="0"/>
              <w:pageBreakBefore w:val="0"/>
              <w:widowControl w:val="0"/>
              <w:tabs>
                <w:tab w:val="left" w:pos="134"/>
              </w:tabs>
              <w:kinsoku/>
              <w:wordWrap/>
              <w:overflowPunct/>
              <w:topLinePunct w:val="0"/>
              <w:bidi w:val="0"/>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3分</w:t>
            </w:r>
          </w:p>
        </w:tc>
      </w:tr>
      <w:tr w14:paraId="39832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pct"/>
            <w:vAlign w:val="center"/>
          </w:tcPr>
          <w:p w14:paraId="2ABB1D09">
            <w:pPr>
              <w:keepNext w:val="0"/>
              <w:keepLines w:val="0"/>
              <w:pageBreakBefore w:val="0"/>
              <w:widowControl w:val="0"/>
              <w:kinsoku/>
              <w:wordWrap/>
              <w:overflowPunct/>
              <w:topLinePunct w:val="0"/>
              <w:bidi w:val="0"/>
              <w:snapToGrid w:val="0"/>
              <w:spacing w:line="400" w:lineRule="exact"/>
              <w:ind w:left="-53" w:leftChars="-25" w:right="-38" w:rightChars="-18" w:firstLine="2"/>
              <w:jc w:val="center"/>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2</w:t>
            </w:r>
          </w:p>
        </w:tc>
        <w:tc>
          <w:tcPr>
            <w:tcW w:w="940" w:type="pct"/>
            <w:vAlign w:val="center"/>
          </w:tcPr>
          <w:p w14:paraId="367B2A07">
            <w:pPr>
              <w:keepNext w:val="0"/>
              <w:keepLines w:val="0"/>
              <w:pageBreakBefore w:val="0"/>
              <w:widowControl w:val="0"/>
              <w:kinsoku/>
              <w:wordWrap/>
              <w:overflowPunct/>
              <w:topLinePunct w:val="0"/>
              <w:bidi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标准化程度</w:t>
            </w:r>
          </w:p>
        </w:tc>
        <w:tc>
          <w:tcPr>
            <w:tcW w:w="3206" w:type="pct"/>
            <w:tcBorders>
              <w:top w:val="single" w:color="auto" w:sz="4" w:space="0"/>
              <w:left w:val="single" w:color="auto" w:sz="4" w:space="0"/>
              <w:bottom w:val="single" w:color="auto" w:sz="4" w:space="0"/>
              <w:right w:val="single" w:color="auto" w:sz="4" w:space="0"/>
            </w:tcBorders>
            <w:vAlign w:val="center"/>
          </w:tcPr>
          <w:p w14:paraId="398C52B2">
            <w:pPr>
              <w:keepNext w:val="0"/>
              <w:keepLines w:val="0"/>
              <w:suppressLineNumbers w:val="0"/>
              <w:autoSpaceDE w:val="0"/>
              <w:autoSpaceDN w:val="0"/>
              <w:adjustRightInd w:val="0"/>
              <w:snapToGrid w:val="0"/>
              <w:spacing w:before="0" w:beforeAutospacing="0" w:after="0" w:afterAutospacing="0" w:line="400" w:lineRule="exact"/>
              <w:ind w:left="0" w:right="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投标人具有</w:t>
            </w:r>
            <w:r>
              <w:rPr>
                <w:rFonts w:hint="eastAsia" w:ascii="宋体" w:hAnsi="宋体" w:eastAsia="宋体" w:cs="宋体"/>
                <w:color w:val="auto"/>
                <w:szCs w:val="21"/>
                <w:highlight w:val="none"/>
              </w:rPr>
              <w:t>有效期内的ISO9001质量管理体系认证证书，得1分。</w:t>
            </w:r>
          </w:p>
          <w:p w14:paraId="6161858A">
            <w:pPr>
              <w:keepNext w:val="0"/>
              <w:keepLines w:val="0"/>
              <w:suppressLineNumbers w:val="0"/>
              <w:autoSpaceDE w:val="0"/>
              <w:autoSpaceDN w:val="0"/>
              <w:adjustRightInd w:val="0"/>
              <w:snapToGrid w:val="0"/>
              <w:spacing w:before="0" w:beforeAutospacing="0" w:after="0" w:afterAutospacing="0" w:line="400" w:lineRule="exact"/>
              <w:ind w:left="0" w:right="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投标人具有</w:t>
            </w:r>
            <w:r>
              <w:rPr>
                <w:rFonts w:hint="eastAsia" w:ascii="宋体" w:hAnsi="宋体" w:eastAsia="宋体" w:cs="宋体"/>
                <w:color w:val="auto"/>
                <w:szCs w:val="21"/>
                <w:highlight w:val="none"/>
              </w:rPr>
              <w:t>有效期内的ISO14001环境管理体系认证证书，得1分。</w:t>
            </w:r>
          </w:p>
          <w:p w14:paraId="220E275C">
            <w:pPr>
              <w:keepNext w:val="0"/>
              <w:keepLines w:val="0"/>
              <w:suppressLineNumbers w:val="0"/>
              <w:autoSpaceDE w:val="0"/>
              <w:autoSpaceDN w:val="0"/>
              <w:adjustRightInd w:val="0"/>
              <w:snapToGrid w:val="0"/>
              <w:spacing w:before="0" w:beforeAutospacing="0" w:after="0" w:afterAutospacing="0" w:line="400" w:lineRule="exact"/>
              <w:ind w:left="0" w:right="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投标人具有</w:t>
            </w:r>
            <w:r>
              <w:rPr>
                <w:rFonts w:hint="eastAsia" w:ascii="宋体" w:hAnsi="宋体" w:eastAsia="宋体" w:cs="宋体"/>
                <w:color w:val="auto"/>
                <w:szCs w:val="21"/>
                <w:highlight w:val="none"/>
              </w:rPr>
              <w:t>有效期内的OHSAS18001（或GB/T45001-2020，或ISO45001）职业健康安全管理体系认证证书，得1分。</w:t>
            </w:r>
          </w:p>
          <w:p w14:paraId="6EFBD4F4">
            <w:pPr>
              <w:keepNext w:val="0"/>
              <w:keepLines w:val="0"/>
              <w:pageBreakBefore w:val="0"/>
              <w:widowControl/>
              <w:kinsoku/>
              <w:wordWrap/>
              <w:overflowPunct/>
              <w:topLinePunct w:val="0"/>
              <w:autoSpaceDE w:val="0"/>
              <w:autoSpaceDN w:val="0"/>
              <w:bidi w:val="0"/>
              <w:adjustRightInd w:val="0"/>
              <w:snapToGrid w:val="0"/>
              <w:spacing w:line="400" w:lineRule="exact"/>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备注：</w:t>
            </w:r>
          </w:p>
          <w:p w14:paraId="4FBC55AD">
            <w:pPr>
              <w:keepNext w:val="0"/>
              <w:keepLines w:val="0"/>
              <w:pageBreakBefore w:val="0"/>
              <w:widowControl/>
              <w:kinsoku/>
              <w:wordWrap/>
              <w:overflowPunct/>
              <w:topLinePunct w:val="0"/>
              <w:autoSpaceDE w:val="0"/>
              <w:autoSpaceDN w:val="0"/>
              <w:bidi w:val="0"/>
              <w:adjustRightInd w:val="0"/>
              <w:snapToGrid w:val="0"/>
              <w:spacing w:line="400" w:lineRule="exact"/>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Cs w:val="21"/>
                <w:highlight w:val="none"/>
              </w:rPr>
              <w:t>提供上述有效证书原件扫描件及能显示证书有效状态的全国认证认可信息公共服务平台（http://cx.cnca.cn/）查询结果凭证{凭证界面需显示有“全国认证认可信息公共服务平台”或“认证证书（需显示网址cx.cnca.cn）”}，否则不得分。</w:t>
            </w:r>
          </w:p>
        </w:tc>
        <w:tc>
          <w:tcPr>
            <w:tcW w:w="512" w:type="pct"/>
            <w:tcBorders>
              <w:top w:val="single" w:color="auto" w:sz="4" w:space="0"/>
              <w:left w:val="single" w:color="auto" w:sz="4" w:space="0"/>
              <w:bottom w:val="single" w:color="auto" w:sz="4" w:space="0"/>
              <w:right w:val="single" w:color="auto" w:sz="4" w:space="0"/>
            </w:tcBorders>
            <w:shd w:val="clear" w:color="auto" w:fill="auto"/>
            <w:vAlign w:val="center"/>
          </w:tcPr>
          <w:p w14:paraId="196286CC">
            <w:pPr>
              <w:keepNext w:val="0"/>
              <w:keepLines w:val="0"/>
              <w:pageBreakBefore w:val="0"/>
              <w:widowControl w:val="0"/>
              <w:tabs>
                <w:tab w:val="left" w:pos="134"/>
              </w:tabs>
              <w:kinsoku/>
              <w:wordWrap/>
              <w:overflowPunct/>
              <w:topLinePunct w:val="0"/>
              <w:bidi w:val="0"/>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3分</w:t>
            </w:r>
          </w:p>
        </w:tc>
      </w:tr>
      <w:tr w14:paraId="3DC33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pct"/>
            <w:vAlign w:val="center"/>
          </w:tcPr>
          <w:p w14:paraId="786FFF99">
            <w:pPr>
              <w:keepNext w:val="0"/>
              <w:keepLines w:val="0"/>
              <w:pageBreakBefore w:val="0"/>
              <w:widowControl w:val="0"/>
              <w:kinsoku/>
              <w:wordWrap/>
              <w:overflowPunct/>
              <w:topLinePunct w:val="0"/>
              <w:bidi w:val="0"/>
              <w:snapToGrid w:val="0"/>
              <w:spacing w:line="400" w:lineRule="exact"/>
              <w:ind w:left="-53" w:leftChars="-25" w:right="-38" w:rightChars="-18" w:firstLine="2"/>
              <w:jc w:val="center"/>
              <w:textAlignment w:val="auto"/>
              <w:rPr>
                <w:rFonts w:hint="default"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3</w:t>
            </w:r>
          </w:p>
        </w:tc>
        <w:tc>
          <w:tcPr>
            <w:tcW w:w="940" w:type="pct"/>
            <w:vAlign w:val="center"/>
          </w:tcPr>
          <w:p w14:paraId="4D07C848">
            <w:pPr>
              <w:keepNext w:val="0"/>
              <w:keepLines w:val="0"/>
              <w:pageBreakBefore w:val="0"/>
              <w:widowControl w:val="0"/>
              <w:kinsoku/>
              <w:wordWrap/>
              <w:overflowPunct/>
              <w:topLinePunct w:val="0"/>
              <w:bidi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zh-CN"/>
              </w:rPr>
              <w:t>处置能力</w:t>
            </w:r>
          </w:p>
        </w:tc>
        <w:tc>
          <w:tcPr>
            <w:tcW w:w="3206" w:type="pct"/>
            <w:tcBorders>
              <w:top w:val="single" w:color="auto" w:sz="4" w:space="0"/>
              <w:left w:val="single" w:color="auto" w:sz="4" w:space="0"/>
              <w:bottom w:val="single" w:color="auto" w:sz="4" w:space="0"/>
              <w:right w:val="single" w:color="auto" w:sz="4" w:space="0"/>
            </w:tcBorders>
            <w:vAlign w:val="center"/>
          </w:tcPr>
          <w:p w14:paraId="02E4E582">
            <w:pPr>
              <w:adjustRightInd/>
              <w:spacing w:line="360" w:lineRule="auto"/>
              <w:jc w:val="both"/>
              <w:rPr>
                <w:rFonts w:hint="eastAsia" w:ascii="宋体" w:hAnsi="宋体" w:eastAsia="宋体" w:cs="宋体"/>
                <w:sz w:val="21"/>
                <w:szCs w:val="21"/>
                <w:highlight w:val="none"/>
                <w:lang w:val="zh-CN"/>
              </w:rPr>
            </w:pPr>
            <w:r>
              <w:rPr>
                <w:rFonts w:hint="eastAsia" w:ascii="宋体" w:hAnsi="宋体" w:eastAsia="宋体" w:cs="宋体"/>
                <w:sz w:val="21"/>
                <w:szCs w:val="21"/>
                <w:highlight w:val="none"/>
                <w:lang w:val="zh-CN"/>
              </w:rPr>
              <w:t>对</w:t>
            </w:r>
            <w:r>
              <w:rPr>
                <w:rFonts w:hint="eastAsia" w:ascii="宋体" w:hAnsi="宋体" w:eastAsia="宋体" w:cs="宋体"/>
                <w:sz w:val="21"/>
                <w:szCs w:val="21"/>
                <w:highlight w:val="none"/>
                <w:lang w:val="zh-CN" w:eastAsia="zh-CN"/>
              </w:rPr>
              <w:t>投标人</w:t>
            </w:r>
            <w:r>
              <w:rPr>
                <w:rFonts w:hint="eastAsia" w:ascii="宋体" w:hAnsi="宋体" w:eastAsia="宋体" w:cs="宋体"/>
                <w:sz w:val="21"/>
                <w:szCs w:val="21"/>
                <w:highlight w:val="none"/>
                <w:lang w:val="zh-CN"/>
              </w:rPr>
              <w:t>泥粉/污泥</w:t>
            </w:r>
            <w:r>
              <w:rPr>
                <w:rFonts w:hint="eastAsia" w:ascii="宋体" w:hAnsi="宋体" w:eastAsia="宋体" w:cs="宋体"/>
                <w:b w:val="0"/>
                <w:bCs w:val="0"/>
                <w:color w:val="auto"/>
                <w:szCs w:val="21"/>
                <w:highlight w:val="none"/>
                <w:lang w:val="en-US" w:eastAsia="zh-CN"/>
              </w:rPr>
              <w:t>处置场所</w:t>
            </w:r>
            <w:r>
              <w:rPr>
                <w:rFonts w:hint="eastAsia" w:ascii="宋体" w:hAnsi="宋体" w:eastAsia="宋体" w:cs="宋体"/>
                <w:sz w:val="21"/>
                <w:szCs w:val="21"/>
                <w:highlight w:val="none"/>
                <w:lang w:val="zh-CN"/>
              </w:rPr>
              <w:t>处置能力进行评审：</w:t>
            </w:r>
          </w:p>
          <w:p w14:paraId="57C0828C">
            <w:pPr>
              <w:adjustRightInd/>
              <w:spacing w:line="360" w:lineRule="auto"/>
              <w:jc w:val="both"/>
              <w:rPr>
                <w:rFonts w:hint="eastAsia" w:ascii="宋体" w:hAnsi="宋体" w:eastAsia="宋体" w:cs="宋体"/>
                <w:sz w:val="21"/>
                <w:szCs w:val="21"/>
                <w:highlight w:val="none"/>
                <w:lang w:val="zh-CN"/>
              </w:rPr>
            </w:pPr>
            <w:r>
              <w:rPr>
                <w:rFonts w:hint="eastAsia" w:ascii="宋体" w:hAnsi="宋体" w:eastAsia="宋体" w:cs="宋体"/>
                <w:sz w:val="21"/>
                <w:szCs w:val="21"/>
                <w:highlight w:val="none"/>
                <w:lang w:val="zh-CN"/>
              </w:rPr>
              <w:t>（1）泥粉/污泥日处理量＞</w:t>
            </w:r>
            <w:r>
              <w:rPr>
                <w:rFonts w:hint="eastAsia" w:ascii="宋体" w:hAnsi="宋体" w:eastAsia="宋体" w:cs="宋体"/>
                <w:sz w:val="21"/>
                <w:szCs w:val="21"/>
                <w:highlight w:val="none"/>
                <w:lang w:val="en-US" w:eastAsia="zh-CN"/>
              </w:rPr>
              <w:t>500</w:t>
            </w:r>
            <w:r>
              <w:rPr>
                <w:rFonts w:hint="eastAsia" w:ascii="宋体" w:hAnsi="宋体" w:eastAsia="宋体" w:cs="宋体"/>
                <w:sz w:val="21"/>
                <w:szCs w:val="21"/>
                <w:highlight w:val="none"/>
                <w:lang w:val="zh-CN"/>
              </w:rPr>
              <w:t>吨/天，得20分；</w:t>
            </w:r>
          </w:p>
          <w:p w14:paraId="410636E9">
            <w:pPr>
              <w:adjustRightInd/>
              <w:spacing w:line="360" w:lineRule="auto"/>
              <w:jc w:val="both"/>
              <w:rPr>
                <w:rFonts w:hint="eastAsia" w:ascii="宋体" w:hAnsi="宋体" w:eastAsia="宋体" w:cs="宋体"/>
                <w:sz w:val="21"/>
                <w:szCs w:val="21"/>
                <w:highlight w:val="none"/>
                <w:lang w:val="zh-CN"/>
              </w:rPr>
            </w:pPr>
            <w:r>
              <w:rPr>
                <w:rFonts w:hint="eastAsia" w:ascii="宋体" w:hAnsi="宋体" w:eastAsia="宋体" w:cs="宋体"/>
                <w:sz w:val="21"/>
                <w:szCs w:val="21"/>
                <w:highlight w:val="none"/>
                <w:lang w:val="zh-CN"/>
              </w:rPr>
              <w:t>（2）</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lang w:val="zh-CN"/>
              </w:rPr>
              <w:t>00吨/天</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zh-CN"/>
              </w:rPr>
              <w:t>泥粉/污泥日处理量</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500</w:t>
            </w:r>
            <w:r>
              <w:rPr>
                <w:rFonts w:hint="eastAsia" w:ascii="宋体" w:hAnsi="宋体" w:eastAsia="宋体" w:cs="宋体"/>
                <w:sz w:val="21"/>
                <w:szCs w:val="21"/>
                <w:highlight w:val="none"/>
                <w:lang w:val="zh-CN"/>
              </w:rPr>
              <w:t>吨/天，得</w:t>
            </w:r>
            <w:r>
              <w:rPr>
                <w:rFonts w:hint="eastAsia" w:ascii="宋体" w:hAnsi="宋体" w:eastAsia="宋体" w:cs="宋体"/>
                <w:sz w:val="21"/>
                <w:szCs w:val="21"/>
                <w:highlight w:val="none"/>
                <w:lang w:val="en-US" w:eastAsia="zh-CN"/>
              </w:rPr>
              <w:t>15</w:t>
            </w:r>
            <w:r>
              <w:rPr>
                <w:rFonts w:hint="eastAsia" w:ascii="宋体" w:hAnsi="宋体" w:eastAsia="宋体" w:cs="宋体"/>
                <w:sz w:val="21"/>
                <w:szCs w:val="21"/>
                <w:highlight w:val="none"/>
                <w:lang w:val="zh-CN"/>
              </w:rPr>
              <w:t>分；</w:t>
            </w:r>
          </w:p>
          <w:p w14:paraId="12904048">
            <w:pPr>
              <w:adjustRightInd/>
              <w:spacing w:line="360" w:lineRule="auto"/>
              <w:jc w:val="both"/>
              <w:rPr>
                <w:rFonts w:hint="eastAsia" w:ascii="宋体" w:hAnsi="宋体" w:eastAsia="宋体" w:cs="宋体"/>
                <w:sz w:val="21"/>
                <w:szCs w:val="21"/>
                <w:highlight w:val="none"/>
                <w:lang w:val="zh-CN"/>
              </w:rPr>
            </w:pPr>
            <w:r>
              <w:rPr>
                <w:rFonts w:hint="eastAsia" w:ascii="宋体" w:hAnsi="宋体" w:eastAsia="宋体" w:cs="宋体"/>
                <w:sz w:val="21"/>
                <w:szCs w:val="21"/>
                <w:highlight w:val="none"/>
                <w:lang w:val="zh-CN"/>
              </w:rPr>
              <w:t>（</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lang w:val="zh-CN"/>
              </w:rPr>
              <w:t>）</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lang w:val="zh-CN"/>
              </w:rPr>
              <w:t>00吨/天</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zh-CN"/>
              </w:rPr>
              <w:t>泥粉/污泥日处理量</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300</w:t>
            </w:r>
            <w:r>
              <w:rPr>
                <w:rFonts w:hint="eastAsia" w:ascii="宋体" w:hAnsi="宋体" w:eastAsia="宋体" w:cs="宋体"/>
                <w:sz w:val="21"/>
                <w:szCs w:val="21"/>
                <w:highlight w:val="none"/>
                <w:lang w:val="zh-CN"/>
              </w:rPr>
              <w:t>吨/天，得</w:t>
            </w: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lang w:val="zh-CN"/>
              </w:rPr>
              <w:t>分；</w:t>
            </w:r>
          </w:p>
          <w:p w14:paraId="62E7A4D6">
            <w:pPr>
              <w:adjustRightInd/>
              <w:spacing w:line="360" w:lineRule="auto"/>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zh-CN"/>
              </w:rPr>
              <w:t>（</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lang w:val="zh-CN"/>
              </w:rPr>
              <w:t>）</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val="zh-CN"/>
              </w:rPr>
              <w:t>00吨/天</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zh-CN"/>
              </w:rPr>
              <w:t>泥粉/污泥日处理量</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00</w:t>
            </w:r>
            <w:r>
              <w:rPr>
                <w:rFonts w:hint="eastAsia" w:ascii="宋体" w:hAnsi="宋体" w:eastAsia="宋体" w:cs="宋体"/>
                <w:sz w:val="21"/>
                <w:szCs w:val="21"/>
                <w:highlight w:val="none"/>
                <w:lang w:val="zh-CN"/>
              </w:rPr>
              <w:t>吨/天，得</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lang w:val="zh-CN"/>
              </w:rPr>
              <w:t>分</w:t>
            </w:r>
            <w:r>
              <w:rPr>
                <w:rFonts w:hint="eastAsia" w:ascii="宋体" w:hAnsi="宋体" w:eastAsia="宋体" w:cs="宋体"/>
                <w:sz w:val="21"/>
                <w:szCs w:val="21"/>
                <w:highlight w:val="none"/>
                <w:lang w:val="en-US" w:eastAsia="zh-CN"/>
              </w:rPr>
              <w:t>。</w:t>
            </w:r>
          </w:p>
          <w:p w14:paraId="1EA21E2F">
            <w:pPr>
              <w:pStyle w:val="32"/>
              <w:spacing w:line="360" w:lineRule="auto"/>
              <w:rPr>
                <w:rFonts w:hint="eastAsia" w:hAnsi="宋体" w:cs="宋体"/>
                <w:b/>
                <w:kern w:val="2"/>
                <w:sz w:val="21"/>
                <w:szCs w:val="21"/>
                <w:highlight w:val="none"/>
                <w:lang w:val="en-US" w:eastAsia="zh-CN"/>
              </w:rPr>
            </w:pPr>
            <w:r>
              <w:rPr>
                <w:rFonts w:hint="eastAsia" w:hAnsi="宋体" w:cs="宋体"/>
                <w:b/>
                <w:kern w:val="2"/>
                <w:sz w:val="21"/>
                <w:szCs w:val="21"/>
                <w:highlight w:val="none"/>
                <w:lang w:val="en-US" w:eastAsia="zh-CN"/>
              </w:rPr>
              <w:t>备注：</w:t>
            </w:r>
          </w:p>
          <w:p w14:paraId="168DC4DE">
            <w:pPr>
              <w:spacing w:line="400" w:lineRule="exact"/>
              <w:rPr>
                <w:rFonts w:hint="eastAsia" w:ascii="宋体" w:hAnsi="宋体" w:eastAsia="宋体"/>
                <w:b/>
                <w:bCs/>
                <w:color w:val="auto"/>
                <w:szCs w:val="21"/>
                <w:highlight w:val="none"/>
                <w:lang w:eastAsia="zh-CN"/>
              </w:rPr>
            </w:pPr>
            <w:r>
              <w:rPr>
                <w:rFonts w:hint="eastAsia" w:ascii="宋体" w:hAnsi="宋体" w:eastAsia="宋体" w:cs="宋体"/>
                <w:b/>
                <w:bCs/>
                <w:szCs w:val="21"/>
                <w:highlight w:val="none"/>
              </w:rPr>
              <w:t>（1）评审时，评标委员会将根据投标人提供的资格证明文件以及下述要求的证明材料（如有）进行评审。</w:t>
            </w:r>
          </w:p>
          <w:p w14:paraId="03F1B78F">
            <w:pPr>
              <w:spacing w:line="400" w:lineRule="exact"/>
              <w:rPr>
                <w:rFonts w:hint="eastAsia" w:ascii="宋体" w:hAnsi="宋体" w:eastAsia="宋体" w:cs="宋体"/>
                <w:b/>
                <w:bCs/>
                <w:sz w:val="21"/>
                <w:szCs w:val="21"/>
                <w:highlight w:val="none"/>
                <w:lang w:val="zh-CN"/>
              </w:rPr>
            </w:pPr>
            <w:r>
              <w:rPr>
                <w:rFonts w:hint="eastAsia" w:ascii="宋体" w:hAnsi="宋体" w:eastAsia="宋体" w:cs="宋体"/>
                <w:b/>
                <w:bCs/>
                <w:szCs w:val="21"/>
                <w:highlight w:val="none"/>
              </w:rPr>
              <w:t>（</w:t>
            </w:r>
            <w:r>
              <w:rPr>
                <w:rFonts w:hint="eastAsia" w:ascii="宋体" w:hAnsi="宋体" w:eastAsia="宋体" w:cs="宋体"/>
                <w:b/>
                <w:bCs/>
                <w:szCs w:val="21"/>
                <w:highlight w:val="none"/>
                <w:lang w:val="en-US" w:eastAsia="zh-CN"/>
              </w:rPr>
              <w:t>2</w:t>
            </w:r>
            <w:r>
              <w:rPr>
                <w:rFonts w:hint="eastAsia" w:ascii="宋体" w:hAnsi="宋体" w:eastAsia="宋体" w:cs="宋体"/>
                <w:b/>
                <w:bCs/>
                <w:szCs w:val="21"/>
                <w:highlight w:val="none"/>
              </w:rPr>
              <w:t>）</w:t>
            </w:r>
            <w:r>
              <w:rPr>
                <w:rFonts w:hint="eastAsia" w:ascii="宋体" w:hAnsi="宋体" w:eastAsia="宋体"/>
                <w:b/>
                <w:bCs/>
                <w:color w:val="auto"/>
                <w:szCs w:val="21"/>
                <w:highlight w:val="none"/>
                <w:lang w:val="en-US" w:eastAsia="zh-CN"/>
              </w:rPr>
              <w:t>投标人</w:t>
            </w:r>
            <w:r>
              <w:rPr>
                <w:rFonts w:hint="eastAsia" w:ascii="宋体" w:hAnsi="宋体" w:eastAsia="宋体" w:cs="宋体"/>
                <w:b/>
                <w:bCs/>
                <w:sz w:val="21"/>
                <w:szCs w:val="21"/>
                <w:highlight w:val="none"/>
                <w:lang w:val="zh-CN"/>
              </w:rPr>
              <w:t>泥粉/污泥</w:t>
            </w:r>
            <w:r>
              <w:rPr>
                <w:rFonts w:hint="eastAsia" w:ascii="宋体" w:hAnsi="宋体" w:eastAsia="宋体"/>
                <w:b/>
                <w:bCs/>
                <w:color w:val="auto"/>
                <w:szCs w:val="21"/>
                <w:highlight w:val="none"/>
                <w:lang w:val="en-US" w:eastAsia="zh-CN"/>
              </w:rPr>
              <w:t>处置能力</w:t>
            </w:r>
            <w:r>
              <w:rPr>
                <w:rFonts w:hint="eastAsia" w:ascii="宋体" w:hAnsi="宋体" w:eastAsia="宋体" w:cs="宋体"/>
                <w:b/>
                <w:bCs/>
                <w:szCs w:val="21"/>
                <w:highlight w:val="none"/>
              </w:rPr>
              <w:t>以</w:t>
            </w:r>
            <w:r>
              <w:rPr>
                <w:rFonts w:hint="eastAsia" w:ascii="宋体" w:hAnsi="宋体" w:eastAsia="宋体"/>
                <w:b/>
                <w:bCs/>
                <w:color w:val="auto"/>
                <w:szCs w:val="21"/>
                <w:highlight w:val="none"/>
                <w:lang w:val="en-US" w:eastAsia="zh-CN"/>
              </w:rPr>
              <w:t>生态环境主管部门环境影响评价文件的批复文件原件扫描件</w:t>
            </w:r>
            <w:r>
              <w:rPr>
                <w:rFonts w:hint="eastAsia" w:ascii="宋体" w:hAnsi="宋体" w:eastAsia="宋体" w:cs="宋体"/>
                <w:b/>
                <w:bCs/>
                <w:szCs w:val="21"/>
                <w:highlight w:val="none"/>
              </w:rPr>
              <w:t>为准，</w:t>
            </w:r>
            <w:r>
              <w:rPr>
                <w:rFonts w:hint="eastAsia" w:ascii="宋体" w:hAnsi="宋体" w:eastAsia="宋体"/>
                <w:b/>
                <w:bCs/>
                <w:color w:val="auto"/>
                <w:szCs w:val="21"/>
                <w:highlight w:val="none"/>
                <w:lang w:val="en-US" w:eastAsia="zh-CN"/>
              </w:rPr>
              <w:t>环境影响评价文件批复未明确处置能力的，投标人需提供环境影响评价文件原件扫描件，若环境影响评价文件批复及环境影响评价文件均未明确处置能力的，需提供地级市（或以上）生态环境主管部门或地级市（或以上）污泥主管部门出具的含有明确处置能力证明文件原件扫描件）</w:t>
            </w:r>
            <w:r>
              <w:rPr>
                <w:rFonts w:hint="eastAsia" w:ascii="宋体" w:hAnsi="宋体" w:eastAsia="宋体" w:cs="宋体"/>
                <w:b/>
                <w:bCs/>
                <w:szCs w:val="21"/>
                <w:highlight w:val="none"/>
              </w:rPr>
              <w:t>。</w:t>
            </w:r>
            <w:r>
              <w:rPr>
                <w:rFonts w:hint="eastAsia" w:ascii="宋体" w:hAnsi="宋体" w:eastAsia="宋体" w:cs="宋体"/>
                <w:b/>
                <w:bCs/>
                <w:sz w:val="21"/>
                <w:szCs w:val="21"/>
                <w:highlight w:val="none"/>
                <w:lang w:val="zh-CN"/>
              </w:rPr>
              <w:t>前述不同材料反映的规模不一致的，按最小数值判定该</w:t>
            </w:r>
            <w:r>
              <w:rPr>
                <w:rFonts w:hint="eastAsia" w:ascii="宋体" w:hAnsi="宋体" w:eastAsia="宋体" w:cs="宋体"/>
                <w:b/>
                <w:bCs/>
                <w:sz w:val="21"/>
                <w:szCs w:val="21"/>
                <w:highlight w:val="none"/>
                <w:lang w:val="en-US" w:eastAsia="zh-CN"/>
              </w:rPr>
              <w:t>投标人</w:t>
            </w:r>
            <w:r>
              <w:rPr>
                <w:rFonts w:hint="eastAsia" w:ascii="宋体" w:hAnsi="宋体" w:eastAsia="宋体" w:cs="宋体"/>
                <w:b/>
                <w:bCs/>
                <w:sz w:val="21"/>
                <w:szCs w:val="21"/>
                <w:highlight w:val="none"/>
                <w:lang w:val="zh-CN"/>
              </w:rPr>
              <w:t>的处置规模。</w:t>
            </w:r>
          </w:p>
          <w:p w14:paraId="595ED4C1">
            <w:pPr>
              <w:spacing w:line="400" w:lineRule="exact"/>
              <w:rPr>
                <w:rFonts w:hint="eastAsia" w:ascii="宋体" w:hAnsi="宋体" w:eastAsia="宋体" w:cs="宋体"/>
                <w:b/>
                <w:bCs/>
                <w:szCs w:val="21"/>
                <w:highlight w:val="none"/>
              </w:rPr>
            </w:pPr>
            <w:r>
              <w:rPr>
                <w:rFonts w:hint="eastAsia" w:ascii="宋体" w:hAnsi="宋体" w:eastAsia="宋体" w:cs="宋体"/>
                <w:b/>
                <w:bCs/>
                <w:szCs w:val="21"/>
                <w:highlight w:val="none"/>
              </w:rPr>
              <w:t>（</w:t>
            </w:r>
            <w:r>
              <w:rPr>
                <w:rFonts w:hint="eastAsia" w:ascii="宋体" w:hAnsi="宋体" w:eastAsia="宋体" w:cs="宋体"/>
                <w:b/>
                <w:bCs/>
                <w:szCs w:val="21"/>
                <w:highlight w:val="none"/>
                <w:lang w:val="en-US" w:eastAsia="zh-CN"/>
              </w:rPr>
              <w:t>3</w:t>
            </w:r>
            <w:r>
              <w:rPr>
                <w:rFonts w:hint="eastAsia" w:ascii="宋体" w:hAnsi="宋体" w:eastAsia="宋体" w:cs="宋体"/>
                <w:b/>
                <w:bCs/>
                <w:szCs w:val="21"/>
                <w:highlight w:val="none"/>
              </w:rPr>
              <w:t>）处置能力需折算为日处置量，如证明材料中明确处置能力为年度处置量，则按一年365天进行折算为日处置量（例如证明材料处置能力为25万吨/年的，则日处置能力按250000/365=684.93吨/天进行折算）。</w:t>
            </w:r>
          </w:p>
          <w:p w14:paraId="3F36E664">
            <w:pPr>
              <w:spacing w:line="400" w:lineRule="exact"/>
              <w:rPr>
                <w:rFonts w:hint="eastAsia" w:ascii="宋体" w:hAnsi="宋体" w:eastAsia="宋体" w:cs="宋体"/>
                <w:b/>
                <w:bCs/>
                <w:szCs w:val="21"/>
                <w:highlight w:val="none"/>
              </w:rPr>
            </w:pPr>
            <w:r>
              <w:rPr>
                <w:rFonts w:hint="eastAsia" w:ascii="宋体" w:hAnsi="宋体" w:eastAsia="宋体" w:cs="宋体"/>
                <w:b/>
                <w:bCs/>
                <w:szCs w:val="21"/>
                <w:highlight w:val="none"/>
              </w:rPr>
              <w:t>（</w:t>
            </w:r>
            <w:r>
              <w:rPr>
                <w:rFonts w:hint="eastAsia" w:ascii="宋体" w:hAnsi="宋体" w:eastAsia="宋体" w:cs="宋体"/>
                <w:b/>
                <w:bCs/>
                <w:szCs w:val="21"/>
                <w:highlight w:val="none"/>
                <w:lang w:val="en-US" w:eastAsia="zh-CN"/>
              </w:rPr>
              <w:t>4</w:t>
            </w:r>
            <w:r>
              <w:rPr>
                <w:rFonts w:hint="eastAsia" w:ascii="宋体" w:hAnsi="宋体" w:eastAsia="宋体" w:cs="宋体"/>
                <w:b/>
                <w:bCs/>
                <w:szCs w:val="21"/>
                <w:highlight w:val="none"/>
              </w:rPr>
              <w:t>）如</w:t>
            </w:r>
            <w:r>
              <w:rPr>
                <w:rFonts w:hint="eastAsia" w:ascii="宋体" w:hAnsi="宋体" w:eastAsia="宋体" w:cs="宋体"/>
                <w:b/>
                <w:bCs/>
                <w:szCs w:val="21"/>
                <w:highlight w:val="none"/>
                <w:lang w:eastAsia="zh-CN"/>
              </w:rPr>
              <w:t>投标人</w:t>
            </w:r>
            <w:r>
              <w:rPr>
                <w:rFonts w:hint="eastAsia" w:ascii="宋体" w:hAnsi="宋体" w:eastAsia="宋体" w:cs="宋体"/>
                <w:b/>
                <w:bCs/>
                <w:szCs w:val="21"/>
                <w:highlight w:val="none"/>
              </w:rPr>
              <w:t>提供多个符合要求的处置</w:t>
            </w:r>
            <w:r>
              <w:rPr>
                <w:rFonts w:hint="eastAsia" w:ascii="宋体" w:hAnsi="宋体" w:eastAsia="宋体" w:cs="宋体"/>
                <w:b/>
                <w:bCs/>
                <w:szCs w:val="21"/>
                <w:highlight w:val="none"/>
                <w:lang w:val="en-US" w:eastAsia="zh-CN"/>
              </w:rPr>
              <w:t>场所</w:t>
            </w:r>
            <w:r>
              <w:rPr>
                <w:rFonts w:hint="eastAsia" w:ascii="宋体" w:hAnsi="宋体" w:eastAsia="宋体" w:cs="宋体"/>
                <w:b/>
                <w:bCs/>
                <w:szCs w:val="21"/>
                <w:highlight w:val="none"/>
              </w:rPr>
              <w:t>，评审时处置能力按符合要求的处置</w:t>
            </w:r>
            <w:r>
              <w:rPr>
                <w:rFonts w:hint="eastAsia" w:ascii="宋体" w:hAnsi="宋体" w:eastAsia="宋体" w:cs="宋体"/>
                <w:b/>
                <w:bCs/>
                <w:szCs w:val="21"/>
                <w:highlight w:val="none"/>
                <w:lang w:val="en-US" w:eastAsia="zh-CN"/>
              </w:rPr>
              <w:t>场所</w:t>
            </w:r>
            <w:r>
              <w:rPr>
                <w:rFonts w:hint="eastAsia" w:ascii="宋体" w:hAnsi="宋体" w:eastAsia="宋体" w:cs="宋体"/>
                <w:b/>
                <w:bCs/>
                <w:szCs w:val="21"/>
                <w:highlight w:val="none"/>
              </w:rPr>
              <w:t>的处置能力之和计算，不符合要求的处置</w:t>
            </w:r>
            <w:r>
              <w:rPr>
                <w:rFonts w:hint="eastAsia" w:ascii="宋体" w:hAnsi="宋体" w:eastAsia="宋体" w:cs="宋体"/>
                <w:b/>
                <w:bCs/>
                <w:szCs w:val="21"/>
                <w:highlight w:val="none"/>
                <w:lang w:val="en-US" w:eastAsia="zh-CN"/>
              </w:rPr>
              <w:t>场所</w:t>
            </w:r>
            <w:r>
              <w:rPr>
                <w:rFonts w:hint="eastAsia" w:ascii="宋体" w:hAnsi="宋体" w:eastAsia="宋体" w:cs="宋体"/>
                <w:b/>
                <w:bCs/>
                <w:szCs w:val="21"/>
                <w:highlight w:val="none"/>
              </w:rPr>
              <w:t>，在评审时将不予考虑。</w:t>
            </w:r>
          </w:p>
          <w:p w14:paraId="6B8EB82E">
            <w:pPr>
              <w:spacing w:line="400" w:lineRule="exact"/>
              <w:rPr>
                <w:rFonts w:ascii="宋体" w:hAnsi="宋体" w:eastAsia="宋体" w:cs="宋体"/>
                <w:b/>
                <w:bCs/>
                <w:szCs w:val="21"/>
                <w:highlight w:val="none"/>
              </w:rPr>
            </w:pPr>
            <w:r>
              <w:rPr>
                <w:rFonts w:hint="eastAsia" w:ascii="宋体" w:hAnsi="宋体" w:eastAsia="宋体" w:cs="宋体"/>
                <w:b/>
                <w:bCs/>
                <w:szCs w:val="21"/>
                <w:highlight w:val="none"/>
              </w:rPr>
              <w:t>（</w:t>
            </w:r>
            <w:r>
              <w:rPr>
                <w:rFonts w:hint="eastAsia" w:ascii="宋体" w:hAnsi="宋体" w:eastAsia="宋体" w:cs="宋体"/>
                <w:b/>
                <w:bCs/>
                <w:szCs w:val="21"/>
                <w:highlight w:val="none"/>
                <w:lang w:val="en-US" w:eastAsia="zh-CN"/>
              </w:rPr>
              <w:t>5</w:t>
            </w:r>
            <w:r>
              <w:rPr>
                <w:rFonts w:hint="eastAsia" w:ascii="宋体" w:hAnsi="宋体" w:eastAsia="宋体" w:cs="宋体"/>
                <w:b/>
                <w:bCs/>
                <w:szCs w:val="21"/>
                <w:highlight w:val="none"/>
              </w:rPr>
              <w:t>）</w:t>
            </w:r>
            <w:r>
              <w:rPr>
                <w:rFonts w:hint="eastAsia" w:ascii="宋体" w:hAnsi="宋体" w:eastAsia="宋体" w:cs="宋体"/>
                <w:b/>
                <w:bCs/>
                <w:szCs w:val="21"/>
                <w:highlight w:val="none"/>
                <w:lang w:eastAsia="zh-CN"/>
              </w:rPr>
              <w:t>投标人</w:t>
            </w:r>
            <w:r>
              <w:rPr>
                <w:rFonts w:hint="eastAsia" w:ascii="宋体" w:hAnsi="宋体" w:eastAsia="宋体" w:cs="宋体"/>
                <w:b/>
                <w:bCs/>
                <w:szCs w:val="21"/>
                <w:highlight w:val="none"/>
              </w:rPr>
              <w:t>提供处置能力的文件或证明材料需包含</w:t>
            </w:r>
            <w:r>
              <w:rPr>
                <w:rFonts w:hint="eastAsia" w:ascii="宋体" w:hAnsi="宋体" w:eastAsia="宋体" w:cs="宋体"/>
                <w:b/>
                <w:bCs/>
                <w:szCs w:val="21"/>
                <w:highlight w:val="none"/>
                <w:lang w:eastAsia="zh-CN"/>
              </w:rPr>
              <w:t>投标人</w:t>
            </w:r>
            <w:r>
              <w:rPr>
                <w:rFonts w:hint="eastAsia" w:ascii="宋体" w:hAnsi="宋体" w:eastAsia="宋体" w:cs="宋体"/>
                <w:b/>
                <w:bCs/>
                <w:szCs w:val="21"/>
                <w:highlight w:val="none"/>
              </w:rPr>
              <w:t>名称，若</w:t>
            </w:r>
            <w:r>
              <w:rPr>
                <w:rFonts w:hint="eastAsia" w:ascii="宋体" w:hAnsi="宋体" w:eastAsia="宋体" w:cs="宋体"/>
                <w:b/>
                <w:bCs/>
                <w:szCs w:val="21"/>
                <w:highlight w:val="none"/>
                <w:lang w:eastAsia="zh-CN"/>
              </w:rPr>
              <w:t>投标人</w:t>
            </w:r>
            <w:r>
              <w:rPr>
                <w:rFonts w:hint="eastAsia" w:ascii="宋体" w:hAnsi="宋体" w:eastAsia="宋体" w:cs="宋体"/>
                <w:b/>
                <w:bCs/>
                <w:szCs w:val="21"/>
                <w:highlight w:val="none"/>
              </w:rPr>
              <w:t>因公司名称变更导致文件或证明材料中名称和</w:t>
            </w:r>
            <w:r>
              <w:rPr>
                <w:rFonts w:hint="eastAsia" w:ascii="宋体" w:hAnsi="宋体" w:eastAsia="宋体" w:cs="宋体"/>
                <w:b/>
                <w:bCs/>
                <w:szCs w:val="21"/>
                <w:highlight w:val="none"/>
                <w:lang w:eastAsia="zh-CN"/>
              </w:rPr>
              <w:t>投标人</w:t>
            </w:r>
            <w:r>
              <w:rPr>
                <w:rFonts w:hint="eastAsia" w:ascii="宋体" w:hAnsi="宋体" w:eastAsia="宋体" w:cs="宋体"/>
                <w:b/>
                <w:bCs/>
                <w:szCs w:val="21"/>
                <w:highlight w:val="none"/>
              </w:rPr>
              <w:t>名称不一致，需提供公司名称变更登记通知书扫描件，否则，在评审时将不予考虑。</w:t>
            </w:r>
          </w:p>
          <w:p w14:paraId="398D3CC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Cs w:val="21"/>
                <w:highlight w:val="none"/>
              </w:rPr>
            </w:pPr>
            <w:r>
              <w:rPr>
                <w:rFonts w:hint="eastAsia" w:ascii="宋体" w:hAnsi="宋体" w:eastAsia="宋体" w:cs="宋体"/>
                <w:b/>
                <w:bCs/>
                <w:szCs w:val="21"/>
                <w:highlight w:val="none"/>
              </w:rPr>
              <w:t>（</w:t>
            </w:r>
            <w:r>
              <w:rPr>
                <w:rFonts w:hint="eastAsia" w:ascii="宋体" w:hAnsi="宋体" w:eastAsia="宋体" w:cs="宋体"/>
                <w:b/>
                <w:bCs/>
                <w:szCs w:val="21"/>
                <w:highlight w:val="none"/>
                <w:lang w:val="en-US" w:eastAsia="zh-CN"/>
              </w:rPr>
              <w:t>6</w:t>
            </w:r>
            <w:r>
              <w:rPr>
                <w:rFonts w:hint="eastAsia" w:ascii="宋体" w:hAnsi="宋体" w:eastAsia="宋体" w:cs="宋体"/>
                <w:b/>
                <w:bCs/>
                <w:szCs w:val="21"/>
                <w:highlight w:val="none"/>
              </w:rPr>
              <w:t>）未按上述要求提供证明材料，或提供证明材料未明确</w:t>
            </w:r>
            <w:r>
              <w:rPr>
                <w:rFonts w:hint="eastAsia" w:ascii="宋体" w:hAnsi="宋体" w:eastAsia="宋体" w:cs="宋体"/>
                <w:b/>
                <w:bCs/>
                <w:szCs w:val="21"/>
                <w:highlight w:val="none"/>
                <w:lang w:eastAsia="zh-CN"/>
              </w:rPr>
              <w:t>投标人</w:t>
            </w:r>
            <w:r>
              <w:rPr>
                <w:rFonts w:hint="eastAsia" w:ascii="宋体" w:hAnsi="宋体" w:eastAsia="宋体" w:cs="宋体"/>
                <w:b/>
                <w:bCs/>
                <w:szCs w:val="21"/>
                <w:highlight w:val="none"/>
              </w:rPr>
              <w:t>处置能力的或不符合本项评分要求的，在评审时将不予考虑。</w:t>
            </w:r>
          </w:p>
        </w:tc>
        <w:tc>
          <w:tcPr>
            <w:tcW w:w="512" w:type="pct"/>
            <w:tcBorders>
              <w:top w:val="single" w:color="auto" w:sz="4" w:space="0"/>
              <w:left w:val="single" w:color="auto" w:sz="4" w:space="0"/>
              <w:bottom w:val="single" w:color="auto" w:sz="4" w:space="0"/>
              <w:right w:val="single" w:color="auto" w:sz="4" w:space="0"/>
            </w:tcBorders>
            <w:shd w:val="clear" w:color="auto" w:fill="auto"/>
            <w:vAlign w:val="center"/>
          </w:tcPr>
          <w:p w14:paraId="1D17A4E3">
            <w:pPr>
              <w:keepNext w:val="0"/>
              <w:keepLines w:val="0"/>
              <w:pageBreakBefore w:val="0"/>
              <w:widowControl w:val="0"/>
              <w:tabs>
                <w:tab w:val="left" w:pos="134"/>
              </w:tabs>
              <w:kinsoku/>
              <w:wordWrap/>
              <w:overflowPunct/>
              <w:topLinePunct w:val="0"/>
              <w:bidi w:val="0"/>
              <w:snapToGrid w:val="0"/>
              <w:spacing w:line="400" w:lineRule="exact"/>
              <w:jc w:val="center"/>
              <w:textAlignment w:val="auto"/>
              <w:rPr>
                <w:rFonts w:hint="eastAsia" w:ascii="宋体" w:hAnsi="宋体" w:eastAsia="宋体" w:cs="宋体"/>
                <w:color w:val="auto"/>
                <w:kern w:val="2"/>
                <w:sz w:val="21"/>
                <w:szCs w:val="21"/>
                <w:highlight w:val="none"/>
                <w:lang w:val="zh-CN" w:eastAsia="zh-CN" w:bidi="ar-SA"/>
              </w:rPr>
            </w:pPr>
            <w:r>
              <w:rPr>
                <w:rFonts w:hint="eastAsia" w:ascii="宋体" w:hAnsi="宋体" w:eastAsia="宋体" w:cs="宋体"/>
                <w:color w:val="auto"/>
                <w:sz w:val="21"/>
                <w:szCs w:val="21"/>
                <w:highlight w:val="none"/>
                <w:lang w:val="en-US" w:eastAsia="zh-CN"/>
              </w:rPr>
              <w:t>20分</w:t>
            </w:r>
          </w:p>
        </w:tc>
      </w:tr>
      <w:tr w14:paraId="708DB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pct"/>
            <w:vAlign w:val="center"/>
          </w:tcPr>
          <w:p w14:paraId="4FA4AEC5">
            <w:pPr>
              <w:keepNext w:val="0"/>
              <w:keepLines w:val="0"/>
              <w:pageBreakBefore w:val="0"/>
              <w:widowControl w:val="0"/>
              <w:kinsoku/>
              <w:wordWrap/>
              <w:overflowPunct/>
              <w:topLinePunct w:val="0"/>
              <w:bidi w:val="0"/>
              <w:snapToGrid w:val="0"/>
              <w:spacing w:line="400" w:lineRule="exact"/>
              <w:ind w:left="-53" w:leftChars="-25" w:right="-38" w:rightChars="-18" w:firstLine="2"/>
              <w:jc w:val="center"/>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val="en-US" w:eastAsia="zh-CN"/>
              </w:rPr>
              <w:t>4</w:t>
            </w:r>
          </w:p>
        </w:tc>
        <w:tc>
          <w:tcPr>
            <w:tcW w:w="940" w:type="pct"/>
            <w:vAlign w:val="center"/>
          </w:tcPr>
          <w:p w14:paraId="654C0499">
            <w:pPr>
              <w:keepNext w:val="0"/>
              <w:keepLines w:val="0"/>
              <w:pageBreakBefore w:val="0"/>
              <w:widowControl w:val="0"/>
              <w:kinsoku/>
              <w:wordWrap/>
              <w:overflowPunct/>
              <w:topLinePunct w:val="0"/>
              <w:bidi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szCs w:val="21"/>
                <w:highlight w:val="none"/>
              </w:rPr>
              <w:t>业绩</w:t>
            </w:r>
          </w:p>
        </w:tc>
        <w:tc>
          <w:tcPr>
            <w:tcW w:w="3206" w:type="pct"/>
            <w:tcBorders>
              <w:top w:val="single" w:color="auto" w:sz="4" w:space="0"/>
              <w:left w:val="single" w:color="auto" w:sz="4" w:space="0"/>
              <w:bottom w:val="single" w:color="auto" w:sz="4" w:space="0"/>
              <w:right w:val="single" w:color="auto" w:sz="4" w:space="0"/>
            </w:tcBorders>
            <w:vAlign w:val="center"/>
          </w:tcPr>
          <w:p w14:paraId="0915A20D">
            <w:pPr>
              <w:keepNext w:val="0"/>
              <w:keepLines w:val="0"/>
              <w:pageBreakBefore w:val="0"/>
              <w:widowControl/>
              <w:kinsoku/>
              <w:wordWrap/>
              <w:overflowPunct/>
              <w:topLinePunct w:val="0"/>
              <w:autoSpaceDE/>
              <w:autoSpaceDN/>
              <w:bidi w:val="0"/>
              <w:adjustRightInd/>
              <w:spacing w:line="40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对投标人</w:t>
            </w:r>
            <w:r>
              <w:rPr>
                <w:rFonts w:hint="eastAsia" w:ascii="宋体" w:hAnsi="宋体" w:eastAsia="宋体" w:cs="宋体"/>
                <w:szCs w:val="21"/>
                <w:highlight w:val="none"/>
              </w:rPr>
              <w:t>2022年以来（签订合同的时间要求为2022年1月1日或以后）</w:t>
            </w:r>
            <w:r>
              <w:rPr>
                <w:rFonts w:hint="eastAsia" w:ascii="宋体" w:hAnsi="宋体" w:eastAsia="宋体" w:cs="宋体"/>
                <w:color w:val="auto"/>
                <w:sz w:val="21"/>
                <w:szCs w:val="21"/>
                <w:highlight w:val="none"/>
                <w:lang w:eastAsia="zh-CN"/>
              </w:rPr>
              <w:t>承接的以下</w:t>
            </w:r>
            <w:r>
              <w:rPr>
                <w:rFonts w:hint="eastAsia" w:ascii="宋体" w:hAnsi="宋体" w:eastAsia="宋体" w:cs="宋体"/>
                <w:color w:val="auto"/>
                <w:sz w:val="21"/>
                <w:szCs w:val="21"/>
                <w:highlight w:val="none"/>
                <w:lang w:val="zh-CN" w:eastAsia="zh-CN"/>
              </w:rPr>
              <w:t>泥粉/污泥</w:t>
            </w:r>
            <w:r>
              <w:rPr>
                <w:rFonts w:hint="eastAsia" w:ascii="宋体" w:hAnsi="宋体" w:eastAsia="宋体" w:cs="宋体"/>
                <w:color w:val="auto"/>
                <w:sz w:val="21"/>
                <w:szCs w:val="21"/>
                <w:highlight w:val="none"/>
                <w:lang w:eastAsia="zh-CN"/>
              </w:rPr>
              <w:t>处置</w:t>
            </w: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lang w:eastAsia="zh-CN"/>
              </w:rPr>
              <w:t>业绩进行评审，满分</w:t>
            </w:r>
            <w:r>
              <w:rPr>
                <w:rFonts w:hint="eastAsia" w:ascii="宋体" w:hAnsi="宋体" w:eastAsia="宋体" w:cs="宋体"/>
                <w:color w:val="auto"/>
                <w:sz w:val="21"/>
                <w:szCs w:val="21"/>
                <w:highlight w:val="none"/>
                <w:lang w:val="en-US" w:eastAsia="zh-CN"/>
              </w:rPr>
              <w:t>19</w:t>
            </w:r>
            <w:r>
              <w:rPr>
                <w:rFonts w:hint="eastAsia" w:ascii="宋体" w:hAnsi="宋体" w:eastAsia="宋体" w:cs="宋体"/>
                <w:color w:val="auto"/>
                <w:sz w:val="21"/>
                <w:szCs w:val="21"/>
                <w:highlight w:val="none"/>
                <w:lang w:eastAsia="zh-CN"/>
              </w:rPr>
              <w:t>分。</w:t>
            </w:r>
          </w:p>
          <w:p w14:paraId="47D0CA1A">
            <w:pPr>
              <w:keepNext w:val="0"/>
              <w:keepLines w:val="0"/>
              <w:pageBreakBefore w:val="0"/>
              <w:widowControl/>
              <w:kinsoku/>
              <w:wordWrap/>
              <w:overflowPunct/>
              <w:topLinePunct w:val="0"/>
              <w:autoSpaceDE/>
              <w:autoSpaceDN/>
              <w:bidi w:val="0"/>
              <w:adjustRightInd/>
              <w:spacing w:line="400" w:lineRule="exact"/>
              <w:textAlignment w:val="auto"/>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eastAsia="zh-CN"/>
              </w:rPr>
              <w:t>（1）每提供一个</w:t>
            </w:r>
            <w:r>
              <w:rPr>
                <w:rFonts w:hint="eastAsia" w:ascii="宋体" w:hAnsi="宋体" w:eastAsia="宋体" w:cs="宋体"/>
                <w:color w:val="auto"/>
                <w:sz w:val="21"/>
                <w:szCs w:val="21"/>
                <w:highlight w:val="none"/>
                <w:lang w:val="zh-CN" w:eastAsia="zh-CN"/>
              </w:rPr>
              <w:t>【泥粉/污泥日处置量＞</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val="zh-CN" w:eastAsia="zh-CN"/>
              </w:rPr>
              <w:t>0</w:t>
            </w:r>
            <w:r>
              <w:rPr>
                <w:rFonts w:hint="eastAsia" w:ascii="宋体" w:hAnsi="宋体" w:eastAsia="宋体" w:cs="宋体"/>
                <w:color w:val="auto"/>
                <w:sz w:val="21"/>
                <w:szCs w:val="21"/>
                <w:highlight w:val="none"/>
                <w:lang w:eastAsia="zh-CN"/>
              </w:rPr>
              <w:t>0</w:t>
            </w:r>
            <w:r>
              <w:rPr>
                <w:rFonts w:hint="eastAsia" w:ascii="宋体" w:hAnsi="宋体" w:eastAsia="宋体" w:cs="宋体"/>
                <w:color w:val="auto"/>
                <w:sz w:val="21"/>
                <w:szCs w:val="21"/>
                <w:highlight w:val="none"/>
                <w:lang w:val="zh-CN" w:eastAsia="zh-CN"/>
              </w:rPr>
              <w:t>吨/天】的业绩，得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val="zh-CN" w:eastAsia="zh-CN"/>
              </w:rPr>
              <w:t>分；</w:t>
            </w:r>
          </w:p>
          <w:p w14:paraId="5345390B">
            <w:pPr>
              <w:keepNext w:val="0"/>
              <w:keepLines w:val="0"/>
              <w:pageBreakBefore w:val="0"/>
              <w:widowControl/>
              <w:kinsoku/>
              <w:wordWrap/>
              <w:overflowPunct/>
              <w:topLinePunct w:val="0"/>
              <w:autoSpaceDE/>
              <w:autoSpaceDN/>
              <w:bidi w:val="0"/>
              <w:adjustRightInd/>
              <w:spacing w:line="400" w:lineRule="exact"/>
              <w:textAlignment w:val="auto"/>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eastAsia="zh-CN"/>
              </w:rPr>
              <w:t>（2）每提供一个</w:t>
            </w:r>
            <w:r>
              <w:rPr>
                <w:rFonts w:hint="eastAsia" w:ascii="宋体" w:hAnsi="宋体" w:eastAsia="宋体" w:cs="宋体"/>
                <w:color w:val="auto"/>
                <w:sz w:val="21"/>
                <w:szCs w:val="21"/>
                <w:highlight w:val="none"/>
                <w:lang w:val="zh-CN"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val="zh-CN" w:eastAsia="zh-CN"/>
              </w:rPr>
              <w:t>00吨/天</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zh-CN" w:eastAsia="zh-CN"/>
              </w:rPr>
              <w:t>泥粉/污泥日</w:t>
            </w:r>
            <w:r>
              <w:rPr>
                <w:rFonts w:hint="eastAsia" w:ascii="宋体" w:hAnsi="宋体" w:eastAsia="宋体" w:cs="宋体"/>
                <w:color w:val="auto"/>
                <w:sz w:val="21"/>
                <w:szCs w:val="21"/>
                <w:highlight w:val="none"/>
                <w:lang w:eastAsia="zh-CN"/>
              </w:rPr>
              <w:t>处置</w:t>
            </w:r>
            <w:r>
              <w:rPr>
                <w:rFonts w:hint="eastAsia" w:ascii="宋体" w:hAnsi="宋体" w:eastAsia="宋体" w:cs="宋体"/>
                <w:color w:val="auto"/>
                <w:sz w:val="21"/>
                <w:szCs w:val="21"/>
                <w:highlight w:val="none"/>
                <w:lang w:val="zh-CN" w:eastAsia="zh-CN"/>
              </w:rPr>
              <w:t>量</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00</w:t>
            </w:r>
            <w:r>
              <w:rPr>
                <w:rFonts w:hint="eastAsia" w:ascii="宋体" w:hAnsi="宋体" w:eastAsia="宋体" w:cs="宋体"/>
                <w:color w:val="auto"/>
                <w:sz w:val="21"/>
                <w:szCs w:val="21"/>
                <w:highlight w:val="none"/>
                <w:lang w:val="zh-CN" w:eastAsia="zh-CN"/>
              </w:rPr>
              <w:t>吨/天】的业绩，得</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val="zh-CN" w:eastAsia="zh-CN"/>
              </w:rPr>
              <w:t>分；</w:t>
            </w:r>
          </w:p>
          <w:p w14:paraId="57E51E8A">
            <w:pPr>
              <w:keepNext w:val="0"/>
              <w:keepLines w:val="0"/>
              <w:pageBreakBefore w:val="0"/>
              <w:widowControl/>
              <w:kinsoku/>
              <w:wordWrap/>
              <w:overflowPunct/>
              <w:topLinePunct w:val="0"/>
              <w:autoSpaceDE/>
              <w:autoSpaceDN/>
              <w:bidi w:val="0"/>
              <w:adjustRightInd/>
              <w:spacing w:line="400" w:lineRule="exact"/>
              <w:textAlignment w:val="auto"/>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eastAsia="zh-CN"/>
              </w:rPr>
              <w:t>（3）每提供一个</w:t>
            </w:r>
            <w:r>
              <w:rPr>
                <w:rFonts w:hint="eastAsia" w:ascii="宋体" w:hAnsi="宋体" w:eastAsia="宋体" w:cs="宋体"/>
                <w:color w:val="auto"/>
                <w:sz w:val="21"/>
                <w:szCs w:val="21"/>
                <w:highlight w:val="none"/>
                <w:lang w:val="zh-CN" w:eastAsia="zh-CN"/>
              </w:rPr>
              <w:t>【</w:t>
            </w:r>
            <w:r>
              <w:rPr>
                <w:rFonts w:hint="eastAsia" w:ascii="宋体" w:hAnsi="宋体" w:eastAsia="宋体" w:cs="宋体"/>
                <w:color w:val="auto"/>
                <w:sz w:val="21"/>
                <w:szCs w:val="21"/>
                <w:highlight w:val="none"/>
                <w:lang w:val="en-US" w:eastAsia="zh-CN"/>
              </w:rPr>
              <w:t>100</w:t>
            </w:r>
            <w:r>
              <w:rPr>
                <w:rFonts w:hint="eastAsia" w:ascii="宋体" w:hAnsi="宋体" w:eastAsia="宋体" w:cs="宋体"/>
                <w:color w:val="auto"/>
                <w:sz w:val="21"/>
                <w:szCs w:val="21"/>
                <w:highlight w:val="none"/>
                <w:lang w:val="zh-CN" w:eastAsia="zh-CN"/>
              </w:rPr>
              <w:t>吨/天</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zh-CN" w:eastAsia="zh-CN"/>
              </w:rPr>
              <w:t>泥粉/污泥日</w:t>
            </w:r>
            <w:r>
              <w:rPr>
                <w:rFonts w:hint="eastAsia" w:ascii="宋体" w:hAnsi="宋体" w:eastAsia="宋体" w:cs="宋体"/>
                <w:color w:val="auto"/>
                <w:sz w:val="21"/>
                <w:szCs w:val="21"/>
                <w:highlight w:val="none"/>
                <w:lang w:eastAsia="zh-CN"/>
              </w:rPr>
              <w:t>处置</w:t>
            </w:r>
            <w:r>
              <w:rPr>
                <w:rFonts w:hint="eastAsia" w:ascii="宋体" w:hAnsi="宋体" w:eastAsia="宋体" w:cs="宋体"/>
                <w:color w:val="auto"/>
                <w:sz w:val="21"/>
                <w:szCs w:val="21"/>
                <w:highlight w:val="none"/>
                <w:lang w:val="zh-CN" w:eastAsia="zh-CN"/>
              </w:rPr>
              <w:t>量</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00</w:t>
            </w:r>
            <w:r>
              <w:rPr>
                <w:rFonts w:hint="eastAsia" w:ascii="宋体" w:hAnsi="宋体" w:eastAsia="宋体" w:cs="宋体"/>
                <w:color w:val="auto"/>
                <w:sz w:val="21"/>
                <w:szCs w:val="21"/>
                <w:highlight w:val="none"/>
                <w:lang w:val="zh-CN" w:eastAsia="zh-CN"/>
              </w:rPr>
              <w:t>吨/天】的业绩，得</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val="zh-CN" w:eastAsia="zh-CN"/>
              </w:rPr>
              <w:t>分，</w:t>
            </w:r>
            <w:r>
              <w:rPr>
                <w:rFonts w:hint="eastAsia" w:ascii="宋体" w:hAnsi="宋体" w:eastAsia="宋体" w:cs="宋体"/>
                <w:color w:val="auto"/>
                <w:sz w:val="21"/>
                <w:szCs w:val="21"/>
                <w:highlight w:val="none"/>
                <w:lang w:val="en-US" w:eastAsia="zh-CN"/>
              </w:rPr>
              <w:t>本小项最高得10分</w:t>
            </w:r>
            <w:r>
              <w:rPr>
                <w:rFonts w:hint="eastAsia" w:ascii="宋体" w:hAnsi="宋体" w:eastAsia="宋体" w:cs="宋体"/>
                <w:color w:val="auto"/>
                <w:sz w:val="21"/>
                <w:szCs w:val="21"/>
                <w:highlight w:val="none"/>
                <w:lang w:val="zh-CN" w:eastAsia="zh-CN"/>
              </w:rPr>
              <w:t>。</w:t>
            </w:r>
          </w:p>
          <w:p w14:paraId="2EF490B2">
            <w:pPr>
              <w:keepNext w:val="0"/>
              <w:keepLines w:val="0"/>
              <w:pageBreakBefore w:val="0"/>
              <w:widowControl/>
              <w:kinsoku/>
              <w:wordWrap/>
              <w:overflowPunct/>
              <w:topLinePunct w:val="0"/>
              <w:autoSpaceDE/>
              <w:autoSpaceDN/>
              <w:bidi w:val="0"/>
              <w:adjustRightInd/>
              <w:spacing w:line="400" w:lineRule="exac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备注：</w:t>
            </w:r>
          </w:p>
          <w:p w14:paraId="68EF770B">
            <w:pPr>
              <w:spacing w:line="400" w:lineRule="exact"/>
              <w:rPr>
                <w:rFonts w:ascii="宋体" w:hAnsi="宋体" w:eastAsia="宋体" w:cs="宋体"/>
                <w:b/>
                <w:bCs/>
                <w:szCs w:val="21"/>
                <w:highlight w:val="none"/>
              </w:rPr>
            </w:pPr>
            <w:r>
              <w:rPr>
                <w:rFonts w:hint="eastAsia" w:ascii="宋体" w:hAnsi="宋体" w:eastAsia="宋体" w:cs="宋体"/>
                <w:b/>
                <w:bCs/>
                <w:szCs w:val="21"/>
                <w:highlight w:val="none"/>
              </w:rPr>
              <w:t>（1）业绩必须附合同原件扫描件（合同服务提供方为</w:t>
            </w:r>
            <w:r>
              <w:rPr>
                <w:rFonts w:hint="eastAsia" w:ascii="宋体" w:hAnsi="宋体" w:eastAsia="宋体" w:cs="宋体"/>
                <w:b/>
                <w:bCs/>
                <w:szCs w:val="21"/>
                <w:highlight w:val="none"/>
                <w:lang w:eastAsia="zh-CN"/>
              </w:rPr>
              <w:t>投标人</w:t>
            </w:r>
            <w:r>
              <w:rPr>
                <w:rFonts w:hint="eastAsia" w:ascii="宋体" w:hAnsi="宋体" w:eastAsia="宋体" w:cs="宋体"/>
                <w:b/>
                <w:bCs/>
                <w:szCs w:val="21"/>
                <w:highlight w:val="none"/>
              </w:rPr>
              <w:t>）。合同必须反映评分条件（合同签订日期、服务内容、日处置量、合同期限），合同服务内容必须含有</w:t>
            </w:r>
            <w:r>
              <w:rPr>
                <w:rFonts w:hint="eastAsia" w:hAnsi="宋体" w:eastAsia="宋体"/>
                <w:b/>
                <w:sz w:val="21"/>
                <w:szCs w:val="21"/>
                <w:highlight w:val="none"/>
                <w:lang w:val="en-US" w:eastAsia="zh-CN"/>
              </w:rPr>
              <w:t>市政（生活/城市/城镇污水处理厂、净水厂）</w:t>
            </w:r>
            <w:r>
              <w:rPr>
                <w:rFonts w:hint="eastAsia" w:hAnsi="宋体" w:eastAsia="宋体"/>
                <w:b/>
                <w:sz w:val="21"/>
                <w:szCs w:val="21"/>
                <w:highlight w:val="none"/>
              </w:rPr>
              <w:t>泥粉/污泥处理或</w:t>
            </w:r>
            <w:r>
              <w:rPr>
                <w:rFonts w:hint="eastAsia" w:ascii="宋体" w:hAnsi="宋体" w:eastAsia="宋体" w:cs="宋体"/>
                <w:b/>
                <w:bCs/>
                <w:szCs w:val="21"/>
                <w:highlight w:val="none"/>
              </w:rPr>
              <w:t>处置</w:t>
            </w:r>
            <w:r>
              <w:rPr>
                <w:rFonts w:hint="eastAsia" w:ascii="宋体" w:hAnsi="宋体" w:eastAsia="宋体" w:cs="宋体"/>
                <w:b/>
                <w:bCs/>
                <w:szCs w:val="21"/>
                <w:highlight w:val="none"/>
                <w:lang w:eastAsia="zh-CN"/>
              </w:rPr>
              <w:t>，</w:t>
            </w:r>
            <w:r>
              <w:rPr>
                <w:rFonts w:hint="eastAsia" w:ascii="宋体" w:hAnsi="宋体" w:eastAsia="宋体" w:cs="宋体"/>
                <w:b/>
                <w:bCs/>
                <w:szCs w:val="21"/>
                <w:highlight w:val="none"/>
              </w:rPr>
              <w:t>否则，需同时提供服务委托方出具的书面补充情况说明文件原件扫描件（需加盖服务委托方公章，即原件扫描件能显示服务委托方公章）或提供加盖委托方公章反映评分条件的招标文件扫描件，否则不得分。业绩为框架式协议或资格入围无明确处置量的合同则按本项第（2）点要求提供证明材料。</w:t>
            </w:r>
          </w:p>
          <w:p w14:paraId="754D6A6B">
            <w:pPr>
              <w:spacing w:line="400" w:lineRule="exact"/>
              <w:rPr>
                <w:rFonts w:hint="eastAsia" w:ascii="宋体" w:hAnsi="宋体" w:eastAsia="宋体" w:cs="宋体"/>
                <w:b/>
                <w:bCs/>
                <w:szCs w:val="21"/>
                <w:highlight w:val="none"/>
              </w:rPr>
            </w:pPr>
            <w:r>
              <w:rPr>
                <w:rFonts w:hint="eastAsia" w:ascii="宋体" w:hAnsi="宋体" w:eastAsia="宋体" w:cs="宋体"/>
                <w:b/>
                <w:bCs/>
                <w:szCs w:val="21"/>
                <w:highlight w:val="none"/>
              </w:rPr>
              <w:t>（2）若业绩为框架式协议或资格入围</w:t>
            </w:r>
            <w:r>
              <w:rPr>
                <w:rFonts w:hint="eastAsia" w:ascii="宋体" w:hAnsi="宋体" w:eastAsia="宋体" w:cs="宋体"/>
                <w:b/>
                <w:bCs/>
                <w:szCs w:val="21"/>
                <w:highlight w:val="none"/>
                <w:lang w:val="en-US" w:eastAsia="zh-CN"/>
              </w:rPr>
              <w:t>等</w:t>
            </w:r>
            <w:r>
              <w:rPr>
                <w:rFonts w:hint="eastAsia" w:ascii="宋体" w:hAnsi="宋体" w:eastAsia="宋体" w:cs="宋体"/>
                <w:b/>
                <w:bCs/>
                <w:szCs w:val="21"/>
                <w:highlight w:val="none"/>
              </w:rPr>
              <w:t>无明确日处置量的合同，必须提供合同期限内单个月份已处置的</w:t>
            </w:r>
            <w:r>
              <w:rPr>
                <w:rFonts w:hint="eastAsia" w:ascii="宋体" w:hAnsi="宋体" w:eastAsia="宋体" w:cs="宋体"/>
                <w:b/>
                <w:bCs/>
                <w:sz w:val="21"/>
                <w:szCs w:val="21"/>
                <w:highlight w:val="none"/>
                <w:lang w:val="zh-CN"/>
              </w:rPr>
              <w:t>泥粉/污泥</w:t>
            </w:r>
            <w:r>
              <w:rPr>
                <w:rFonts w:hint="eastAsia" w:ascii="宋体" w:hAnsi="宋体" w:eastAsia="宋体" w:cs="宋体"/>
                <w:b/>
                <w:bCs/>
                <w:szCs w:val="21"/>
                <w:highlight w:val="none"/>
              </w:rPr>
              <w:t>处置量统计表和</w:t>
            </w:r>
            <w:r>
              <w:rPr>
                <w:rFonts w:hint="eastAsia" w:ascii="宋体" w:hAnsi="宋体" w:eastAsia="宋体" w:cs="宋体"/>
                <w:b/>
                <w:bCs/>
                <w:sz w:val="21"/>
                <w:szCs w:val="21"/>
                <w:highlight w:val="none"/>
                <w:lang w:val="zh-CN"/>
              </w:rPr>
              <w:t>泥粉/污泥</w:t>
            </w:r>
            <w:r>
              <w:rPr>
                <w:rFonts w:hint="eastAsia" w:ascii="宋体" w:hAnsi="宋体" w:eastAsia="宋体" w:cs="宋体"/>
                <w:b/>
                <w:bCs/>
                <w:szCs w:val="21"/>
                <w:highlight w:val="none"/>
              </w:rPr>
              <w:t>转运联单扫描件（无转运联单的，提供服务发票扫描件及折算处置量数据或</w:t>
            </w:r>
            <w:r>
              <w:rPr>
                <w:rFonts w:hint="eastAsia" w:ascii="宋体" w:hAnsi="宋体" w:eastAsia="宋体" w:cs="宋体"/>
                <w:b/>
                <w:bCs/>
                <w:sz w:val="21"/>
                <w:szCs w:val="21"/>
                <w:highlight w:val="none"/>
                <w:lang w:val="zh-CN"/>
              </w:rPr>
              <w:t>泥粉/污泥</w:t>
            </w:r>
            <w:r>
              <w:rPr>
                <w:rFonts w:hint="eastAsia" w:ascii="宋体" w:hAnsi="宋体" w:eastAsia="宋体" w:cs="宋体"/>
                <w:b/>
                <w:bCs/>
                <w:szCs w:val="21"/>
                <w:highlight w:val="none"/>
              </w:rPr>
              <w:t>产生单位盖章的证明文件原件扫描件替代）以证明日处置量，日处置量按合同期限内单个月份已处置的</w:t>
            </w:r>
            <w:r>
              <w:rPr>
                <w:rFonts w:hint="eastAsia" w:ascii="宋体" w:hAnsi="宋体" w:eastAsia="宋体" w:cs="宋体"/>
                <w:b/>
                <w:bCs/>
                <w:sz w:val="21"/>
                <w:szCs w:val="21"/>
                <w:highlight w:val="none"/>
                <w:lang w:val="zh-CN"/>
              </w:rPr>
              <w:t>泥粉/污泥</w:t>
            </w:r>
            <w:r>
              <w:rPr>
                <w:rFonts w:hint="eastAsia" w:ascii="宋体" w:hAnsi="宋体" w:eastAsia="宋体" w:cs="宋体"/>
                <w:b/>
                <w:bCs/>
                <w:szCs w:val="21"/>
                <w:highlight w:val="none"/>
              </w:rPr>
              <w:t>量除以单个月份自然天数进行计算，并以此进行评审。</w:t>
            </w:r>
          </w:p>
          <w:p w14:paraId="7C999CF4">
            <w:pPr>
              <w:spacing w:line="400" w:lineRule="exact"/>
              <w:rPr>
                <w:rFonts w:ascii="宋体" w:hAnsi="宋体" w:eastAsia="宋体" w:cs="宋体"/>
                <w:b/>
                <w:bCs/>
                <w:szCs w:val="21"/>
                <w:highlight w:val="none"/>
              </w:rPr>
            </w:pPr>
            <w:r>
              <w:rPr>
                <w:rFonts w:hint="eastAsia" w:ascii="宋体" w:hAnsi="宋体" w:eastAsia="宋体" w:cs="宋体"/>
                <w:b/>
                <w:bCs/>
                <w:szCs w:val="21"/>
                <w:highlight w:val="none"/>
              </w:rPr>
              <w:t>（3）处置量按日处置量进行评审，如业绩合同中的处置量为合同服务期限内处置总量，则按合同服务期限的天数进行折算为日处置量（例如业绩合同的处置能力为3万吨的，合同服务期限为300天，则日处置量按30000/300=100吨/天进行折算）。</w:t>
            </w:r>
          </w:p>
          <w:p w14:paraId="3DAFA644">
            <w:pPr>
              <w:keepNext w:val="0"/>
              <w:keepLines w:val="0"/>
              <w:pageBreakBefore w:val="0"/>
              <w:widowControl/>
              <w:kinsoku/>
              <w:wordWrap/>
              <w:overflowPunct/>
              <w:topLinePunct w:val="0"/>
              <w:autoSpaceDE/>
              <w:autoSpaceDN/>
              <w:bidi w:val="0"/>
              <w:adjustRightInd/>
              <w:spacing w:line="40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b/>
                <w:bCs/>
                <w:szCs w:val="21"/>
                <w:highlight w:val="none"/>
              </w:rPr>
              <w:t>（4）未按上述要求提供证明材料的业绩，或所附材料无法证明填报项目属</w:t>
            </w:r>
            <w:r>
              <w:rPr>
                <w:rFonts w:hint="eastAsia" w:ascii="宋体" w:hAnsi="宋体" w:eastAsia="宋体" w:cs="宋体"/>
                <w:b/>
                <w:bCs/>
                <w:szCs w:val="21"/>
                <w:highlight w:val="none"/>
                <w:lang w:eastAsia="zh-CN"/>
              </w:rPr>
              <w:t>投标人</w:t>
            </w:r>
            <w:r>
              <w:rPr>
                <w:rFonts w:hint="eastAsia" w:ascii="宋体" w:hAnsi="宋体" w:eastAsia="宋体" w:cs="宋体"/>
                <w:b/>
                <w:bCs/>
                <w:szCs w:val="21"/>
                <w:highlight w:val="none"/>
              </w:rPr>
              <w:t>完成的或符合本项评分要求的业绩，在</w:t>
            </w:r>
            <w:r>
              <w:rPr>
                <w:rFonts w:hint="eastAsia" w:ascii="宋体" w:hAnsi="宋体" w:eastAsia="宋体" w:cs="宋体"/>
                <w:b/>
                <w:bCs/>
                <w:szCs w:val="21"/>
                <w:highlight w:val="none"/>
                <w:lang w:eastAsia="zh-CN"/>
              </w:rPr>
              <w:t>评审</w:t>
            </w:r>
            <w:r>
              <w:rPr>
                <w:rFonts w:hint="eastAsia" w:ascii="宋体" w:hAnsi="宋体" w:eastAsia="宋体" w:cs="宋体"/>
                <w:b/>
                <w:bCs/>
                <w:szCs w:val="21"/>
                <w:highlight w:val="none"/>
              </w:rPr>
              <w:t>时将不予考虑。</w:t>
            </w:r>
          </w:p>
        </w:tc>
        <w:tc>
          <w:tcPr>
            <w:tcW w:w="512" w:type="pct"/>
            <w:tcBorders>
              <w:top w:val="single" w:color="auto" w:sz="4" w:space="0"/>
              <w:left w:val="single" w:color="auto" w:sz="4" w:space="0"/>
              <w:bottom w:val="single" w:color="auto" w:sz="4" w:space="0"/>
              <w:right w:val="single" w:color="auto" w:sz="4" w:space="0"/>
            </w:tcBorders>
            <w:shd w:val="clear" w:color="auto" w:fill="auto"/>
            <w:vAlign w:val="center"/>
          </w:tcPr>
          <w:p w14:paraId="2E2215DF">
            <w:pPr>
              <w:keepNext w:val="0"/>
              <w:keepLines w:val="0"/>
              <w:pageBreakBefore w:val="0"/>
              <w:widowControl w:val="0"/>
              <w:tabs>
                <w:tab w:val="left" w:pos="134"/>
              </w:tabs>
              <w:kinsoku/>
              <w:wordWrap/>
              <w:overflowPunct/>
              <w:topLinePunct w:val="0"/>
              <w:bidi w:val="0"/>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19分</w:t>
            </w:r>
          </w:p>
        </w:tc>
      </w:tr>
      <w:tr w14:paraId="71559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 w:type="pct"/>
            <w:vAlign w:val="center"/>
          </w:tcPr>
          <w:p w14:paraId="139B5014">
            <w:pPr>
              <w:keepNext w:val="0"/>
              <w:keepLines w:val="0"/>
              <w:pageBreakBefore w:val="0"/>
              <w:widowControl w:val="0"/>
              <w:kinsoku/>
              <w:wordWrap/>
              <w:overflowPunct/>
              <w:topLinePunct w:val="0"/>
              <w:bidi w:val="0"/>
              <w:snapToGrid w:val="0"/>
              <w:spacing w:line="400" w:lineRule="exact"/>
              <w:ind w:left="-53" w:leftChars="-25" w:right="-38" w:rightChars="-18" w:firstLine="2"/>
              <w:jc w:val="center"/>
              <w:textAlignment w:val="auto"/>
              <w:rPr>
                <w:rFonts w:hint="default"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5</w:t>
            </w:r>
          </w:p>
        </w:tc>
        <w:tc>
          <w:tcPr>
            <w:tcW w:w="940" w:type="pct"/>
            <w:vAlign w:val="center"/>
          </w:tcPr>
          <w:p w14:paraId="7327B466">
            <w:pPr>
              <w:keepNext w:val="0"/>
              <w:keepLines w:val="0"/>
              <w:pageBreakBefore w:val="0"/>
              <w:widowControl w:val="0"/>
              <w:kinsoku/>
              <w:wordWrap/>
              <w:overflowPunct/>
              <w:topLinePunct w:val="0"/>
              <w:bidi w:val="0"/>
              <w:adjustRightInd w:val="0"/>
              <w:snapToGrid/>
              <w:spacing w:line="360" w:lineRule="auto"/>
              <w:jc w:val="center"/>
              <w:textAlignment w:val="auto"/>
              <w:rPr>
                <w:rFonts w:hint="eastAsia" w:ascii="宋体" w:hAnsi="宋体" w:eastAsia="宋体" w:cs="宋体"/>
                <w:szCs w:val="21"/>
                <w:highlight w:val="none"/>
              </w:rPr>
            </w:pPr>
            <w:r>
              <w:rPr>
                <w:rFonts w:hint="eastAsia" w:ascii="宋体" w:hAnsi="宋体" w:eastAsia="宋体" w:cs="宋体"/>
                <w:color w:val="auto"/>
                <w:sz w:val="21"/>
                <w:szCs w:val="21"/>
                <w:highlight w:val="none"/>
                <w:lang w:val="en-US" w:eastAsia="zh-CN"/>
              </w:rPr>
              <w:t>服务便利性</w:t>
            </w:r>
          </w:p>
        </w:tc>
        <w:tc>
          <w:tcPr>
            <w:tcW w:w="3206" w:type="pct"/>
            <w:tcBorders>
              <w:top w:val="single" w:color="auto" w:sz="4" w:space="0"/>
              <w:left w:val="single" w:color="auto" w:sz="4" w:space="0"/>
              <w:bottom w:val="single" w:color="auto" w:sz="4" w:space="0"/>
              <w:right w:val="single" w:color="auto" w:sz="4" w:space="0"/>
            </w:tcBorders>
            <w:vAlign w:val="center"/>
          </w:tcPr>
          <w:p w14:paraId="6C4B6E9D">
            <w:pPr>
              <w:keepNext w:val="0"/>
              <w:keepLines w:val="0"/>
              <w:widowControl w:val="0"/>
              <w:suppressLineNumbers w:val="0"/>
              <w:adjustRightInd/>
              <w:spacing w:before="0" w:beforeAutospacing="0" w:after="0" w:afterAutospacing="0" w:line="360" w:lineRule="auto"/>
              <w:ind w:left="0" w:right="0"/>
              <w:rPr>
                <w:rFonts w:hint="eastAsia" w:ascii="宋体" w:hAnsi="宋体" w:eastAsia="宋体" w:cs="宋体"/>
                <w:b/>
                <w:color w:val="auto"/>
                <w:kern w:val="2"/>
                <w:sz w:val="21"/>
                <w:szCs w:val="21"/>
                <w:highlight w:val="none"/>
                <w:lang w:val="en-US" w:eastAsia="zh-CN"/>
              </w:rPr>
            </w:pPr>
            <w:r>
              <w:rPr>
                <w:rFonts w:hint="eastAsia" w:ascii="宋体" w:hAnsi="宋体" w:eastAsia="宋体" w:cs="宋体"/>
                <w:b/>
                <w:color w:val="auto"/>
                <w:kern w:val="2"/>
                <w:sz w:val="21"/>
                <w:szCs w:val="21"/>
                <w:highlight w:val="none"/>
                <w:lang w:val="en-US" w:eastAsia="zh-CN"/>
              </w:rPr>
              <w:t>根据投标人提供的服务便利性时间资料进行评审：</w:t>
            </w:r>
          </w:p>
          <w:p w14:paraId="39A76799">
            <w:pPr>
              <w:keepNext w:val="0"/>
              <w:keepLines w:val="0"/>
              <w:widowControl w:val="0"/>
              <w:suppressLineNumbers w:val="0"/>
              <w:adjustRightInd/>
              <w:spacing w:before="0" w:beforeAutospacing="0" w:after="0" w:afterAutospacing="0" w:line="360" w:lineRule="auto"/>
              <w:ind w:left="0" w:right="0"/>
              <w:rPr>
                <w:rFonts w:hint="eastAsia" w:ascii="宋体" w:hAnsi="宋体" w:eastAsia="宋体" w:cs="宋体"/>
                <w:b w:val="0"/>
                <w:bCs/>
                <w:color w:val="auto"/>
                <w:kern w:val="2"/>
                <w:sz w:val="21"/>
                <w:szCs w:val="21"/>
                <w:highlight w:val="none"/>
                <w:lang w:val="en-US" w:eastAsia="zh-CN"/>
              </w:rPr>
            </w:pPr>
            <w:r>
              <w:rPr>
                <w:rFonts w:hint="eastAsia" w:ascii="宋体" w:hAnsi="宋体" w:eastAsia="宋体" w:cs="宋体"/>
                <w:b w:val="0"/>
                <w:bCs/>
                <w:color w:val="auto"/>
                <w:kern w:val="2"/>
                <w:sz w:val="21"/>
                <w:szCs w:val="21"/>
                <w:highlight w:val="none"/>
                <w:lang w:val="en-US" w:eastAsia="zh-CN"/>
              </w:rPr>
              <w:t>（1）投标人提供从投标人处置场所到达招标人办公地点（地址：东莞市南城街道石鼓社区沿河路西东莞市利源有机资源再生利用项目）的时间资料，能在60分钟到达的，得15分；</w:t>
            </w:r>
          </w:p>
          <w:p w14:paraId="5D14770F">
            <w:pPr>
              <w:keepNext w:val="0"/>
              <w:keepLines w:val="0"/>
              <w:widowControl w:val="0"/>
              <w:suppressLineNumbers w:val="0"/>
              <w:adjustRightInd/>
              <w:spacing w:before="0" w:beforeAutospacing="0" w:after="0" w:afterAutospacing="0" w:line="360" w:lineRule="auto"/>
              <w:ind w:left="0" w:right="0"/>
              <w:rPr>
                <w:rFonts w:hint="eastAsia" w:ascii="宋体" w:hAnsi="宋体" w:eastAsia="宋体" w:cs="宋体"/>
                <w:b w:val="0"/>
                <w:bCs/>
                <w:color w:val="auto"/>
                <w:kern w:val="2"/>
                <w:sz w:val="21"/>
                <w:szCs w:val="21"/>
                <w:highlight w:val="none"/>
                <w:lang w:val="en-US" w:eastAsia="zh-CN"/>
              </w:rPr>
            </w:pPr>
            <w:r>
              <w:rPr>
                <w:rFonts w:hint="eastAsia" w:ascii="宋体" w:hAnsi="宋体" w:eastAsia="宋体" w:cs="宋体"/>
                <w:b w:val="0"/>
                <w:bCs/>
                <w:color w:val="auto"/>
                <w:kern w:val="2"/>
                <w:sz w:val="21"/>
                <w:szCs w:val="21"/>
                <w:highlight w:val="none"/>
                <w:lang w:val="en-US" w:eastAsia="zh-CN"/>
              </w:rPr>
              <w:t>（2）投标人提供从投标人处置场所到达招标人办公地点（地址：东莞市南城街道石鼓社区沿河路西东莞市利源有机资源再生利用项目）的时间资料，能在120分钟到达的，得10分；</w:t>
            </w:r>
          </w:p>
          <w:p w14:paraId="7B3491C7">
            <w:pPr>
              <w:keepNext w:val="0"/>
              <w:keepLines w:val="0"/>
              <w:widowControl w:val="0"/>
              <w:suppressLineNumbers w:val="0"/>
              <w:adjustRightInd/>
              <w:spacing w:before="0" w:beforeAutospacing="0" w:after="0" w:afterAutospacing="0" w:line="360" w:lineRule="auto"/>
              <w:ind w:left="0" w:right="0"/>
              <w:rPr>
                <w:rFonts w:hint="eastAsia" w:ascii="宋体" w:hAnsi="宋体" w:eastAsia="宋体" w:cs="宋体"/>
                <w:b w:val="0"/>
                <w:bCs/>
                <w:color w:val="auto"/>
                <w:kern w:val="2"/>
                <w:sz w:val="21"/>
                <w:szCs w:val="21"/>
                <w:highlight w:val="none"/>
                <w:lang w:val="en-US" w:eastAsia="zh-CN"/>
              </w:rPr>
            </w:pPr>
            <w:r>
              <w:rPr>
                <w:rFonts w:hint="eastAsia" w:ascii="宋体" w:hAnsi="宋体" w:eastAsia="宋体" w:cs="宋体"/>
                <w:b w:val="0"/>
                <w:bCs/>
                <w:color w:val="auto"/>
                <w:kern w:val="2"/>
                <w:sz w:val="21"/>
                <w:szCs w:val="21"/>
                <w:highlight w:val="none"/>
                <w:lang w:val="en-US" w:eastAsia="zh-CN"/>
              </w:rPr>
              <w:t>（3）投标人提供从投标人处置场所到达招标人办公地点（地址：东莞市南城街道石鼓社区沿河路西东莞市利源有机资源再生利用项目）的时间资料，能在240分钟到达的，得5分；</w:t>
            </w:r>
          </w:p>
          <w:p w14:paraId="1674E9D7">
            <w:pPr>
              <w:keepNext w:val="0"/>
              <w:keepLines w:val="0"/>
              <w:widowControl w:val="0"/>
              <w:suppressLineNumbers w:val="0"/>
              <w:adjustRightInd/>
              <w:spacing w:before="0" w:beforeAutospacing="0" w:after="0" w:afterAutospacing="0" w:line="360" w:lineRule="auto"/>
              <w:ind w:left="0" w:right="0"/>
              <w:rPr>
                <w:rFonts w:hint="eastAsia" w:ascii="宋体" w:hAnsi="宋体" w:eastAsia="宋体" w:cs="宋体"/>
                <w:b w:val="0"/>
                <w:bCs/>
                <w:color w:val="auto"/>
                <w:kern w:val="2"/>
                <w:sz w:val="21"/>
                <w:szCs w:val="21"/>
                <w:highlight w:val="none"/>
                <w:lang w:val="en-US" w:eastAsia="zh-CN"/>
              </w:rPr>
            </w:pPr>
            <w:r>
              <w:rPr>
                <w:rFonts w:hint="eastAsia" w:ascii="宋体" w:hAnsi="宋体" w:eastAsia="宋体" w:cs="宋体"/>
                <w:b w:val="0"/>
                <w:bCs/>
                <w:color w:val="auto"/>
                <w:kern w:val="2"/>
                <w:sz w:val="21"/>
                <w:szCs w:val="21"/>
                <w:highlight w:val="none"/>
                <w:lang w:val="en-US" w:eastAsia="zh-CN"/>
              </w:rPr>
              <w:t>（4）其他情况不得分。</w:t>
            </w:r>
          </w:p>
          <w:p w14:paraId="78F823AB">
            <w:pPr>
              <w:keepNext w:val="0"/>
              <w:keepLines w:val="0"/>
              <w:widowControl w:val="0"/>
              <w:suppressLineNumbers w:val="0"/>
              <w:adjustRightInd/>
              <w:spacing w:before="0" w:beforeAutospacing="0" w:after="0" w:afterAutospacing="0" w:line="360" w:lineRule="auto"/>
              <w:ind w:left="0" w:right="0"/>
              <w:rPr>
                <w:rFonts w:hint="eastAsia" w:ascii="宋体" w:hAnsi="宋体" w:eastAsia="宋体" w:cs="宋体"/>
                <w:b/>
                <w:color w:val="auto"/>
                <w:kern w:val="2"/>
                <w:sz w:val="21"/>
                <w:szCs w:val="21"/>
                <w:highlight w:val="none"/>
                <w:lang w:val="en-US" w:eastAsia="zh-CN"/>
              </w:rPr>
            </w:pPr>
            <w:r>
              <w:rPr>
                <w:rFonts w:hint="eastAsia" w:ascii="宋体" w:hAnsi="宋体" w:eastAsia="宋体" w:cs="宋体"/>
                <w:b/>
                <w:color w:val="auto"/>
                <w:kern w:val="2"/>
                <w:sz w:val="21"/>
                <w:szCs w:val="21"/>
                <w:highlight w:val="none"/>
                <w:lang w:val="en-US" w:eastAsia="zh-CN"/>
              </w:rPr>
              <w:t>备注：</w:t>
            </w:r>
          </w:p>
          <w:p w14:paraId="31274775">
            <w:pPr>
              <w:keepNext w:val="0"/>
              <w:keepLines w:val="0"/>
              <w:widowControl w:val="0"/>
              <w:suppressLineNumbers w:val="0"/>
              <w:adjustRightInd/>
              <w:spacing w:before="0" w:beforeAutospacing="0" w:after="0" w:afterAutospacing="0" w:line="360" w:lineRule="auto"/>
              <w:ind w:left="0" w:right="0"/>
              <w:rPr>
                <w:rFonts w:hint="eastAsia" w:ascii="宋体" w:hAnsi="宋体" w:eastAsia="宋体" w:cs="宋体"/>
                <w:b/>
                <w:color w:val="auto"/>
                <w:kern w:val="2"/>
                <w:sz w:val="21"/>
                <w:szCs w:val="21"/>
                <w:highlight w:val="none"/>
                <w:lang w:val="en-US" w:eastAsia="zh-CN"/>
              </w:rPr>
            </w:pPr>
            <w:r>
              <w:rPr>
                <w:rFonts w:hint="eastAsia" w:ascii="宋体" w:hAnsi="宋体" w:eastAsia="宋体" w:cs="宋体"/>
                <w:b/>
                <w:color w:val="auto"/>
                <w:kern w:val="2"/>
                <w:sz w:val="21"/>
                <w:szCs w:val="21"/>
                <w:highlight w:val="none"/>
                <w:lang w:val="en-US" w:eastAsia="zh-CN"/>
              </w:rPr>
              <w:t>（1）处置场所是投标人自有的须提供处置场所的产权证明文件扫描件；处置场所是投标人租赁的或与第三方合作使用的须提供场所的租赁合同扫描件或投标人与第三方合作使用的相关合作协议扫描件；产权证明或租赁合同或投标人与第三方合作使用的相关合作协议的期限须至2027年6月30日或以后，否则在评审时将不予考虑；</w:t>
            </w:r>
          </w:p>
          <w:p w14:paraId="4FBC2437">
            <w:pPr>
              <w:keepNext w:val="0"/>
              <w:keepLines w:val="0"/>
              <w:widowControl w:val="0"/>
              <w:suppressLineNumbers w:val="0"/>
              <w:adjustRightInd/>
              <w:spacing w:before="0" w:beforeAutospacing="0" w:after="0" w:afterAutospacing="0" w:line="360" w:lineRule="auto"/>
              <w:ind w:left="0" w:right="0"/>
              <w:rPr>
                <w:rFonts w:hint="eastAsia" w:ascii="宋体" w:hAnsi="宋体" w:eastAsia="宋体" w:cs="宋体"/>
                <w:b/>
                <w:color w:val="auto"/>
                <w:kern w:val="2"/>
                <w:sz w:val="21"/>
                <w:szCs w:val="21"/>
                <w:highlight w:val="none"/>
                <w:lang w:val="en-US" w:eastAsia="zh-CN"/>
              </w:rPr>
            </w:pPr>
            <w:r>
              <w:rPr>
                <w:rFonts w:hint="eastAsia" w:ascii="宋体" w:hAnsi="宋体" w:eastAsia="宋体" w:cs="宋体"/>
                <w:b/>
                <w:color w:val="auto"/>
                <w:kern w:val="2"/>
                <w:sz w:val="21"/>
                <w:szCs w:val="21"/>
                <w:highlight w:val="none"/>
                <w:lang w:val="en-US" w:eastAsia="zh-CN"/>
              </w:rPr>
              <w:t>（2）投标人需提供从投标人处置场所到招标人办公地点的路线图导航截屏（需体现投标人处置场所至招标人办公地点的名称、距离以及用时等关键因素），未提供相关证明资料或不符合本项评分要求的，在评审时将不予考虑。</w:t>
            </w:r>
          </w:p>
          <w:p w14:paraId="179B39DF">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b/>
                <w:color w:val="auto"/>
                <w:kern w:val="2"/>
                <w:sz w:val="21"/>
                <w:szCs w:val="21"/>
                <w:highlight w:val="none"/>
                <w:lang w:val="en-US" w:eastAsia="zh-CN"/>
              </w:rPr>
            </w:pPr>
            <w:r>
              <w:rPr>
                <w:rFonts w:hint="eastAsia" w:ascii="宋体" w:hAnsi="宋体" w:eastAsia="宋体" w:cs="宋体"/>
                <w:b/>
                <w:color w:val="auto"/>
                <w:kern w:val="2"/>
                <w:sz w:val="21"/>
                <w:szCs w:val="21"/>
                <w:highlight w:val="none"/>
                <w:lang w:val="en-US" w:eastAsia="zh-CN"/>
              </w:rPr>
              <w:t>（3）投标人如提供多个路线图时间资料，按资料反映的最短时间计分，不重复或叠加得分。</w:t>
            </w:r>
          </w:p>
          <w:p w14:paraId="4F2F0FDF">
            <w:pPr>
              <w:keepNext w:val="0"/>
              <w:keepLines w:val="0"/>
              <w:widowControl w:val="0"/>
              <w:suppressLineNumbers w:val="0"/>
              <w:adjustRightInd/>
              <w:spacing w:before="0" w:beforeAutospacing="0" w:after="0" w:afterAutospacing="0" w:line="360" w:lineRule="auto"/>
              <w:ind w:left="0" w:right="0"/>
              <w:rPr>
                <w:rFonts w:hint="default"/>
                <w:lang w:val="en-US" w:eastAsia="zh-CN"/>
              </w:rPr>
            </w:pPr>
            <w:r>
              <w:rPr>
                <w:rFonts w:hint="eastAsia" w:ascii="宋体" w:hAnsi="宋体" w:eastAsia="宋体" w:cs="宋体"/>
                <w:b/>
                <w:color w:val="auto"/>
                <w:kern w:val="2"/>
                <w:sz w:val="21"/>
                <w:szCs w:val="21"/>
                <w:highlight w:val="none"/>
                <w:lang w:val="en-US" w:eastAsia="zh-CN"/>
              </w:rPr>
              <w:t>（4）若投标人同时满足多项计分条件的，评审时按较高的得分计分。</w:t>
            </w:r>
          </w:p>
        </w:tc>
        <w:tc>
          <w:tcPr>
            <w:tcW w:w="512" w:type="pct"/>
            <w:tcBorders>
              <w:top w:val="single" w:color="auto" w:sz="4" w:space="0"/>
              <w:left w:val="single" w:color="auto" w:sz="4" w:space="0"/>
              <w:bottom w:val="single" w:color="auto" w:sz="4" w:space="0"/>
              <w:right w:val="single" w:color="auto" w:sz="4" w:space="0"/>
            </w:tcBorders>
            <w:shd w:val="clear" w:color="auto" w:fill="auto"/>
            <w:vAlign w:val="center"/>
          </w:tcPr>
          <w:p w14:paraId="4F3CB8C4">
            <w:pPr>
              <w:keepNext w:val="0"/>
              <w:keepLines w:val="0"/>
              <w:pageBreakBefore w:val="0"/>
              <w:widowControl w:val="0"/>
              <w:tabs>
                <w:tab w:val="left" w:pos="134"/>
              </w:tabs>
              <w:kinsoku/>
              <w:wordWrap/>
              <w:overflowPunct/>
              <w:topLinePunct w:val="0"/>
              <w:bidi w:val="0"/>
              <w:snapToGrid w:val="0"/>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15分</w:t>
            </w:r>
          </w:p>
        </w:tc>
      </w:tr>
    </w:tbl>
    <w:p w14:paraId="7619DA94">
      <w:pPr>
        <w:pStyle w:val="2"/>
        <w:numPr>
          <w:ilvl w:val="-1"/>
          <w:numId w:val="0"/>
        </w:numPr>
        <w:rPr>
          <w:color w:val="auto"/>
          <w:highlight w:val="none"/>
        </w:rPr>
      </w:pPr>
    </w:p>
    <w:p w14:paraId="1BD228C0">
      <w:pPr>
        <w:autoSpaceDE w:val="0"/>
        <w:autoSpaceDN w:val="0"/>
        <w:adjustRightInd w:val="0"/>
        <w:spacing w:line="360" w:lineRule="auto"/>
        <w:rPr>
          <w:rFonts w:hint="eastAsia" w:ascii="宋体" w:hAnsi="宋体" w:eastAsia="宋体" w:cs="宋体"/>
          <w:b/>
          <w:color w:val="auto"/>
          <w:szCs w:val="21"/>
          <w:highlight w:val="none"/>
          <w:lang w:bidi="ar"/>
        </w:rPr>
      </w:pPr>
      <w:r>
        <w:rPr>
          <w:rFonts w:hint="eastAsia" w:ascii="宋体" w:hAnsi="宋体" w:eastAsia="宋体" w:cs="宋体"/>
          <w:b/>
          <w:color w:val="auto"/>
          <w:szCs w:val="21"/>
          <w:highlight w:val="none"/>
          <w:lang w:bidi="ar"/>
        </w:rPr>
        <w:t>（2）技术：总分</w:t>
      </w:r>
      <w:r>
        <w:rPr>
          <w:rFonts w:hint="eastAsia" w:ascii="宋体" w:hAnsi="宋体" w:eastAsia="宋体" w:cs="宋体"/>
          <w:b/>
          <w:color w:val="auto"/>
          <w:szCs w:val="21"/>
          <w:highlight w:val="none"/>
          <w:lang w:val="en-US" w:eastAsia="zh-CN" w:bidi="ar"/>
        </w:rPr>
        <w:t xml:space="preserve"> 40</w:t>
      </w:r>
      <w:r>
        <w:rPr>
          <w:rFonts w:hint="eastAsia" w:ascii="宋体" w:hAnsi="宋体" w:eastAsia="宋体" w:cs="宋体"/>
          <w:b/>
          <w:color w:val="auto"/>
          <w:szCs w:val="21"/>
          <w:highlight w:val="none"/>
          <w:lang w:bidi="ar"/>
        </w:rPr>
        <w:t>分</w:t>
      </w:r>
    </w:p>
    <w:tbl>
      <w:tblPr>
        <w:tblStyle w:val="52"/>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942"/>
        <w:gridCol w:w="6644"/>
        <w:gridCol w:w="1087"/>
      </w:tblGrid>
      <w:tr w14:paraId="0CC0E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5" w:type="pct"/>
            <w:vAlign w:val="center"/>
          </w:tcPr>
          <w:p w14:paraId="1A16D89A">
            <w:pPr>
              <w:keepNext w:val="0"/>
              <w:keepLines w:val="0"/>
              <w:pageBreakBefore w:val="0"/>
              <w:widowControl w:val="0"/>
              <w:kinsoku/>
              <w:wordWrap/>
              <w:overflowPunct/>
              <w:topLinePunct w:val="0"/>
              <w:autoSpaceDE/>
              <w:autoSpaceDN/>
              <w:bidi w:val="0"/>
              <w:adjustRightInd/>
              <w:snapToGrid w:val="0"/>
              <w:spacing w:line="400" w:lineRule="exact"/>
              <w:ind w:left="-53" w:leftChars="-25" w:right="-38" w:rightChars="-18" w:firstLine="2"/>
              <w:jc w:val="center"/>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序号</w:t>
            </w:r>
          </w:p>
        </w:tc>
        <w:tc>
          <w:tcPr>
            <w:tcW w:w="936" w:type="pct"/>
            <w:vAlign w:val="center"/>
          </w:tcPr>
          <w:p w14:paraId="3CE32424">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eastAsia="zh-CN"/>
              </w:rPr>
              <w:t>评审</w:t>
            </w:r>
            <w:r>
              <w:rPr>
                <w:rFonts w:hint="eastAsia" w:ascii="宋体" w:hAnsi="宋体" w:eastAsia="宋体" w:cs="宋体"/>
                <w:b/>
                <w:color w:val="auto"/>
                <w:szCs w:val="21"/>
                <w:highlight w:val="none"/>
                <w:lang w:val="zh-CN"/>
              </w:rPr>
              <w:t>内容</w:t>
            </w:r>
          </w:p>
        </w:tc>
        <w:tc>
          <w:tcPr>
            <w:tcW w:w="3203" w:type="pct"/>
            <w:shd w:val="clear" w:color="auto" w:fill="auto"/>
            <w:vAlign w:val="center"/>
          </w:tcPr>
          <w:p w14:paraId="5863979E">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kern w:val="0"/>
                <w:szCs w:val="21"/>
                <w:highlight w:val="none"/>
              </w:rPr>
              <w:t>评审细则</w:t>
            </w:r>
          </w:p>
        </w:tc>
        <w:tc>
          <w:tcPr>
            <w:tcW w:w="524" w:type="pct"/>
            <w:shd w:val="clear" w:color="auto" w:fill="auto"/>
            <w:vAlign w:val="center"/>
          </w:tcPr>
          <w:p w14:paraId="62B0692A">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sz w:val="21"/>
                <w:szCs w:val="21"/>
                <w:highlight w:val="none"/>
              </w:rPr>
              <w:t>满分值</w:t>
            </w:r>
          </w:p>
        </w:tc>
      </w:tr>
      <w:tr w14:paraId="6379C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35" w:type="pct"/>
            <w:vMerge w:val="restart"/>
            <w:vAlign w:val="center"/>
          </w:tcPr>
          <w:p w14:paraId="30F0888D">
            <w:pPr>
              <w:keepNext w:val="0"/>
              <w:keepLines w:val="0"/>
              <w:pageBreakBefore w:val="0"/>
              <w:widowControl w:val="0"/>
              <w:kinsoku/>
              <w:wordWrap/>
              <w:overflowPunct/>
              <w:topLinePunct w:val="0"/>
              <w:autoSpaceDE/>
              <w:autoSpaceDN/>
              <w:bidi w:val="0"/>
              <w:adjustRightInd/>
              <w:snapToGrid/>
              <w:spacing w:line="400" w:lineRule="exact"/>
              <w:ind w:left="-53" w:leftChars="-25" w:right="-38" w:rightChars="-18" w:firstLine="2"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1</w:t>
            </w:r>
          </w:p>
        </w:tc>
        <w:tc>
          <w:tcPr>
            <w:tcW w:w="936" w:type="pct"/>
            <w:vMerge w:val="restart"/>
            <w:shd w:val="clear" w:color="auto" w:fill="auto"/>
            <w:vAlign w:val="center"/>
          </w:tcPr>
          <w:p w14:paraId="747CD09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lang w:bidi="ar"/>
              </w:rPr>
              <w:t>用户需求响应程度</w:t>
            </w:r>
          </w:p>
        </w:tc>
        <w:tc>
          <w:tcPr>
            <w:tcW w:w="3203" w:type="pct"/>
            <w:vMerge w:val="restart"/>
            <w:tcBorders>
              <w:top w:val="single" w:color="auto" w:sz="4" w:space="0"/>
              <w:left w:val="single" w:color="auto" w:sz="4" w:space="0"/>
              <w:right w:val="single" w:color="auto" w:sz="4" w:space="0"/>
            </w:tcBorders>
            <w:shd w:val="clear" w:color="auto" w:fill="auto"/>
            <w:vAlign w:val="center"/>
          </w:tcPr>
          <w:p w14:paraId="59E0EC3C">
            <w:pPr>
              <w:keepNext w:val="0"/>
              <w:keepLines w:val="0"/>
              <w:pageBreakBefore w:val="0"/>
              <w:widowControl w:val="0"/>
              <w:kinsoku/>
              <w:wordWrap/>
              <w:overflowPunct/>
              <w:topLinePunct w:val="0"/>
              <w:bidi w:val="0"/>
              <w:snapToGrid w:val="0"/>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color w:val="auto"/>
                <w:szCs w:val="21"/>
                <w:highlight w:val="none"/>
                <w:lang w:bidi="ar"/>
              </w:rPr>
              <w:t>对用户需求偏离表的偏离情况进行</w:t>
            </w:r>
            <w:r>
              <w:rPr>
                <w:rFonts w:hint="eastAsia" w:ascii="宋体" w:hAnsi="宋体" w:eastAsia="宋体" w:cs="宋体"/>
                <w:color w:val="auto"/>
                <w:szCs w:val="21"/>
                <w:highlight w:val="none"/>
                <w:lang w:eastAsia="zh-CN" w:bidi="ar"/>
              </w:rPr>
              <w:t>审查</w:t>
            </w:r>
            <w:r>
              <w:rPr>
                <w:rFonts w:hint="eastAsia" w:ascii="宋体" w:hAnsi="宋体" w:eastAsia="宋体" w:cs="宋体"/>
                <w:color w:val="auto"/>
                <w:szCs w:val="21"/>
                <w:highlight w:val="none"/>
                <w:lang w:bidi="ar"/>
              </w:rPr>
              <w:t>计分，完全满足用户需求书的要求得满分；每一处负偏离，扣</w:t>
            </w:r>
            <w:r>
              <w:rPr>
                <w:rFonts w:hint="eastAsia" w:ascii="宋体" w:hAnsi="宋体" w:eastAsia="宋体" w:cs="宋体"/>
                <w:color w:val="auto"/>
                <w:szCs w:val="21"/>
                <w:highlight w:val="none"/>
                <w:lang w:val="en-US" w:eastAsia="zh-CN" w:bidi="ar"/>
              </w:rPr>
              <w:t>2</w:t>
            </w:r>
            <w:r>
              <w:rPr>
                <w:rFonts w:hint="eastAsia" w:ascii="宋体" w:hAnsi="宋体" w:eastAsia="宋体" w:cs="宋体"/>
                <w:color w:val="auto"/>
                <w:szCs w:val="21"/>
                <w:highlight w:val="none"/>
                <w:lang w:bidi="ar"/>
              </w:rPr>
              <w:t>分；同时参照其</w:t>
            </w:r>
            <w:r>
              <w:rPr>
                <w:rFonts w:hint="eastAsia" w:ascii="宋体" w:hAnsi="宋体" w:eastAsia="宋体" w:cs="宋体"/>
                <w:color w:val="auto"/>
                <w:szCs w:val="21"/>
                <w:highlight w:val="none"/>
                <w:lang w:eastAsia="zh-CN" w:bidi="ar"/>
              </w:rPr>
              <w:t>投标文件</w:t>
            </w:r>
            <w:r>
              <w:rPr>
                <w:rFonts w:hint="eastAsia" w:ascii="宋体" w:hAnsi="宋体" w:eastAsia="宋体" w:cs="宋体"/>
                <w:color w:val="auto"/>
                <w:szCs w:val="21"/>
                <w:highlight w:val="none"/>
                <w:lang w:bidi="ar"/>
              </w:rPr>
              <w:t>中技术资料内容进行对比，每发现一处</w:t>
            </w:r>
            <w:r>
              <w:rPr>
                <w:rFonts w:hint="eastAsia" w:ascii="宋体" w:hAnsi="宋体" w:eastAsia="宋体" w:cs="宋体"/>
                <w:color w:val="auto"/>
                <w:szCs w:val="21"/>
                <w:highlight w:val="none"/>
                <w:lang w:eastAsia="zh-CN" w:bidi="ar"/>
              </w:rPr>
              <w:t>投标人</w:t>
            </w:r>
            <w:r>
              <w:rPr>
                <w:rFonts w:hint="eastAsia" w:ascii="宋体" w:hAnsi="宋体" w:eastAsia="宋体" w:cs="宋体"/>
                <w:color w:val="auto"/>
                <w:szCs w:val="21"/>
                <w:highlight w:val="none"/>
                <w:lang w:bidi="ar"/>
              </w:rPr>
              <w:t>填写为无偏离或正偏离，但</w:t>
            </w:r>
            <w:r>
              <w:rPr>
                <w:rFonts w:hint="eastAsia" w:ascii="宋体" w:hAnsi="宋体" w:eastAsia="宋体" w:cs="宋体"/>
                <w:color w:val="auto"/>
                <w:szCs w:val="21"/>
                <w:highlight w:val="none"/>
                <w:lang w:val="en-US" w:eastAsia="zh-CN" w:bidi="ar"/>
              </w:rPr>
              <w:t>评标委员会</w:t>
            </w:r>
            <w:r>
              <w:rPr>
                <w:rFonts w:hint="eastAsia" w:ascii="宋体" w:hAnsi="宋体" w:eastAsia="宋体" w:cs="宋体"/>
                <w:color w:val="auto"/>
                <w:szCs w:val="21"/>
                <w:highlight w:val="none"/>
                <w:lang w:eastAsia="zh-CN" w:bidi="ar"/>
              </w:rPr>
              <w:t>审查</w:t>
            </w:r>
            <w:r>
              <w:rPr>
                <w:rFonts w:hint="eastAsia" w:ascii="宋体" w:hAnsi="宋体" w:eastAsia="宋体" w:cs="宋体"/>
                <w:color w:val="auto"/>
                <w:szCs w:val="21"/>
                <w:highlight w:val="none"/>
                <w:lang w:bidi="ar"/>
              </w:rPr>
              <w:t>认定其为负偏离的，每处扣</w:t>
            </w:r>
            <w:r>
              <w:rPr>
                <w:rFonts w:hint="eastAsia" w:ascii="宋体" w:hAnsi="宋体" w:eastAsia="宋体" w:cs="宋体"/>
                <w:color w:val="auto"/>
                <w:szCs w:val="21"/>
                <w:highlight w:val="none"/>
                <w:lang w:val="en-US" w:eastAsia="zh-CN" w:bidi="ar"/>
              </w:rPr>
              <w:t>5</w:t>
            </w:r>
            <w:r>
              <w:rPr>
                <w:rFonts w:hint="eastAsia" w:ascii="宋体" w:hAnsi="宋体" w:eastAsia="宋体" w:cs="宋体"/>
                <w:color w:val="auto"/>
                <w:szCs w:val="21"/>
                <w:highlight w:val="none"/>
                <w:lang w:bidi="ar"/>
              </w:rPr>
              <w:t>分；本项最低分为0分。</w:t>
            </w:r>
          </w:p>
        </w:tc>
        <w:tc>
          <w:tcPr>
            <w:tcW w:w="524" w:type="pct"/>
            <w:vMerge w:val="restart"/>
            <w:tcBorders>
              <w:top w:val="single" w:color="auto" w:sz="4" w:space="0"/>
              <w:left w:val="single" w:color="auto" w:sz="4" w:space="0"/>
              <w:right w:val="single" w:color="auto" w:sz="4" w:space="0"/>
            </w:tcBorders>
            <w:shd w:val="clear" w:color="auto" w:fill="auto"/>
            <w:vAlign w:val="center"/>
          </w:tcPr>
          <w:p w14:paraId="4051263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10分</w:t>
            </w:r>
          </w:p>
        </w:tc>
      </w:tr>
      <w:tr w14:paraId="3473F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35" w:type="pct"/>
            <w:vMerge w:val="continue"/>
            <w:vAlign w:val="center"/>
          </w:tcPr>
          <w:p w14:paraId="25ADFC84">
            <w:pPr>
              <w:keepNext w:val="0"/>
              <w:keepLines w:val="0"/>
              <w:pageBreakBefore w:val="0"/>
              <w:widowControl w:val="0"/>
              <w:kinsoku/>
              <w:wordWrap/>
              <w:overflowPunct/>
              <w:topLinePunct w:val="0"/>
              <w:bidi w:val="0"/>
              <w:snapToGrid w:val="0"/>
              <w:spacing w:line="400" w:lineRule="exact"/>
              <w:jc w:val="center"/>
              <w:textAlignment w:val="auto"/>
              <w:rPr>
                <w:rFonts w:hint="eastAsia" w:ascii="宋体" w:hAnsi="宋体" w:eastAsia="宋体" w:cs="宋体"/>
                <w:color w:val="auto"/>
                <w:sz w:val="21"/>
                <w:szCs w:val="21"/>
                <w:highlight w:val="none"/>
              </w:rPr>
            </w:pPr>
          </w:p>
        </w:tc>
        <w:tc>
          <w:tcPr>
            <w:tcW w:w="936" w:type="pct"/>
            <w:vMerge w:val="continue"/>
            <w:vAlign w:val="center"/>
          </w:tcPr>
          <w:p w14:paraId="4FF500D9">
            <w:pPr>
              <w:keepNext w:val="0"/>
              <w:keepLines w:val="0"/>
              <w:pageBreakBefore w:val="0"/>
              <w:widowControl w:val="0"/>
              <w:kinsoku/>
              <w:wordWrap/>
              <w:overflowPunct/>
              <w:topLinePunct w:val="0"/>
              <w:bidi w:val="0"/>
              <w:snapToGrid w:val="0"/>
              <w:spacing w:line="400" w:lineRule="exact"/>
              <w:jc w:val="center"/>
              <w:textAlignment w:val="auto"/>
              <w:rPr>
                <w:rFonts w:hint="eastAsia" w:ascii="宋体" w:hAnsi="宋体" w:eastAsia="宋体" w:cs="宋体"/>
                <w:color w:val="auto"/>
                <w:sz w:val="21"/>
                <w:szCs w:val="21"/>
                <w:highlight w:val="none"/>
              </w:rPr>
            </w:pPr>
          </w:p>
        </w:tc>
        <w:tc>
          <w:tcPr>
            <w:tcW w:w="3203" w:type="pct"/>
            <w:vMerge w:val="continue"/>
            <w:tcBorders>
              <w:left w:val="single" w:color="auto" w:sz="4" w:space="0"/>
              <w:bottom w:val="single" w:color="auto" w:sz="4" w:space="0"/>
              <w:right w:val="single" w:color="auto" w:sz="4" w:space="0"/>
            </w:tcBorders>
            <w:vAlign w:val="center"/>
          </w:tcPr>
          <w:p w14:paraId="543585DE">
            <w:pPr>
              <w:keepNext w:val="0"/>
              <w:keepLines w:val="0"/>
              <w:pageBreakBefore w:val="0"/>
              <w:widowControl w:val="0"/>
              <w:kinsoku/>
              <w:wordWrap/>
              <w:overflowPunct/>
              <w:topLinePunct w:val="0"/>
              <w:bidi w:val="0"/>
              <w:snapToGrid w:val="0"/>
              <w:spacing w:line="400" w:lineRule="exact"/>
              <w:jc w:val="center"/>
              <w:textAlignment w:val="auto"/>
              <w:rPr>
                <w:rFonts w:hint="eastAsia" w:ascii="宋体" w:hAnsi="宋体" w:eastAsia="宋体" w:cs="宋体"/>
                <w:color w:val="auto"/>
                <w:sz w:val="21"/>
                <w:szCs w:val="21"/>
                <w:highlight w:val="none"/>
              </w:rPr>
            </w:pPr>
          </w:p>
        </w:tc>
        <w:tc>
          <w:tcPr>
            <w:tcW w:w="524" w:type="pct"/>
            <w:vMerge w:val="continue"/>
            <w:tcBorders>
              <w:left w:val="single" w:color="auto" w:sz="4" w:space="0"/>
              <w:bottom w:val="single" w:color="auto" w:sz="4" w:space="0"/>
              <w:right w:val="single" w:color="auto" w:sz="4" w:space="0"/>
            </w:tcBorders>
            <w:shd w:val="clear" w:color="auto" w:fill="auto"/>
            <w:vAlign w:val="center"/>
          </w:tcPr>
          <w:p w14:paraId="3E207EC9">
            <w:pPr>
              <w:keepNext w:val="0"/>
              <w:keepLines w:val="0"/>
              <w:pageBreakBefore w:val="0"/>
              <w:widowControl w:val="0"/>
              <w:kinsoku/>
              <w:wordWrap/>
              <w:overflowPunct/>
              <w:topLinePunct w:val="0"/>
              <w:bidi w:val="0"/>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p>
        </w:tc>
      </w:tr>
      <w:tr w14:paraId="6760A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5" w:type="pct"/>
            <w:vAlign w:val="center"/>
          </w:tcPr>
          <w:p w14:paraId="67B7A9E6">
            <w:pPr>
              <w:keepNext w:val="0"/>
              <w:keepLines w:val="0"/>
              <w:pageBreakBefore w:val="0"/>
              <w:widowControl w:val="0"/>
              <w:kinsoku/>
              <w:wordWrap/>
              <w:overflowPunct/>
              <w:topLinePunct w:val="0"/>
              <w:autoSpaceDE/>
              <w:autoSpaceDN/>
              <w:bidi w:val="0"/>
              <w:adjustRightInd/>
              <w:snapToGrid w:val="0"/>
              <w:spacing w:line="400" w:lineRule="exact"/>
              <w:ind w:left="-53" w:leftChars="-25" w:right="-38" w:rightChars="-18" w:firstLine="2"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936" w:type="pct"/>
            <w:shd w:val="clear" w:color="auto" w:fill="auto"/>
            <w:vAlign w:val="center"/>
          </w:tcPr>
          <w:p w14:paraId="7884915C">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半干化泥粉/污泥处置服务方案</w:t>
            </w:r>
          </w:p>
        </w:tc>
        <w:tc>
          <w:tcPr>
            <w:tcW w:w="3203" w:type="pct"/>
            <w:tcBorders>
              <w:top w:val="single" w:color="auto" w:sz="4" w:space="0"/>
              <w:left w:val="single" w:color="auto" w:sz="4" w:space="0"/>
              <w:right w:val="single" w:color="auto" w:sz="4" w:space="0"/>
            </w:tcBorders>
            <w:shd w:val="clear" w:color="auto" w:fill="auto"/>
            <w:vAlign w:val="center"/>
          </w:tcPr>
          <w:p w14:paraId="266DC416">
            <w:pPr>
              <w:keepNext w:val="0"/>
              <w:keepLines w:val="0"/>
              <w:pageBreakBefore w:val="0"/>
              <w:widowControl w:val="0"/>
              <w:kinsoku/>
              <w:wordWrap/>
              <w:overflowPunct/>
              <w:topLinePunct w:val="0"/>
              <w:bidi w:val="0"/>
              <w:snapToGrid w:val="0"/>
              <w:spacing w:line="400" w:lineRule="exact"/>
              <w:textAlignment w:val="auto"/>
              <w:rPr>
                <w:rFonts w:hint="eastAsia" w:ascii="宋体" w:hAnsi="宋体" w:eastAsia="宋体" w:cs="宋体"/>
                <w:b w:val="0"/>
                <w:bCs w:val="0"/>
                <w:color w:val="auto"/>
                <w:szCs w:val="21"/>
                <w:highlight w:val="none"/>
                <w:lang w:val="en-US" w:eastAsia="zh-CN" w:bidi="ar"/>
              </w:rPr>
            </w:pPr>
            <w:r>
              <w:rPr>
                <w:rFonts w:hint="eastAsia" w:ascii="宋体" w:hAnsi="宋体" w:eastAsia="宋体" w:cs="宋体"/>
                <w:b w:val="0"/>
                <w:bCs w:val="0"/>
                <w:color w:val="auto"/>
                <w:szCs w:val="21"/>
                <w:highlight w:val="none"/>
                <w:lang w:val="en-US" w:eastAsia="zh-CN" w:bidi="ar"/>
              </w:rPr>
              <w:t>根据投标人提供的半干化泥粉/污泥处置服务方案【包括但不限于处置工艺流程、处置场所生产环境、处置设备设施、处置设备设施运行和维护情况、运输能力（运输车辆数量、运输路线规划、运输频次等）】进行评审：</w:t>
            </w:r>
          </w:p>
          <w:p w14:paraId="0D2E82D3">
            <w:pPr>
              <w:keepNext w:val="0"/>
              <w:keepLines w:val="0"/>
              <w:pageBreakBefore w:val="0"/>
              <w:widowControl w:val="0"/>
              <w:kinsoku/>
              <w:wordWrap/>
              <w:overflowPunct/>
              <w:topLinePunct w:val="0"/>
              <w:bidi w:val="0"/>
              <w:snapToGrid w:val="0"/>
              <w:spacing w:line="400" w:lineRule="exact"/>
              <w:textAlignment w:val="auto"/>
              <w:rPr>
                <w:rFonts w:hint="eastAsia" w:ascii="宋体" w:hAnsi="宋体" w:eastAsia="宋体" w:cs="宋体"/>
                <w:b w:val="0"/>
                <w:bCs w:val="0"/>
                <w:color w:val="auto"/>
                <w:szCs w:val="21"/>
                <w:highlight w:val="none"/>
                <w:lang w:val="en-US" w:eastAsia="zh-CN" w:bidi="ar"/>
              </w:rPr>
            </w:pPr>
            <w:r>
              <w:rPr>
                <w:rFonts w:hint="eastAsia" w:ascii="宋体" w:hAnsi="宋体" w:eastAsia="宋体" w:cs="宋体"/>
                <w:b w:val="0"/>
                <w:bCs w:val="0"/>
                <w:color w:val="auto"/>
                <w:szCs w:val="21"/>
                <w:highlight w:val="none"/>
                <w:lang w:val="en-US" w:eastAsia="zh-CN" w:bidi="ar"/>
              </w:rPr>
              <w:t>优：方案内容完整、清晰、合理、可行性强，处置工艺描述非常清晰，能完全实现半干化泥粉/污泥无害化处置要求，生产环境整洁有序，设备设施完善，设备运行和维护情况非常好，运输保障性非常高，完全满足项目需求，得10分；</w:t>
            </w:r>
          </w:p>
          <w:p w14:paraId="5A9F23FA">
            <w:pPr>
              <w:keepNext w:val="0"/>
              <w:keepLines w:val="0"/>
              <w:pageBreakBefore w:val="0"/>
              <w:widowControl w:val="0"/>
              <w:kinsoku/>
              <w:wordWrap/>
              <w:overflowPunct/>
              <w:topLinePunct w:val="0"/>
              <w:bidi w:val="0"/>
              <w:snapToGrid w:val="0"/>
              <w:spacing w:line="400" w:lineRule="exact"/>
              <w:textAlignment w:val="auto"/>
              <w:rPr>
                <w:rFonts w:hint="eastAsia" w:ascii="宋体" w:hAnsi="宋体" w:eastAsia="宋体" w:cs="宋体"/>
                <w:b w:val="0"/>
                <w:bCs w:val="0"/>
                <w:color w:val="auto"/>
                <w:szCs w:val="21"/>
                <w:highlight w:val="none"/>
                <w:lang w:val="en-US" w:eastAsia="zh-CN" w:bidi="ar"/>
              </w:rPr>
            </w:pPr>
            <w:r>
              <w:rPr>
                <w:rFonts w:hint="eastAsia" w:ascii="宋体" w:hAnsi="宋体" w:eastAsia="宋体" w:cs="宋体"/>
                <w:b w:val="0"/>
                <w:bCs w:val="0"/>
                <w:color w:val="auto"/>
                <w:szCs w:val="21"/>
                <w:highlight w:val="none"/>
                <w:lang w:val="en-US" w:eastAsia="zh-CN" w:bidi="ar"/>
              </w:rPr>
              <w:t>良：方案内容比较完整、较清晰、较合理、可行性较强，处置工艺描述较清晰，能实现半干化泥粉/污泥无害化处置要求，生产环境较整洁，设备设施较完善，设备运行和维护情况较好，运输保障性较高，满足项目需求，得6分；</w:t>
            </w:r>
          </w:p>
          <w:p w14:paraId="0D44285E">
            <w:pPr>
              <w:keepNext w:val="0"/>
              <w:keepLines w:val="0"/>
              <w:pageBreakBefore w:val="0"/>
              <w:widowControl w:val="0"/>
              <w:kinsoku/>
              <w:wordWrap/>
              <w:overflowPunct/>
              <w:topLinePunct w:val="0"/>
              <w:bidi w:val="0"/>
              <w:snapToGrid w:val="0"/>
              <w:spacing w:line="400" w:lineRule="exact"/>
              <w:textAlignment w:val="auto"/>
              <w:rPr>
                <w:rFonts w:hint="eastAsia" w:ascii="宋体" w:hAnsi="宋体" w:eastAsia="宋体" w:cs="宋体"/>
                <w:b w:val="0"/>
                <w:bCs w:val="0"/>
                <w:color w:val="auto"/>
                <w:szCs w:val="21"/>
                <w:highlight w:val="none"/>
                <w:lang w:val="en-US" w:eastAsia="zh-CN" w:bidi="ar"/>
              </w:rPr>
            </w:pPr>
            <w:r>
              <w:rPr>
                <w:rFonts w:hint="eastAsia" w:ascii="宋体" w:hAnsi="宋体" w:eastAsia="宋体" w:cs="宋体"/>
                <w:b w:val="0"/>
                <w:bCs w:val="0"/>
                <w:color w:val="auto"/>
                <w:szCs w:val="21"/>
                <w:highlight w:val="none"/>
                <w:lang w:val="en-US" w:eastAsia="zh-CN" w:bidi="ar"/>
              </w:rPr>
              <w:t>中：方案内容基本完整、基本合理，内容不够清晰，处置工艺描述一般，基本能实现半干化泥粉/污泥无害化处置要求，生产环境一般，设备设施一般，设备运行和维护情况一般，运输保障性一般，现场情况针对性一般，基本满足项目需求，得3分；</w:t>
            </w:r>
          </w:p>
          <w:p w14:paraId="42A60227">
            <w:pPr>
              <w:keepNext w:val="0"/>
              <w:keepLines w:val="0"/>
              <w:pageBreakBefore w:val="0"/>
              <w:widowControl w:val="0"/>
              <w:kinsoku/>
              <w:wordWrap/>
              <w:overflowPunct/>
              <w:topLinePunct w:val="0"/>
              <w:bidi w:val="0"/>
              <w:snapToGrid w:val="0"/>
              <w:spacing w:line="400" w:lineRule="exact"/>
              <w:textAlignment w:val="auto"/>
              <w:rPr>
                <w:rFonts w:hint="eastAsia" w:ascii="宋体" w:hAnsi="宋体" w:eastAsia="宋体" w:cs="宋体"/>
                <w:b w:val="0"/>
                <w:bCs w:val="0"/>
                <w:color w:val="auto"/>
                <w:szCs w:val="21"/>
                <w:highlight w:val="none"/>
                <w:lang w:val="en-US" w:eastAsia="zh-CN" w:bidi="ar"/>
              </w:rPr>
            </w:pPr>
            <w:r>
              <w:rPr>
                <w:rFonts w:hint="eastAsia" w:ascii="宋体" w:hAnsi="宋体" w:eastAsia="宋体" w:cs="宋体"/>
                <w:b w:val="0"/>
                <w:bCs w:val="0"/>
                <w:color w:val="auto"/>
                <w:szCs w:val="21"/>
                <w:highlight w:val="none"/>
                <w:lang w:val="en-US" w:eastAsia="zh-CN" w:bidi="ar"/>
              </w:rPr>
              <w:t>差：方案内容不完整、不合理，但内容混乱，处置工艺描述不清晰，实现半干化泥粉/污泥无害化处置要求有一定风险，生产环境差，设备设施差，设备运行和维护情况差，运输保障性不足，只有部分内容能够满足项目需求，得0分。</w:t>
            </w:r>
          </w:p>
          <w:p w14:paraId="0CA43EE1">
            <w:pPr>
              <w:keepNext w:val="0"/>
              <w:keepLines w:val="0"/>
              <w:pageBreakBefore w:val="0"/>
              <w:widowControl w:val="0"/>
              <w:kinsoku/>
              <w:wordWrap/>
              <w:overflowPunct/>
              <w:topLinePunct w:val="0"/>
              <w:bidi w:val="0"/>
              <w:spacing w:before="164" w:beforeLines="50" w:line="360" w:lineRule="auto"/>
              <w:textAlignment w:val="auto"/>
              <w:rPr>
                <w:rFonts w:hint="eastAsia" w:ascii="宋体" w:hAnsi="宋体" w:eastAsia="宋体" w:cs="宋体"/>
                <w:b/>
                <w:bCs/>
                <w:color w:val="auto"/>
                <w:szCs w:val="21"/>
                <w:highlight w:val="none"/>
                <w:lang w:val="en-US" w:eastAsia="zh-CN" w:bidi="ar"/>
              </w:rPr>
            </w:pPr>
            <w:r>
              <w:rPr>
                <w:rFonts w:hint="eastAsia" w:ascii="宋体" w:hAnsi="宋体" w:eastAsia="宋体" w:cs="宋体"/>
                <w:b/>
                <w:bCs/>
                <w:color w:val="auto"/>
                <w:szCs w:val="21"/>
                <w:highlight w:val="none"/>
                <w:lang w:val="en-US" w:eastAsia="zh-CN" w:bidi="ar"/>
              </w:rPr>
              <w:t>备注：</w:t>
            </w:r>
          </w:p>
          <w:p w14:paraId="40615A98">
            <w:pPr>
              <w:keepNext w:val="0"/>
              <w:keepLines w:val="0"/>
              <w:pageBreakBefore w:val="0"/>
              <w:widowControl w:val="0"/>
              <w:numPr>
                <w:ilvl w:val="-1"/>
                <w:numId w:val="0"/>
              </w:numPr>
              <w:kinsoku/>
              <w:wordWrap/>
              <w:overflowPunct/>
              <w:topLinePunct w:val="0"/>
              <w:bidi w:val="0"/>
              <w:spacing w:line="360" w:lineRule="auto"/>
              <w:textAlignment w:val="auto"/>
              <w:rPr>
                <w:rFonts w:hint="eastAsia" w:ascii="宋体" w:hAnsi="宋体" w:eastAsia="宋体" w:cs="宋体"/>
                <w:b/>
                <w:bCs/>
                <w:color w:val="auto"/>
                <w:szCs w:val="21"/>
                <w:highlight w:val="none"/>
                <w:lang w:val="en-US" w:eastAsia="zh-CN" w:bidi="ar"/>
              </w:rPr>
            </w:pPr>
            <w:r>
              <w:rPr>
                <w:rFonts w:hint="eastAsia" w:ascii="宋体" w:hAnsi="宋体" w:eastAsia="宋体" w:cs="宋体"/>
                <w:b/>
                <w:bCs/>
                <w:color w:val="auto"/>
                <w:szCs w:val="21"/>
                <w:highlight w:val="none"/>
                <w:lang w:val="en-US" w:eastAsia="zh-CN" w:bidi="ar"/>
              </w:rPr>
              <w:t>（1）投标人必须提供运输单位的道路运输经营许可证</w:t>
            </w:r>
            <w:r>
              <w:rPr>
                <w:rFonts w:hint="default" w:ascii="宋体" w:hAnsi="宋体" w:eastAsia="宋体" w:cs="宋体"/>
                <w:b/>
                <w:bCs/>
                <w:color w:val="auto"/>
                <w:szCs w:val="21"/>
                <w:highlight w:val="none"/>
                <w:lang w:val="en-US" w:eastAsia="zh-CN" w:bidi="ar"/>
              </w:rPr>
              <w:t>复印</w:t>
            </w:r>
            <w:r>
              <w:rPr>
                <w:rFonts w:hint="eastAsia" w:ascii="宋体" w:hAnsi="宋体" w:eastAsia="宋体" w:cs="宋体"/>
                <w:b/>
                <w:bCs/>
                <w:color w:val="auto"/>
                <w:szCs w:val="21"/>
                <w:highlight w:val="none"/>
                <w:lang w:val="en-US" w:eastAsia="zh-CN" w:bidi="ar"/>
              </w:rPr>
              <w:t>件和拟投入的运输车辆行驶证等证照复印件（加盖道路运输单位公章），投标人不具备道路运输经营许可证的，必须同时提供与运输公司签订的委托合同，且合同有效期限需涵盖本项目服务期。</w:t>
            </w:r>
          </w:p>
          <w:p w14:paraId="7DBFC510">
            <w:pPr>
              <w:keepNext w:val="0"/>
              <w:keepLines w:val="0"/>
              <w:pageBreakBefore w:val="0"/>
              <w:widowControl w:val="0"/>
              <w:numPr>
                <w:ilvl w:val="-1"/>
                <w:numId w:val="0"/>
              </w:numPr>
              <w:kinsoku/>
              <w:wordWrap/>
              <w:overflowPunct/>
              <w:topLinePunct w:val="0"/>
              <w:bidi w:val="0"/>
              <w:spacing w:line="360" w:lineRule="auto"/>
              <w:textAlignment w:val="auto"/>
              <w:rPr>
                <w:rFonts w:hint="eastAsia" w:ascii="宋体" w:hAnsi="宋体" w:eastAsia="宋体" w:cs="宋体"/>
                <w:b/>
                <w:bCs/>
                <w:color w:val="auto"/>
                <w:szCs w:val="21"/>
                <w:highlight w:val="none"/>
                <w:lang w:val="en-US" w:eastAsia="zh-CN" w:bidi="ar"/>
              </w:rPr>
            </w:pPr>
            <w:r>
              <w:rPr>
                <w:rFonts w:hint="eastAsia" w:ascii="宋体" w:hAnsi="宋体" w:eastAsia="宋体" w:cs="宋体"/>
                <w:b/>
                <w:bCs/>
                <w:color w:val="auto"/>
                <w:szCs w:val="21"/>
                <w:highlight w:val="none"/>
                <w:lang w:val="en-US" w:eastAsia="zh-CN" w:bidi="ar"/>
              </w:rPr>
              <w:t>（2）投标人需提供生产环境、生产设备设施的照片/图片电子版原件（照片/图片须清晰显示拍摄时间为2025年1月1日或以后），处置设备设施清单和购置发票扫描件等资料。</w:t>
            </w:r>
          </w:p>
          <w:p w14:paraId="5EEF00FD">
            <w:pPr>
              <w:pStyle w:val="23"/>
              <w:numPr>
                <w:ilvl w:val="-1"/>
                <w:numId w:val="0"/>
              </w:numPr>
              <w:autoSpaceDE/>
              <w:autoSpaceDN/>
              <w:spacing w:line="360" w:lineRule="auto"/>
              <w:ind w:firstLine="0" w:firstLineChars="0"/>
              <w:rPr>
                <w:rFonts w:hint="eastAsia" w:hAnsi="宋体" w:cs="宋体"/>
                <w:b/>
                <w:bCs/>
                <w:color w:val="auto"/>
                <w:kern w:val="2"/>
                <w:sz w:val="21"/>
                <w:szCs w:val="21"/>
                <w:highlight w:val="none"/>
                <w:lang w:val="en-US" w:eastAsia="zh-CN" w:bidi="ar"/>
              </w:rPr>
            </w:pPr>
            <w:r>
              <w:rPr>
                <w:rFonts w:hint="eastAsia" w:hAnsi="宋体" w:cs="宋体"/>
                <w:b/>
                <w:bCs/>
                <w:color w:val="auto"/>
                <w:kern w:val="2"/>
                <w:sz w:val="21"/>
                <w:szCs w:val="21"/>
                <w:highlight w:val="none"/>
                <w:lang w:val="en-US" w:eastAsia="zh-CN" w:bidi="ar"/>
              </w:rPr>
              <w:t>（3）投标人除文字介绍外，须提供上述（1）、（2）两点要求的材料作为辅助证明；如投标人不能完整提供上述证明材料的，在评标时将不予考虑评为“优”。</w:t>
            </w:r>
          </w:p>
          <w:p w14:paraId="038F6C15">
            <w:pPr>
              <w:pStyle w:val="23"/>
              <w:numPr>
                <w:ilvl w:val="-1"/>
                <w:numId w:val="0"/>
              </w:numPr>
              <w:autoSpaceDE/>
              <w:autoSpaceDN/>
              <w:spacing w:line="360" w:lineRule="auto"/>
              <w:ind w:firstLine="0" w:firstLineChars="0"/>
              <w:rPr>
                <w:rFonts w:hint="eastAsia"/>
                <w:highlight w:val="none"/>
                <w:lang w:val="en-US" w:eastAsia="zh-CN"/>
              </w:rPr>
            </w:pPr>
            <w:r>
              <w:rPr>
                <w:rFonts w:hint="eastAsia" w:hAnsi="宋体" w:cs="宋体"/>
                <w:b/>
                <w:bCs/>
                <w:color w:val="auto"/>
                <w:kern w:val="2"/>
                <w:sz w:val="21"/>
                <w:szCs w:val="21"/>
                <w:highlight w:val="none"/>
                <w:lang w:val="en-US" w:eastAsia="zh-CN" w:bidi="ar"/>
              </w:rPr>
              <w:t>（4）投标人方案的不同内容分别符合评审内容中不同档次得分要求的，评审时优先按较低的档次计分（即若投标人方案内容符合“优”的得分要求，另一部分内容符合“中”的得分要求时，应按“中”的档次考虑计分）。</w:t>
            </w:r>
          </w:p>
        </w:tc>
        <w:tc>
          <w:tcPr>
            <w:tcW w:w="524" w:type="pct"/>
            <w:tcBorders>
              <w:top w:val="single" w:color="auto" w:sz="4" w:space="0"/>
              <w:left w:val="single" w:color="auto" w:sz="4" w:space="0"/>
              <w:right w:val="single" w:color="auto" w:sz="4" w:space="0"/>
            </w:tcBorders>
            <w:shd w:val="clear" w:color="auto" w:fill="auto"/>
            <w:vAlign w:val="center"/>
          </w:tcPr>
          <w:p w14:paraId="35051697">
            <w:pPr>
              <w:keepNext w:val="0"/>
              <w:keepLines w:val="0"/>
              <w:pageBreakBefore w:val="0"/>
              <w:widowControl w:val="0"/>
              <w:kinsoku/>
              <w:wordWrap/>
              <w:overflowPunct/>
              <w:topLinePunct w:val="0"/>
              <w:autoSpaceDE w:val="0"/>
              <w:autoSpaceDN w:val="0"/>
              <w:bidi w:val="0"/>
              <w:adjustRightInd w:val="0"/>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10分</w:t>
            </w:r>
          </w:p>
        </w:tc>
      </w:tr>
      <w:tr w14:paraId="59262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5" w:type="pct"/>
            <w:vAlign w:val="center"/>
          </w:tcPr>
          <w:p w14:paraId="4CFF3028">
            <w:pPr>
              <w:keepNext w:val="0"/>
              <w:keepLines w:val="0"/>
              <w:pageBreakBefore w:val="0"/>
              <w:widowControl w:val="0"/>
              <w:kinsoku/>
              <w:wordWrap/>
              <w:overflowPunct/>
              <w:topLinePunct w:val="0"/>
              <w:autoSpaceDE/>
              <w:autoSpaceDN/>
              <w:bidi w:val="0"/>
              <w:adjustRightInd/>
              <w:snapToGrid w:val="0"/>
              <w:spacing w:line="400" w:lineRule="exact"/>
              <w:ind w:left="-53" w:leftChars="-25" w:right="-38" w:rightChars="-18" w:firstLine="2" w:firstLineChars="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936" w:type="pct"/>
            <w:shd w:val="clear" w:color="auto" w:fill="auto"/>
            <w:vAlign w:val="center"/>
          </w:tcPr>
          <w:p w14:paraId="0F60AB78">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半干化</w:t>
            </w:r>
            <w:r>
              <w:rPr>
                <w:rFonts w:hint="eastAsia" w:hAnsi="宋体" w:eastAsia="宋体" w:cs="宋体"/>
                <w:sz w:val="21"/>
                <w:szCs w:val="21"/>
                <w:highlight w:val="none"/>
              </w:rPr>
              <w:t>泥粉/污泥</w:t>
            </w:r>
            <w:r>
              <w:rPr>
                <w:rFonts w:hint="eastAsia" w:ascii="宋体" w:hAnsi="宋体" w:eastAsia="宋体" w:cs="宋体"/>
                <w:szCs w:val="21"/>
                <w:highlight w:val="none"/>
              </w:rPr>
              <w:t>处置方式</w:t>
            </w:r>
          </w:p>
        </w:tc>
        <w:tc>
          <w:tcPr>
            <w:tcW w:w="3203" w:type="pct"/>
            <w:tcBorders>
              <w:top w:val="single" w:color="auto" w:sz="4" w:space="0"/>
              <w:left w:val="single" w:color="auto" w:sz="4" w:space="0"/>
              <w:right w:val="single" w:color="auto" w:sz="4" w:space="0"/>
            </w:tcBorders>
            <w:shd w:val="clear" w:color="auto" w:fill="auto"/>
            <w:vAlign w:val="center"/>
          </w:tcPr>
          <w:p w14:paraId="7D7238A6">
            <w:pPr>
              <w:spacing w:line="400" w:lineRule="exact"/>
              <w:rPr>
                <w:rFonts w:ascii="宋体" w:hAnsi="宋体" w:eastAsia="宋体" w:cs="宋体"/>
                <w:bCs/>
                <w:szCs w:val="21"/>
                <w:highlight w:val="none"/>
              </w:rPr>
            </w:pPr>
            <w:r>
              <w:rPr>
                <w:rFonts w:hint="eastAsia" w:ascii="宋体" w:hAnsi="宋体" w:eastAsia="宋体" w:cs="宋体"/>
                <w:bCs/>
                <w:szCs w:val="21"/>
                <w:highlight w:val="none"/>
              </w:rPr>
              <w:t>对</w:t>
            </w:r>
            <w:r>
              <w:rPr>
                <w:rFonts w:hint="eastAsia" w:ascii="宋体" w:hAnsi="宋体" w:eastAsia="宋体" w:cs="宋体"/>
                <w:bCs/>
                <w:szCs w:val="21"/>
                <w:highlight w:val="none"/>
                <w:lang w:eastAsia="zh-CN"/>
              </w:rPr>
              <w:t>投标人</w:t>
            </w:r>
            <w:r>
              <w:rPr>
                <w:rFonts w:hint="eastAsia" w:ascii="宋体" w:hAnsi="宋体" w:eastAsia="宋体" w:cs="宋体"/>
                <w:bCs/>
                <w:szCs w:val="21"/>
                <w:highlight w:val="none"/>
              </w:rPr>
              <w:t>的</w:t>
            </w:r>
            <w:r>
              <w:rPr>
                <w:rFonts w:hint="eastAsia" w:ascii="宋体" w:hAnsi="宋体" w:eastAsia="宋体" w:cs="宋体"/>
                <w:color w:val="auto"/>
                <w:kern w:val="0"/>
                <w:sz w:val="21"/>
                <w:szCs w:val="21"/>
                <w:highlight w:val="none"/>
                <w:lang w:val="en-US" w:eastAsia="zh-CN" w:bidi="ar-SA"/>
              </w:rPr>
              <w:t>半干化</w:t>
            </w:r>
            <w:r>
              <w:rPr>
                <w:rFonts w:hint="eastAsia" w:hAnsi="宋体" w:eastAsia="宋体" w:cs="宋体"/>
                <w:sz w:val="21"/>
                <w:szCs w:val="21"/>
                <w:highlight w:val="none"/>
              </w:rPr>
              <w:t>泥粉/污泥</w:t>
            </w:r>
            <w:r>
              <w:rPr>
                <w:rFonts w:hint="eastAsia" w:ascii="宋体" w:hAnsi="宋体" w:eastAsia="宋体" w:cs="宋体"/>
                <w:bCs/>
                <w:szCs w:val="21"/>
                <w:highlight w:val="none"/>
              </w:rPr>
              <w:t>处置方式进行评审：</w:t>
            </w:r>
          </w:p>
          <w:p w14:paraId="69604C91">
            <w:pPr>
              <w:spacing w:line="400" w:lineRule="exact"/>
              <w:rPr>
                <w:rFonts w:ascii="宋体" w:hAnsi="宋体" w:eastAsia="宋体" w:cs="宋体"/>
                <w:szCs w:val="21"/>
                <w:highlight w:val="none"/>
              </w:rPr>
            </w:pPr>
            <w:r>
              <w:rPr>
                <w:rFonts w:hint="eastAsia" w:ascii="宋体" w:hAnsi="宋体" w:eastAsia="宋体" w:cs="宋体"/>
                <w:szCs w:val="21"/>
                <w:highlight w:val="none"/>
              </w:rPr>
              <w:t>（1）采用焚烧处置方式，得</w:t>
            </w:r>
            <w:r>
              <w:rPr>
                <w:rFonts w:hint="eastAsia" w:ascii="宋体" w:hAnsi="宋体" w:eastAsia="宋体" w:cs="宋体"/>
                <w:szCs w:val="21"/>
                <w:highlight w:val="none"/>
                <w:lang w:val="en-US" w:eastAsia="zh-CN"/>
              </w:rPr>
              <w:t>15</w:t>
            </w:r>
            <w:r>
              <w:rPr>
                <w:rFonts w:hint="eastAsia" w:ascii="宋体" w:hAnsi="宋体" w:eastAsia="宋体" w:cs="宋体"/>
                <w:szCs w:val="21"/>
                <w:highlight w:val="none"/>
              </w:rPr>
              <w:t>分；</w:t>
            </w:r>
          </w:p>
          <w:p w14:paraId="7007A0B8">
            <w:pPr>
              <w:spacing w:line="400" w:lineRule="exact"/>
              <w:rPr>
                <w:rFonts w:hint="eastAsia" w:ascii="宋体" w:hAnsi="宋体" w:eastAsia="宋体" w:cs="宋体"/>
                <w:szCs w:val="21"/>
                <w:highlight w:val="none"/>
                <w:lang w:eastAsia="zh-CN"/>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）采用</w:t>
            </w:r>
            <w:r>
              <w:rPr>
                <w:rFonts w:hint="eastAsia" w:ascii="宋体" w:hAnsi="宋体" w:eastAsia="宋体" w:cs="宋体"/>
                <w:szCs w:val="21"/>
                <w:highlight w:val="none"/>
                <w:lang w:val="en-US" w:eastAsia="zh-CN"/>
              </w:rPr>
              <w:t>除焚烧</w:t>
            </w:r>
            <w:r>
              <w:rPr>
                <w:rFonts w:hint="eastAsia" w:ascii="宋体" w:hAnsi="宋体" w:eastAsia="宋体" w:cs="宋体"/>
                <w:szCs w:val="21"/>
                <w:highlight w:val="none"/>
              </w:rPr>
              <w:t>处置方式</w:t>
            </w:r>
            <w:r>
              <w:rPr>
                <w:rFonts w:hint="eastAsia" w:ascii="宋体" w:hAnsi="宋体" w:eastAsia="宋体" w:cs="宋体"/>
                <w:szCs w:val="21"/>
                <w:highlight w:val="none"/>
                <w:lang w:val="en-US" w:eastAsia="zh-CN"/>
              </w:rPr>
              <w:t>外的其他</w:t>
            </w:r>
            <w:r>
              <w:rPr>
                <w:rFonts w:hint="eastAsia" w:ascii="宋体" w:hAnsi="宋体" w:eastAsia="宋体" w:cs="宋体"/>
                <w:szCs w:val="21"/>
                <w:highlight w:val="none"/>
              </w:rPr>
              <w:t>处置方式，得</w:t>
            </w:r>
            <w:r>
              <w:rPr>
                <w:rFonts w:hint="eastAsia" w:ascii="宋体" w:hAnsi="宋体" w:eastAsia="宋体" w:cs="宋体"/>
                <w:szCs w:val="21"/>
                <w:highlight w:val="none"/>
                <w:lang w:val="en-US" w:eastAsia="zh-CN"/>
              </w:rPr>
              <w:t>10</w:t>
            </w:r>
            <w:r>
              <w:rPr>
                <w:rFonts w:hint="eastAsia" w:ascii="宋体" w:hAnsi="宋体" w:eastAsia="宋体" w:cs="宋体"/>
                <w:szCs w:val="21"/>
                <w:highlight w:val="none"/>
              </w:rPr>
              <w:t>分</w:t>
            </w:r>
            <w:r>
              <w:rPr>
                <w:rFonts w:hint="eastAsia" w:ascii="宋体" w:hAnsi="宋体" w:eastAsia="宋体" w:cs="宋体"/>
                <w:szCs w:val="21"/>
                <w:highlight w:val="none"/>
                <w:lang w:eastAsia="zh-CN"/>
              </w:rPr>
              <w:t>。</w:t>
            </w:r>
          </w:p>
          <w:p w14:paraId="3430C360">
            <w:pPr>
              <w:spacing w:line="400" w:lineRule="exact"/>
              <w:rPr>
                <w:rFonts w:ascii="宋体" w:hAnsi="宋体" w:eastAsia="宋体" w:cs="宋体"/>
                <w:b/>
                <w:bCs/>
                <w:szCs w:val="21"/>
                <w:highlight w:val="none"/>
              </w:rPr>
            </w:pPr>
            <w:r>
              <w:rPr>
                <w:rFonts w:hint="eastAsia" w:ascii="宋体" w:hAnsi="宋体" w:eastAsia="宋体" w:cs="宋体"/>
                <w:b/>
                <w:bCs/>
                <w:szCs w:val="21"/>
                <w:highlight w:val="none"/>
              </w:rPr>
              <w:t>备注：</w:t>
            </w:r>
          </w:p>
          <w:p w14:paraId="1B4AB851">
            <w:pPr>
              <w:spacing w:line="400" w:lineRule="exact"/>
              <w:rPr>
                <w:rFonts w:ascii="宋体" w:hAnsi="宋体" w:eastAsia="宋体" w:cs="宋体"/>
                <w:b/>
                <w:bCs/>
                <w:szCs w:val="21"/>
                <w:highlight w:val="none"/>
              </w:rPr>
            </w:pPr>
            <w:r>
              <w:rPr>
                <w:rFonts w:hint="eastAsia" w:ascii="宋体" w:hAnsi="宋体" w:eastAsia="宋体" w:cs="宋体"/>
                <w:b/>
                <w:bCs/>
                <w:szCs w:val="21"/>
                <w:highlight w:val="none"/>
              </w:rPr>
              <w:t>（1）“焚烧处置方式”是指采用</w:t>
            </w:r>
            <w:r>
              <w:rPr>
                <w:rFonts w:hint="eastAsia" w:ascii="宋体" w:hAnsi="宋体" w:eastAsia="宋体" w:cs="宋体"/>
                <w:b/>
                <w:bCs/>
                <w:color w:val="auto"/>
                <w:kern w:val="0"/>
                <w:sz w:val="21"/>
                <w:szCs w:val="21"/>
                <w:highlight w:val="none"/>
                <w:lang w:val="en-US" w:eastAsia="zh-CN" w:bidi="ar-SA"/>
              </w:rPr>
              <w:t>半干化</w:t>
            </w:r>
            <w:r>
              <w:rPr>
                <w:rFonts w:hint="eastAsia" w:hAnsi="宋体" w:eastAsia="宋体" w:cs="宋体"/>
                <w:b/>
                <w:bCs/>
                <w:sz w:val="21"/>
                <w:szCs w:val="21"/>
                <w:highlight w:val="none"/>
              </w:rPr>
              <w:t>泥粉/污泥</w:t>
            </w:r>
            <w:r>
              <w:rPr>
                <w:rFonts w:hint="eastAsia" w:ascii="宋体" w:hAnsi="宋体" w:eastAsia="宋体" w:cs="宋体"/>
                <w:b/>
                <w:bCs/>
                <w:szCs w:val="21"/>
                <w:highlight w:val="none"/>
              </w:rPr>
              <w:t>与垃圾焚烧、火力发电、水泥窑等相结合的焚烧处置方式。</w:t>
            </w:r>
          </w:p>
          <w:p w14:paraId="3388D21F">
            <w:pPr>
              <w:spacing w:line="400" w:lineRule="exact"/>
              <w:rPr>
                <w:rFonts w:hint="eastAsia" w:ascii="宋体" w:hAnsi="宋体" w:eastAsia="宋体" w:cs="宋体"/>
                <w:b/>
                <w:bCs/>
                <w:szCs w:val="21"/>
                <w:highlight w:val="none"/>
              </w:rPr>
            </w:pPr>
            <w:r>
              <w:rPr>
                <w:rFonts w:hint="eastAsia" w:ascii="宋体" w:hAnsi="宋体" w:eastAsia="宋体" w:cs="宋体"/>
                <w:b/>
                <w:bCs/>
                <w:szCs w:val="21"/>
                <w:highlight w:val="none"/>
              </w:rPr>
              <w:t>（2）</w:t>
            </w:r>
            <w:r>
              <w:rPr>
                <w:rFonts w:hint="eastAsia" w:ascii="宋体" w:hAnsi="宋体" w:eastAsia="宋体" w:cs="宋体"/>
                <w:b/>
                <w:bCs/>
                <w:szCs w:val="21"/>
                <w:highlight w:val="none"/>
                <w:lang w:eastAsia="zh-CN"/>
              </w:rPr>
              <w:t>“除焚烧处置方式外的其他处置方式”</w:t>
            </w:r>
            <w:r>
              <w:rPr>
                <w:rFonts w:hint="eastAsia" w:ascii="宋体" w:hAnsi="宋体" w:eastAsia="宋体" w:cs="宋体"/>
                <w:b/>
                <w:bCs/>
                <w:szCs w:val="21"/>
                <w:highlight w:val="none"/>
              </w:rPr>
              <w:t>是指满足用户需求书“五、6”处置方式的要求</w:t>
            </w:r>
            <w:r>
              <w:rPr>
                <w:rFonts w:hint="eastAsia" w:ascii="宋体" w:hAnsi="宋体" w:eastAsia="宋体" w:cs="宋体"/>
                <w:b/>
                <w:bCs/>
                <w:szCs w:val="21"/>
                <w:highlight w:val="none"/>
                <w:lang w:eastAsia="zh-CN"/>
              </w:rPr>
              <w:t>，</w:t>
            </w:r>
            <w:r>
              <w:rPr>
                <w:rFonts w:hint="eastAsia" w:ascii="宋体" w:hAnsi="宋体" w:eastAsia="宋体" w:cs="宋体"/>
                <w:b/>
                <w:bCs/>
                <w:szCs w:val="21"/>
                <w:highlight w:val="none"/>
                <w:lang w:val="en-US" w:eastAsia="zh-CN"/>
              </w:rPr>
              <w:t>且采用焚烧处置方式外的其它合法合规的处置泥粉/污泥的方式。</w:t>
            </w:r>
            <w:r>
              <w:rPr>
                <w:rFonts w:hint="eastAsia" w:ascii="宋体" w:hAnsi="宋体" w:eastAsia="宋体" w:cs="宋体"/>
                <w:b/>
                <w:bCs/>
                <w:szCs w:val="21"/>
                <w:highlight w:val="none"/>
              </w:rPr>
              <w:br w:type="textWrapping"/>
            </w:r>
            <w:r>
              <w:rPr>
                <w:rFonts w:hint="eastAsia" w:ascii="宋体" w:hAnsi="宋体" w:eastAsia="宋体" w:cs="宋体"/>
                <w:b/>
                <w:bCs/>
                <w:szCs w:val="21"/>
                <w:highlight w:val="none"/>
              </w:rPr>
              <w:t>（3）</w:t>
            </w:r>
            <w:r>
              <w:rPr>
                <w:rFonts w:hint="eastAsia" w:ascii="宋体" w:hAnsi="宋体" w:eastAsia="宋体" w:cs="宋体"/>
                <w:b/>
                <w:bCs/>
                <w:szCs w:val="21"/>
                <w:highlight w:val="none"/>
                <w:lang w:eastAsia="zh-CN"/>
              </w:rPr>
              <w:t>投标人</w:t>
            </w:r>
            <w:r>
              <w:rPr>
                <w:rFonts w:hint="eastAsia" w:ascii="宋体" w:hAnsi="宋体" w:eastAsia="宋体" w:cs="宋体"/>
                <w:b/>
                <w:bCs/>
                <w:szCs w:val="21"/>
                <w:highlight w:val="none"/>
              </w:rPr>
              <w:t>的</w:t>
            </w:r>
            <w:r>
              <w:rPr>
                <w:rFonts w:hint="eastAsia" w:ascii="宋体" w:hAnsi="宋体" w:eastAsia="宋体" w:cs="宋体"/>
                <w:b/>
                <w:bCs/>
                <w:color w:val="auto"/>
                <w:kern w:val="0"/>
                <w:sz w:val="21"/>
                <w:szCs w:val="21"/>
                <w:highlight w:val="none"/>
                <w:lang w:val="en-US" w:eastAsia="zh-CN" w:bidi="ar-SA"/>
              </w:rPr>
              <w:t>半干化</w:t>
            </w:r>
            <w:r>
              <w:rPr>
                <w:rFonts w:hint="eastAsia" w:hAnsi="宋体" w:eastAsia="宋体" w:cs="宋体"/>
                <w:b/>
                <w:bCs/>
                <w:sz w:val="21"/>
                <w:szCs w:val="21"/>
                <w:highlight w:val="none"/>
              </w:rPr>
              <w:t>泥粉/污泥</w:t>
            </w:r>
            <w:r>
              <w:rPr>
                <w:rFonts w:hint="eastAsia" w:ascii="宋体" w:hAnsi="宋体" w:eastAsia="宋体" w:cs="宋体"/>
                <w:b/>
                <w:bCs/>
                <w:szCs w:val="21"/>
                <w:highlight w:val="none"/>
                <w:lang w:eastAsia="zh-CN"/>
              </w:rPr>
              <w:t>处置场所</w:t>
            </w:r>
            <w:r>
              <w:rPr>
                <w:rFonts w:hint="eastAsia" w:ascii="宋体" w:hAnsi="宋体" w:eastAsia="宋体" w:cs="宋体"/>
                <w:b/>
                <w:bCs/>
                <w:szCs w:val="21"/>
                <w:highlight w:val="none"/>
              </w:rPr>
              <w:t>生产的产品为燃料棒、生物质颗粒等未经高温焚烧处理的，需提供产品作为电厂燃料进行高温焚烧处理的服务合同扫描件，按“焚烧处置方式”进行评审，否则，评审时不予考虑。</w:t>
            </w:r>
          </w:p>
          <w:p w14:paraId="213FF73C">
            <w:pPr>
              <w:keepNext w:val="0"/>
              <w:keepLines w:val="0"/>
              <w:pageBreakBefore w:val="0"/>
              <w:widowControl/>
              <w:kinsoku/>
              <w:wordWrap/>
              <w:overflowPunct/>
              <w:topLinePunct w:val="0"/>
              <w:bidi w:val="0"/>
              <w:spacing w:line="400" w:lineRule="exact"/>
              <w:textAlignment w:val="auto"/>
              <w:rPr>
                <w:rFonts w:hint="eastAsia" w:ascii="宋体" w:hAnsi="宋体" w:eastAsia="宋体" w:cs="宋体"/>
                <w:b/>
                <w:bCs/>
                <w:color w:val="auto"/>
                <w:szCs w:val="21"/>
                <w:highlight w:val="none"/>
                <w:lang w:val="en-US" w:eastAsia="zh-CN" w:bidi="ar"/>
              </w:rPr>
            </w:pPr>
            <w:r>
              <w:rPr>
                <w:rFonts w:hint="eastAsia" w:ascii="宋体" w:hAnsi="宋体" w:eastAsia="宋体" w:cs="宋体"/>
                <w:b/>
                <w:bCs/>
                <w:szCs w:val="21"/>
                <w:highlight w:val="none"/>
              </w:rPr>
              <w:t>（4）若</w:t>
            </w:r>
            <w:r>
              <w:rPr>
                <w:rFonts w:hint="eastAsia" w:ascii="宋体" w:hAnsi="宋体" w:eastAsia="宋体" w:cs="宋体"/>
                <w:b/>
                <w:bCs/>
                <w:szCs w:val="21"/>
                <w:highlight w:val="none"/>
                <w:lang w:eastAsia="zh-CN"/>
              </w:rPr>
              <w:t>投标人</w:t>
            </w:r>
            <w:r>
              <w:rPr>
                <w:rFonts w:hint="eastAsia" w:ascii="宋体" w:hAnsi="宋体" w:eastAsia="宋体" w:cs="宋体"/>
                <w:b/>
                <w:bCs/>
                <w:szCs w:val="21"/>
                <w:highlight w:val="none"/>
              </w:rPr>
              <w:t>提供多个</w:t>
            </w:r>
            <w:r>
              <w:rPr>
                <w:rFonts w:hint="eastAsia" w:ascii="宋体" w:hAnsi="宋体" w:eastAsia="宋体" w:cs="宋体"/>
                <w:b/>
                <w:bCs/>
                <w:szCs w:val="21"/>
                <w:highlight w:val="none"/>
                <w:lang w:eastAsia="zh-CN"/>
              </w:rPr>
              <w:t>处置</w:t>
            </w:r>
            <w:r>
              <w:rPr>
                <w:rFonts w:hint="eastAsia" w:ascii="宋体" w:hAnsi="宋体" w:eastAsia="宋体" w:cs="宋体"/>
                <w:b/>
                <w:bCs/>
                <w:szCs w:val="21"/>
                <w:highlight w:val="none"/>
                <w:lang w:val="en-US" w:eastAsia="zh-CN"/>
              </w:rPr>
              <w:t>场所且</w:t>
            </w:r>
            <w:r>
              <w:rPr>
                <w:rFonts w:hint="eastAsia" w:ascii="宋体" w:hAnsi="宋体" w:eastAsia="宋体" w:cs="宋体"/>
                <w:b/>
                <w:bCs/>
                <w:szCs w:val="21"/>
                <w:highlight w:val="none"/>
              </w:rPr>
              <w:t>有多种处置方式，按最高标准计分，不重复得分。</w:t>
            </w:r>
          </w:p>
        </w:tc>
        <w:tc>
          <w:tcPr>
            <w:tcW w:w="524" w:type="pct"/>
            <w:tcBorders>
              <w:top w:val="single" w:color="auto" w:sz="4" w:space="0"/>
              <w:left w:val="single" w:color="auto" w:sz="4" w:space="0"/>
              <w:right w:val="single" w:color="auto" w:sz="4" w:space="0"/>
            </w:tcBorders>
            <w:shd w:val="clear" w:color="auto" w:fill="auto"/>
            <w:vAlign w:val="center"/>
          </w:tcPr>
          <w:p w14:paraId="3FC6A319">
            <w:pPr>
              <w:keepNext w:val="0"/>
              <w:keepLines w:val="0"/>
              <w:pageBreakBefore w:val="0"/>
              <w:widowControl w:val="0"/>
              <w:kinsoku/>
              <w:wordWrap/>
              <w:overflowPunct/>
              <w:topLinePunct w:val="0"/>
              <w:autoSpaceDE w:val="0"/>
              <w:autoSpaceDN w:val="0"/>
              <w:bidi w:val="0"/>
              <w:adjustRightInd w:val="0"/>
              <w:spacing w:line="400" w:lineRule="exact"/>
              <w:jc w:val="center"/>
              <w:textAlignment w:val="auto"/>
              <w:rPr>
                <w:rFonts w:hint="default"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15分</w:t>
            </w:r>
          </w:p>
        </w:tc>
      </w:tr>
      <w:tr w14:paraId="0FEF3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5" w:type="pct"/>
            <w:shd w:val="clear" w:color="auto" w:fill="auto"/>
            <w:vAlign w:val="center"/>
          </w:tcPr>
          <w:p w14:paraId="7D72D4FC">
            <w:pPr>
              <w:keepNext w:val="0"/>
              <w:keepLines w:val="0"/>
              <w:pageBreakBefore w:val="0"/>
              <w:widowControl w:val="0"/>
              <w:kinsoku/>
              <w:wordWrap/>
              <w:overflowPunct/>
              <w:topLinePunct w:val="0"/>
              <w:autoSpaceDE/>
              <w:autoSpaceDN/>
              <w:bidi w:val="0"/>
              <w:adjustRightInd/>
              <w:snapToGrid w:val="0"/>
              <w:spacing w:line="400" w:lineRule="exact"/>
              <w:ind w:left="-53" w:leftChars="-25" w:right="-38" w:rightChars="-18" w:firstLine="2"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936" w:type="pct"/>
            <w:shd w:val="clear" w:color="auto" w:fill="auto"/>
            <w:vAlign w:val="center"/>
          </w:tcPr>
          <w:p w14:paraId="2A117B43">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应急预案和保障措施</w:t>
            </w:r>
          </w:p>
        </w:tc>
        <w:tc>
          <w:tcPr>
            <w:tcW w:w="3203" w:type="pct"/>
            <w:tcBorders>
              <w:top w:val="single" w:color="auto" w:sz="4" w:space="0"/>
              <w:left w:val="single" w:color="auto" w:sz="4" w:space="0"/>
              <w:right w:val="single" w:color="auto" w:sz="4" w:space="0"/>
            </w:tcBorders>
            <w:shd w:val="clear" w:color="auto" w:fill="auto"/>
            <w:vAlign w:val="center"/>
          </w:tcPr>
          <w:p w14:paraId="34740259">
            <w:pPr>
              <w:spacing w:line="400" w:lineRule="exact"/>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横向比较各投标人应急预案和保障措施，包括针对半干化泥粉/污泥处置量突然增加、处置设备意外停产和减产、生产事故应急处理、环境污染事故等的应急方案和保障措施切合实际的程度、详细具体的程度及可操作性情况进行评审：</w:t>
            </w:r>
          </w:p>
          <w:p w14:paraId="6B31B6C7">
            <w:pPr>
              <w:spacing w:line="400" w:lineRule="exact"/>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优：应急预案有非常全面的应急情况分析，并能针对应急情况作出非常科学、合理及可操作性强的应对措施，得5分。</w:t>
            </w:r>
          </w:p>
          <w:p w14:paraId="2BB2CC18">
            <w:pPr>
              <w:spacing w:line="400" w:lineRule="exact"/>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良：应急预案有较全面的应急情况分析，并能针对应急情况作出较科学、合理的应对措施，得3分。</w:t>
            </w:r>
          </w:p>
          <w:p w14:paraId="0FFA4387">
            <w:pPr>
              <w:spacing w:line="400" w:lineRule="exact"/>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中：应急预案内容一般，有应急情况分析，并能作出基本的应对措施，得1分。</w:t>
            </w:r>
          </w:p>
          <w:p w14:paraId="678F4B4E">
            <w:pPr>
              <w:spacing w:line="400" w:lineRule="exact"/>
              <w:rPr>
                <w:rFonts w:hint="default" w:ascii="宋体" w:hAnsi="宋体" w:eastAsia="宋体" w:cs="宋体"/>
                <w:bCs/>
                <w:szCs w:val="21"/>
                <w:highlight w:val="none"/>
                <w:lang w:val="en-US" w:eastAsia="zh-CN"/>
              </w:rPr>
            </w:pPr>
            <w:r>
              <w:rPr>
                <w:rFonts w:hint="default" w:ascii="宋体" w:hAnsi="宋体" w:eastAsia="宋体" w:cs="宋体"/>
                <w:b w:val="0"/>
                <w:bCs/>
                <w:kern w:val="2"/>
                <w:sz w:val="21"/>
                <w:szCs w:val="21"/>
                <w:highlight w:val="none"/>
                <w:lang w:val="en-US" w:eastAsia="zh-CN" w:bidi="ar-SA"/>
              </w:rPr>
              <w:t>差：应急预案内容不全面，有简单的应急情况分析，作出应对措施操作性差，保障性不足，得0分。</w:t>
            </w:r>
          </w:p>
          <w:p w14:paraId="6A8024F6">
            <w:pPr>
              <w:spacing w:before="164" w:beforeLines="50" w:line="360" w:lineRule="auto"/>
              <w:rPr>
                <w:rFonts w:hint="eastAsia" w:ascii="宋体" w:hAnsi="宋体" w:eastAsia="宋体" w:cs="宋体"/>
                <w:b/>
                <w:bCs w:val="0"/>
                <w:kern w:val="2"/>
                <w:sz w:val="21"/>
                <w:szCs w:val="21"/>
                <w:highlight w:val="none"/>
                <w:lang w:val="en-US" w:eastAsia="zh-CN" w:bidi="ar-SA"/>
              </w:rPr>
            </w:pPr>
            <w:r>
              <w:rPr>
                <w:rFonts w:hint="eastAsia" w:ascii="宋体" w:hAnsi="宋体" w:eastAsia="宋体" w:cs="宋体"/>
                <w:b/>
                <w:bCs w:val="0"/>
                <w:kern w:val="2"/>
                <w:sz w:val="21"/>
                <w:szCs w:val="21"/>
                <w:highlight w:val="none"/>
                <w:lang w:val="en-US" w:eastAsia="zh-CN" w:bidi="ar-SA"/>
              </w:rPr>
              <w:t>备注:</w:t>
            </w:r>
          </w:p>
          <w:p w14:paraId="603AB66A">
            <w:pPr>
              <w:numPr>
                <w:ilvl w:val="-1"/>
                <w:numId w:val="0"/>
              </w:numPr>
              <w:spacing w:line="360" w:lineRule="auto"/>
              <w:rPr>
                <w:rFonts w:hint="eastAsia" w:ascii="宋体" w:hAnsi="宋体" w:eastAsia="宋体" w:cs="宋体"/>
                <w:b/>
                <w:bCs w:val="0"/>
                <w:kern w:val="2"/>
                <w:sz w:val="21"/>
                <w:szCs w:val="21"/>
                <w:highlight w:val="none"/>
                <w:lang w:val="en-US" w:eastAsia="zh-CN" w:bidi="ar-SA"/>
              </w:rPr>
            </w:pPr>
            <w:r>
              <w:rPr>
                <w:rFonts w:hint="eastAsia" w:ascii="宋体" w:hAnsi="宋体" w:eastAsia="宋体" w:cs="宋体"/>
                <w:b/>
                <w:bCs/>
                <w:szCs w:val="21"/>
                <w:highlight w:val="none"/>
              </w:rPr>
              <w:t>（1）</w:t>
            </w:r>
            <w:r>
              <w:rPr>
                <w:rFonts w:hint="eastAsia" w:ascii="宋体" w:hAnsi="宋体" w:eastAsia="宋体" w:cs="宋体"/>
                <w:b/>
                <w:bCs/>
                <w:kern w:val="2"/>
                <w:sz w:val="21"/>
                <w:szCs w:val="21"/>
                <w:highlight w:val="none"/>
                <w:lang w:val="en-US" w:eastAsia="zh-CN" w:bidi="ar-SA"/>
              </w:rPr>
              <w:t>未</w:t>
            </w:r>
            <w:r>
              <w:rPr>
                <w:rFonts w:hint="eastAsia" w:ascii="宋体" w:hAnsi="宋体" w:eastAsia="宋体" w:cs="宋体"/>
                <w:b/>
                <w:bCs w:val="0"/>
                <w:kern w:val="2"/>
                <w:sz w:val="21"/>
                <w:szCs w:val="21"/>
                <w:highlight w:val="none"/>
                <w:lang w:val="en-US" w:eastAsia="zh-CN" w:bidi="ar-SA"/>
              </w:rPr>
              <w:t>提供预案的不得分。</w:t>
            </w:r>
          </w:p>
          <w:p w14:paraId="5299A66C">
            <w:pPr>
              <w:pStyle w:val="23"/>
              <w:numPr>
                <w:ilvl w:val="-1"/>
                <w:numId w:val="0"/>
              </w:numPr>
              <w:spacing w:line="360" w:lineRule="auto"/>
              <w:ind w:firstLine="0" w:firstLineChars="0"/>
              <w:rPr>
                <w:rFonts w:hint="eastAsia"/>
                <w:highlight w:val="none"/>
                <w:lang w:val="en-US" w:eastAsia="zh-CN"/>
              </w:rPr>
            </w:pPr>
            <w:r>
              <w:rPr>
                <w:rFonts w:hint="eastAsia" w:hAnsi="宋体" w:cs="宋体"/>
                <w:b/>
                <w:bCs w:val="0"/>
                <w:color w:val="auto"/>
                <w:kern w:val="2"/>
                <w:sz w:val="21"/>
                <w:szCs w:val="21"/>
                <w:highlight w:val="none"/>
                <w:lang w:val="en-US" w:eastAsia="zh-CN" w:bidi="ar"/>
              </w:rPr>
              <w:t>（2）投标人方案的不同内容分别符合评审内容中不同档次得分要求的，评审时优先按较低的档次计分（即若投标人方案内容符合“优”的得分要求，另一部分内容符合“中”的得分要求时，应按“中”的档次考虑计分）。</w:t>
            </w:r>
          </w:p>
        </w:tc>
        <w:tc>
          <w:tcPr>
            <w:tcW w:w="524" w:type="pct"/>
            <w:tcBorders>
              <w:top w:val="single" w:color="auto" w:sz="4" w:space="0"/>
              <w:left w:val="single" w:color="auto" w:sz="4" w:space="0"/>
              <w:right w:val="single" w:color="auto" w:sz="4" w:space="0"/>
            </w:tcBorders>
            <w:shd w:val="clear" w:color="auto" w:fill="auto"/>
            <w:vAlign w:val="center"/>
          </w:tcPr>
          <w:p w14:paraId="349563B7">
            <w:pPr>
              <w:keepNext w:val="0"/>
              <w:keepLines w:val="0"/>
              <w:pageBreakBefore w:val="0"/>
              <w:widowControl w:val="0"/>
              <w:kinsoku/>
              <w:wordWrap/>
              <w:overflowPunct/>
              <w:topLinePunct w:val="0"/>
              <w:autoSpaceDE w:val="0"/>
              <w:autoSpaceDN w:val="0"/>
              <w:bidi w:val="0"/>
              <w:adjustRightInd w:val="0"/>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5分</w:t>
            </w:r>
          </w:p>
        </w:tc>
      </w:tr>
    </w:tbl>
    <w:p w14:paraId="22C68E74">
      <w:pPr>
        <w:widowControl/>
        <w:jc w:val="left"/>
        <w:rPr>
          <w:rFonts w:ascii="宋体" w:hAnsi="宋体" w:eastAsia="宋体" w:cs="宋体"/>
          <w:color w:val="auto"/>
          <w:szCs w:val="24"/>
          <w:highlight w:val="none"/>
          <w:lang w:val="zh-CN"/>
        </w:rPr>
      </w:pPr>
    </w:p>
    <w:p w14:paraId="6BA8726A">
      <w:pPr>
        <w:autoSpaceDE w:val="0"/>
        <w:autoSpaceDN w:val="0"/>
        <w:adjustRightInd w:val="0"/>
        <w:spacing w:line="360" w:lineRule="auto"/>
        <w:ind w:firstLine="420" w:firstLineChars="2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备注：</w:t>
      </w:r>
    </w:p>
    <w:p w14:paraId="46E216D0">
      <w:pPr>
        <w:autoSpaceDE w:val="0"/>
        <w:autoSpaceDN w:val="0"/>
        <w:adjustRightInd w:val="0"/>
        <w:spacing w:line="360" w:lineRule="auto"/>
        <w:ind w:firstLine="420" w:firstLineChars="2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en-US" w:eastAsia="zh-CN"/>
        </w:rPr>
        <w:t>①</w:t>
      </w:r>
      <w:r>
        <w:rPr>
          <w:rFonts w:hint="eastAsia" w:ascii="宋体" w:hAnsi="宋体" w:eastAsia="宋体" w:cs="宋体"/>
          <w:color w:val="auto"/>
          <w:szCs w:val="21"/>
          <w:highlight w:val="none"/>
          <w:lang w:val="zh-CN"/>
        </w:rPr>
        <w:t>分数出现小数点，保留小数点后2位，从小数点后第3位四舍五入。</w:t>
      </w:r>
    </w:p>
    <w:p w14:paraId="5FC7C6BC">
      <w:pPr>
        <w:autoSpaceDE w:val="0"/>
        <w:autoSpaceDN w:val="0"/>
        <w:adjustRightInd w:val="0"/>
        <w:spacing w:line="360" w:lineRule="auto"/>
        <w:ind w:firstLine="422" w:firstLineChars="200"/>
        <w:rPr>
          <w:rFonts w:ascii="宋体" w:hAnsi="宋体" w:eastAsia="宋体" w:cs="宋体"/>
          <w:b/>
          <w:color w:val="auto"/>
          <w:szCs w:val="24"/>
          <w:highlight w:val="none"/>
          <w:lang w:val="zh-CN"/>
        </w:rPr>
      </w:pPr>
      <w:r>
        <w:rPr>
          <w:rFonts w:hint="eastAsia" w:ascii="宋体" w:hAnsi="宋体" w:eastAsia="宋体" w:cs="宋体"/>
          <w:b/>
          <w:color w:val="auto"/>
          <w:szCs w:val="21"/>
          <w:highlight w:val="none"/>
          <w:lang w:val="en-US" w:eastAsia="zh-CN"/>
        </w:rPr>
        <w:t>②</w:t>
      </w:r>
      <w:r>
        <w:rPr>
          <w:rFonts w:hint="eastAsia" w:ascii="宋体" w:hAnsi="宋体" w:eastAsia="宋体" w:cs="宋体"/>
          <w:b/>
          <w:color w:val="auto"/>
          <w:szCs w:val="21"/>
          <w:highlight w:val="none"/>
          <w:lang w:val="zh-CN"/>
        </w:rPr>
        <w:t>上述“评分项目”中按</w:t>
      </w:r>
      <w:r>
        <w:rPr>
          <w:rFonts w:hint="eastAsia" w:ascii="宋体" w:hAnsi="宋体" w:eastAsia="宋体" w:cs="宋体"/>
          <w:b/>
          <w:color w:val="auto"/>
          <w:szCs w:val="24"/>
          <w:highlight w:val="none"/>
          <w:lang w:val="zh-CN"/>
        </w:rPr>
        <w:t>“优、</w:t>
      </w:r>
      <w:r>
        <w:rPr>
          <w:rFonts w:hint="eastAsia" w:ascii="宋体" w:hAnsi="宋体" w:eastAsia="宋体" w:cs="宋体"/>
          <w:b/>
          <w:color w:val="auto"/>
          <w:szCs w:val="24"/>
          <w:highlight w:val="none"/>
          <w:lang w:val="en-US" w:eastAsia="zh-CN"/>
        </w:rPr>
        <w:t>良、</w:t>
      </w:r>
      <w:r>
        <w:rPr>
          <w:rFonts w:hint="eastAsia" w:ascii="宋体" w:hAnsi="宋体" w:eastAsia="宋体" w:cs="宋体"/>
          <w:b/>
          <w:color w:val="auto"/>
          <w:szCs w:val="24"/>
          <w:highlight w:val="none"/>
          <w:lang w:val="zh-CN"/>
        </w:rPr>
        <w:t>中、差”评审的，若低于该项满分分值60%时，评标</w:t>
      </w:r>
      <w:r>
        <w:rPr>
          <w:rFonts w:hint="eastAsia" w:ascii="宋体" w:hAnsi="宋体" w:eastAsia="宋体" w:cs="宋体"/>
          <w:b/>
          <w:color w:val="auto"/>
          <w:szCs w:val="24"/>
          <w:highlight w:val="none"/>
          <w:lang w:val="en-US" w:eastAsia="zh-CN"/>
        </w:rPr>
        <w:t>专家</w:t>
      </w:r>
      <w:r>
        <w:rPr>
          <w:rFonts w:hint="eastAsia" w:ascii="宋体" w:hAnsi="宋体" w:eastAsia="宋体" w:cs="宋体"/>
          <w:b/>
          <w:color w:val="auto"/>
          <w:szCs w:val="24"/>
          <w:highlight w:val="none"/>
          <w:lang w:val="zh-CN"/>
        </w:rPr>
        <w:t>需详细填写该项低分的充分理由，例如：该项目内容存在违反国家有关标准和规范或与项目实际不符等原则性问题。</w:t>
      </w:r>
    </w:p>
    <w:p w14:paraId="394F2DBB">
      <w:pPr>
        <w:autoSpaceDE w:val="0"/>
        <w:autoSpaceDN w:val="0"/>
        <w:adjustRightInd w:val="0"/>
        <w:spacing w:line="360" w:lineRule="auto"/>
        <w:ind w:firstLine="422" w:firstLineChars="200"/>
        <w:rPr>
          <w:rFonts w:ascii="宋体" w:hAnsi="宋体" w:eastAsia="宋体" w:cs="宋体"/>
          <w:color w:val="auto"/>
          <w:kern w:val="0"/>
          <w:szCs w:val="21"/>
          <w:highlight w:val="none"/>
        </w:rPr>
      </w:pPr>
      <w:r>
        <w:rPr>
          <w:rFonts w:hint="eastAsia" w:ascii="宋体" w:hAnsi="宋体" w:eastAsia="宋体" w:cs="宋体"/>
          <w:b/>
          <w:color w:val="auto"/>
          <w:szCs w:val="24"/>
          <w:highlight w:val="none"/>
          <w:lang w:val="en-US" w:eastAsia="zh-CN"/>
        </w:rPr>
        <w:t>③</w:t>
      </w:r>
      <w:r>
        <w:rPr>
          <w:rFonts w:hint="eastAsia" w:ascii="宋体" w:hAnsi="宋体" w:eastAsia="宋体" w:cs="宋体"/>
          <w:b/>
          <w:color w:val="auto"/>
          <w:kern w:val="0"/>
          <w:szCs w:val="21"/>
          <w:highlight w:val="none"/>
          <w:lang w:val="zh-CN"/>
        </w:rPr>
        <w:t>对</w:t>
      </w:r>
      <w:r>
        <w:rPr>
          <w:rFonts w:hint="eastAsia" w:ascii="宋体" w:hAnsi="宋体" w:eastAsia="宋体" w:cs="宋体"/>
          <w:b/>
          <w:color w:val="auto"/>
          <w:kern w:val="0"/>
          <w:szCs w:val="21"/>
          <w:highlight w:val="none"/>
        </w:rPr>
        <w:t>于各</w:t>
      </w:r>
      <w:r>
        <w:rPr>
          <w:rFonts w:hint="eastAsia" w:ascii="宋体" w:hAnsi="宋体" w:eastAsia="宋体" w:cs="宋体"/>
          <w:b/>
          <w:color w:val="auto"/>
          <w:kern w:val="0"/>
          <w:szCs w:val="21"/>
          <w:highlight w:val="none"/>
          <w:lang w:val="zh-CN"/>
        </w:rPr>
        <w:t>评标委员会成员</w:t>
      </w:r>
      <w:r>
        <w:rPr>
          <w:rFonts w:hint="eastAsia" w:ascii="宋体" w:hAnsi="宋体" w:eastAsia="宋体" w:cs="宋体"/>
          <w:b/>
          <w:color w:val="auto"/>
          <w:kern w:val="0"/>
          <w:szCs w:val="21"/>
          <w:highlight w:val="none"/>
        </w:rPr>
        <w:t>存在客观分打分不一致时</w:t>
      </w:r>
      <w:r>
        <w:rPr>
          <w:rFonts w:hint="eastAsia" w:ascii="宋体" w:hAnsi="宋体" w:eastAsia="宋体" w:cs="宋体"/>
          <w:b/>
          <w:color w:val="auto"/>
          <w:kern w:val="0"/>
          <w:szCs w:val="21"/>
          <w:highlight w:val="none"/>
          <w:lang w:val="zh-CN"/>
        </w:rPr>
        <w:t>,根据少数服</w:t>
      </w:r>
      <w:r>
        <w:rPr>
          <w:rFonts w:hint="eastAsia" w:ascii="宋体" w:hAnsi="宋体" w:eastAsia="宋体" w:cs="宋体"/>
          <w:b/>
          <w:color w:val="auto"/>
          <w:kern w:val="0"/>
          <w:szCs w:val="21"/>
          <w:highlight w:val="none"/>
        </w:rPr>
        <w:t>从</w:t>
      </w:r>
      <w:r>
        <w:rPr>
          <w:rFonts w:hint="eastAsia" w:ascii="宋体" w:hAnsi="宋体" w:eastAsia="宋体" w:cs="宋体"/>
          <w:b/>
          <w:color w:val="auto"/>
          <w:kern w:val="0"/>
          <w:szCs w:val="21"/>
          <w:highlight w:val="none"/>
          <w:lang w:val="zh-CN"/>
        </w:rPr>
        <w:t>多数的原则，以记名方式表决</w:t>
      </w:r>
      <w:r>
        <w:rPr>
          <w:rFonts w:hint="eastAsia" w:ascii="宋体" w:hAnsi="宋体" w:eastAsia="宋体" w:cs="宋体"/>
          <w:b/>
          <w:color w:val="auto"/>
          <w:kern w:val="0"/>
          <w:szCs w:val="21"/>
          <w:highlight w:val="none"/>
        </w:rPr>
        <w:t>确定该项的评分。</w:t>
      </w:r>
    </w:p>
    <w:p w14:paraId="2097421A">
      <w:pPr>
        <w:tabs>
          <w:tab w:val="left" w:pos="585"/>
        </w:tabs>
        <w:autoSpaceDE w:val="0"/>
        <w:autoSpaceDN w:val="0"/>
        <w:adjustRightInd w:val="0"/>
        <w:spacing w:line="400" w:lineRule="exact"/>
        <w:rPr>
          <w:rFonts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lang w:val="zh-CN"/>
        </w:rPr>
        <w:t>）综合得分</w:t>
      </w:r>
    </w:p>
    <w:p w14:paraId="6501DFE3">
      <w:pPr>
        <w:keepNext w:val="0"/>
        <w:keepLines w:val="0"/>
        <w:pageBreakBefore w:val="0"/>
        <w:widowControl w:val="0"/>
        <w:kinsoku/>
        <w:wordWrap/>
        <w:overflowPunct/>
        <w:topLinePunct w:val="0"/>
        <w:autoSpaceDE/>
        <w:autoSpaceDN/>
        <w:bidi w:val="0"/>
        <w:adjustRightInd/>
        <w:snapToGrid/>
        <w:spacing w:before="164" w:beforeLines="50" w:line="360" w:lineRule="auto"/>
        <w:ind w:firstLine="420" w:firstLineChars="200"/>
        <w:textAlignment w:val="auto"/>
        <w:rPr>
          <w:rFonts w:ascii="宋体" w:hAnsi="宋体" w:eastAsia="宋体" w:cs="宋体"/>
          <w:color w:val="auto"/>
          <w:kern w:val="0"/>
          <w:szCs w:val="28"/>
          <w:highlight w:val="none"/>
          <w:lang w:val="zh-CN"/>
        </w:rPr>
      </w:pPr>
      <w:bookmarkStart w:id="905" w:name="_Toc31624_WPSOffice_Level2"/>
      <w:r>
        <w:rPr>
          <w:rFonts w:hint="eastAsia" w:ascii="宋体" w:hAnsi="宋体" w:eastAsia="宋体" w:cs="宋体"/>
          <w:color w:val="auto"/>
          <w:kern w:val="0"/>
          <w:szCs w:val="28"/>
          <w:highlight w:val="none"/>
          <w:lang w:val="zh-CN"/>
        </w:rPr>
        <w:t>评</w:t>
      </w:r>
      <w:r>
        <w:rPr>
          <w:rFonts w:hint="eastAsia" w:ascii="宋体" w:hAnsi="宋体" w:eastAsia="宋体" w:cs="宋体"/>
          <w:color w:val="auto"/>
          <w:kern w:val="0"/>
          <w:szCs w:val="28"/>
          <w:highlight w:val="none"/>
          <w:lang w:val="en-US" w:eastAsia="zh-CN"/>
        </w:rPr>
        <w:t>标</w:t>
      </w:r>
      <w:r>
        <w:rPr>
          <w:rFonts w:hint="eastAsia" w:ascii="宋体" w:hAnsi="宋体" w:eastAsia="宋体" w:cs="宋体"/>
          <w:color w:val="auto"/>
          <w:kern w:val="0"/>
          <w:szCs w:val="28"/>
          <w:highlight w:val="none"/>
          <w:lang w:val="zh-CN"/>
        </w:rPr>
        <w:t>总得分=F1＋F2＋……+Fn</w:t>
      </w:r>
      <w:bookmarkEnd w:id="905"/>
    </w:p>
    <w:p w14:paraId="16470134">
      <w:pPr>
        <w:widowControl/>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bookmarkStart w:id="906" w:name="_Toc13236_WPSOffice_Level2"/>
      <w:r>
        <w:rPr>
          <w:rFonts w:hint="eastAsia" w:ascii="宋体" w:hAnsi="宋体" w:eastAsia="宋体" w:cs="宋体"/>
          <w:color w:val="auto"/>
          <w:kern w:val="0"/>
          <w:szCs w:val="21"/>
          <w:highlight w:val="none"/>
        </w:rPr>
        <w:t>F1、F2、……Fn分别为各项评分因素的得分</w:t>
      </w:r>
      <w:bookmarkEnd w:id="906"/>
      <w:r>
        <w:rPr>
          <w:rFonts w:hint="eastAsia" w:ascii="宋体" w:hAnsi="宋体" w:eastAsia="宋体" w:cs="宋体"/>
          <w:color w:val="auto"/>
          <w:kern w:val="0"/>
          <w:szCs w:val="21"/>
          <w:highlight w:val="none"/>
        </w:rPr>
        <w:t>。</w:t>
      </w:r>
    </w:p>
    <w:p w14:paraId="7A6D57FA">
      <w:pPr>
        <w:autoSpaceDE w:val="0"/>
        <w:autoSpaceDN w:val="0"/>
        <w:adjustRightInd w:val="0"/>
        <w:spacing w:line="360" w:lineRule="auto"/>
        <w:ind w:left="564" w:leftChars="1" w:hanging="562" w:hangingChars="200"/>
        <w:rPr>
          <w:rFonts w:ascii="宋体" w:hAnsi="宋体" w:eastAsia="宋体" w:cs="宋体"/>
          <w:b/>
          <w:bCs/>
          <w:color w:val="auto"/>
          <w:sz w:val="28"/>
          <w:szCs w:val="28"/>
          <w:highlight w:val="none"/>
        </w:rPr>
      </w:pPr>
    </w:p>
    <w:p w14:paraId="10191BDD">
      <w:pPr>
        <w:autoSpaceDE w:val="0"/>
        <w:autoSpaceDN w:val="0"/>
        <w:adjustRightInd w:val="0"/>
        <w:spacing w:line="360" w:lineRule="auto"/>
        <w:jc w:val="center"/>
        <w:rPr>
          <w:rFonts w:hint="default" w:ascii="宋体" w:hAnsi="宋体" w:eastAsia="宋体" w:cs="宋体"/>
          <w:b/>
          <w:bCs/>
          <w:color w:val="auto"/>
          <w:sz w:val="28"/>
          <w:szCs w:val="28"/>
          <w:highlight w:val="none"/>
          <w:lang w:val="en-US" w:eastAsia="zh-CN"/>
        </w:rPr>
      </w:pPr>
      <w:bookmarkStart w:id="907" w:name="_Toc518_WPSOffice_Level1"/>
      <w:r>
        <w:rPr>
          <w:rFonts w:hint="eastAsia" w:ascii="宋体" w:hAnsi="宋体" w:eastAsia="宋体" w:cs="宋体"/>
          <w:b/>
          <w:bCs/>
          <w:color w:val="auto"/>
          <w:sz w:val="28"/>
          <w:szCs w:val="28"/>
          <w:highlight w:val="none"/>
          <w:lang w:val="zh-CN"/>
        </w:rPr>
        <w:t>五、推荐</w:t>
      </w:r>
      <w:bookmarkEnd w:id="907"/>
      <w:r>
        <w:rPr>
          <w:rFonts w:hint="eastAsia" w:ascii="宋体" w:hAnsi="宋体" w:eastAsia="宋体" w:cs="宋体"/>
          <w:b/>
          <w:bCs/>
          <w:color w:val="auto"/>
          <w:sz w:val="28"/>
          <w:szCs w:val="28"/>
          <w:highlight w:val="none"/>
          <w:lang w:val="en-US" w:eastAsia="zh-CN"/>
        </w:rPr>
        <w:t>中标候选人名单</w:t>
      </w:r>
    </w:p>
    <w:p w14:paraId="4E4F1C39">
      <w:pPr>
        <w:autoSpaceDE w:val="0"/>
        <w:autoSpaceDN w:val="0"/>
        <w:adjustRightInd w:val="0"/>
        <w:spacing w:line="360" w:lineRule="auto"/>
        <w:ind w:left="420" w:hanging="420" w:hangingChars="200"/>
        <w:jc w:val="left"/>
        <w:rPr>
          <w:rFonts w:ascii="宋体" w:hAnsi="宋体" w:eastAsia="宋体" w:cs="Times New Roman"/>
          <w:color w:val="auto"/>
          <w:kern w:val="0"/>
          <w:szCs w:val="21"/>
          <w:highlight w:val="none"/>
        </w:rPr>
      </w:pPr>
      <w:r>
        <w:rPr>
          <w:rFonts w:ascii="宋体" w:hAnsi="宋体" w:eastAsia="宋体" w:cs="宋体"/>
          <w:color w:val="auto"/>
          <w:kern w:val="0"/>
          <w:szCs w:val="21"/>
          <w:highlight w:val="none"/>
        </w:rPr>
        <w:t>13</w:t>
      </w:r>
      <w:r>
        <w:rPr>
          <w:rFonts w:hint="eastAsia" w:ascii="宋体" w:hAnsi="宋体" w:eastAsia="宋体" w:cs="宋体"/>
          <w:color w:val="auto"/>
          <w:kern w:val="0"/>
          <w:szCs w:val="21"/>
          <w:highlight w:val="none"/>
        </w:rPr>
        <w:t>、</w:t>
      </w:r>
      <w:r>
        <w:rPr>
          <w:rFonts w:hint="eastAsia" w:ascii="宋体" w:hAnsi="宋体" w:eastAsia="宋体" w:cs="Times New Roman"/>
          <w:color w:val="auto"/>
          <w:szCs w:val="24"/>
          <w:highlight w:val="none"/>
          <w:lang w:val="zh-CN"/>
        </w:rPr>
        <w:t>评标委员会按评审后</w:t>
      </w:r>
      <w:r>
        <w:rPr>
          <w:rFonts w:hint="eastAsia" w:ascii="宋体" w:hAnsi="宋体" w:eastAsia="宋体" w:cs="Times New Roman"/>
          <w:color w:val="auto"/>
          <w:szCs w:val="24"/>
          <w:highlight w:val="none"/>
          <w:lang w:val="en-US" w:eastAsia="zh-CN"/>
        </w:rPr>
        <w:t>综合</w:t>
      </w:r>
      <w:r>
        <w:rPr>
          <w:rFonts w:hint="eastAsia" w:ascii="宋体" w:hAnsi="宋体" w:eastAsia="宋体" w:cs="Times New Roman"/>
          <w:color w:val="auto"/>
          <w:szCs w:val="24"/>
          <w:highlight w:val="none"/>
          <w:lang w:val="zh-CN"/>
        </w:rPr>
        <w:t>得分由高到低顺序排列</w:t>
      </w:r>
      <w:r>
        <w:rPr>
          <w:rFonts w:hint="eastAsia" w:ascii="宋体" w:hAnsi="宋体" w:eastAsia="宋体" w:cs="Times New Roman"/>
          <w:color w:val="auto"/>
          <w:kern w:val="0"/>
          <w:szCs w:val="21"/>
          <w:highlight w:val="none"/>
        </w:rPr>
        <w:t>，并向</w:t>
      </w:r>
      <w:r>
        <w:rPr>
          <w:rFonts w:hint="eastAsia" w:ascii="宋体" w:hAnsi="宋体" w:eastAsia="宋体" w:cs="Times New Roman"/>
          <w:color w:val="auto"/>
          <w:kern w:val="0"/>
          <w:szCs w:val="21"/>
          <w:highlight w:val="none"/>
          <w:lang w:eastAsia="zh-CN"/>
        </w:rPr>
        <w:t>招标人</w:t>
      </w:r>
      <w:r>
        <w:rPr>
          <w:rFonts w:hint="eastAsia" w:ascii="宋体" w:hAnsi="宋体" w:eastAsia="宋体" w:cs="Times New Roman"/>
          <w:color w:val="auto"/>
          <w:kern w:val="0"/>
          <w:szCs w:val="21"/>
          <w:highlight w:val="none"/>
        </w:rPr>
        <w:t>推荐7-9家中标候选人（中标候选人的实际推荐家数按实际经评审的有效供应商数量而定，最多可推荐9家），其中排名前6的6家作为入库候选供应商，剩余供应商作为入库备选供应商；若</w:t>
      </w:r>
      <w:r>
        <w:rPr>
          <w:rFonts w:hint="eastAsia" w:ascii="宋体" w:hAnsi="宋体" w:eastAsia="宋体" w:cs="Times New Roman"/>
          <w:color w:val="auto"/>
          <w:kern w:val="0"/>
          <w:szCs w:val="21"/>
          <w:highlight w:val="none"/>
          <w:lang w:val="en-US" w:eastAsia="zh-CN"/>
        </w:rPr>
        <w:t>经评审</w:t>
      </w:r>
      <w:r>
        <w:rPr>
          <w:rFonts w:hint="eastAsia" w:ascii="宋体" w:hAnsi="宋体" w:eastAsia="宋体" w:cs="Times New Roman"/>
          <w:color w:val="auto"/>
          <w:kern w:val="0"/>
          <w:szCs w:val="21"/>
          <w:highlight w:val="none"/>
        </w:rPr>
        <w:t>有效</w:t>
      </w:r>
      <w:r>
        <w:rPr>
          <w:rFonts w:hint="eastAsia" w:ascii="宋体" w:hAnsi="宋体" w:eastAsia="宋体" w:cs="Times New Roman"/>
          <w:color w:val="auto"/>
          <w:kern w:val="0"/>
          <w:szCs w:val="21"/>
          <w:highlight w:val="none"/>
          <w:lang w:val="en-US" w:eastAsia="zh-CN"/>
        </w:rPr>
        <w:t>投标人</w:t>
      </w:r>
      <w:r>
        <w:rPr>
          <w:rFonts w:hint="eastAsia" w:ascii="宋体" w:hAnsi="宋体" w:eastAsia="宋体" w:cs="Times New Roman"/>
          <w:color w:val="auto"/>
          <w:kern w:val="0"/>
          <w:szCs w:val="21"/>
          <w:highlight w:val="none"/>
        </w:rPr>
        <w:t>数量不足</w:t>
      </w:r>
      <w:r>
        <w:rPr>
          <w:rFonts w:hint="eastAsia" w:ascii="宋体" w:hAnsi="宋体" w:eastAsia="宋体" w:cs="Times New Roman"/>
          <w:color w:val="auto"/>
          <w:kern w:val="0"/>
          <w:szCs w:val="21"/>
          <w:highlight w:val="none"/>
          <w:lang w:val="en-US" w:eastAsia="zh-CN"/>
        </w:rPr>
        <w:t>6</w:t>
      </w:r>
      <w:r>
        <w:rPr>
          <w:rFonts w:hint="eastAsia" w:ascii="宋体" w:hAnsi="宋体" w:eastAsia="宋体" w:cs="Times New Roman"/>
          <w:color w:val="auto"/>
          <w:kern w:val="0"/>
          <w:szCs w:val="21"/>
          <w:highlight w:val="none"/>
        </w:rPr>
        <w:t>家，则按实际有效</w:t>
      </w:r>
      <w:r>
        <w:rPr>
          <w:rFonts w:hint="eastAsia" w:ascii="宋体" w:hAnsi="宋体" w:eastAsia="宋体" w:cs="Times New Roman"/>
          <w:color w:val="auto"/>
          <w:kern w:val="0"/>
          <w:szCs w:val="21"/>
          <w:highlight w:val="none"/>
          <w:lang w:val="en-US" w:eastAsia="zh-CN"/>
        </w:rPr>
        <w:t>投标人</w:t>
      </w:r>
      <w:r>
        <w:rPr>
          <w:rFonts w:hint="eastAsia" w:ascii="宋体" w:hAnsi="宋体" w:eastAsia="宋体" w:cs="Times New Roman"/>
          <w:color w:val="auto"/>
          <w:kern w:val="0"/>
          <w:szCs w:val="21"/>
          <w:highlight w:val="none"/>
        </w:rPr>
        <w:t>需数量推荐</w:t>
      </w:r>
      <w:r>
        <w:rPr>
          <w:rFonts w:hint="eastAsia" w:ascii="宋体" w:hAnsi="宋体" w:eastAsia="宋体" w:cs="Times New Roman"/>
          <w:color w:val="auto"/>
          <w:kern w:val="0"/>
          <w:szCs w:val="21"/>
          <w:highlight w:val="none"/>
          <w:lang w:val="en-US" w:eastAsia="zh-CN"/>
        </w:rPr>
        <w:t>中标候选人并</w:t>
      </w:r>
      <w:r>
        <w:rPr>
          <w:rFonts w:hint="eastAsia" w:ascii="宋体" w:hAnsi="宋体" w:eastAsia="宋体" w:cs="Times New Roman"/>
          <w:color w:val="auto"/>
          <w:kern w:val="0"/>
          <w:szCs w:val="21"/>
          <w:highlight w:val="none"/>
        </w:rPr>
        <w:t>作为入库候选供应商。</w:t>
      </w:r>
    </w:p>
    <w:p w14:paraId="0850915D">
      <w:pPr>
        <w:tabs>
          <w:tab w:val="left" w:pos="7140"/>
        </w:tabs>
        <w:autoSpaceDE w:val="0"/>
        <w:autoSpaceDN w:val="0"/>
        <w:adjustRightInd w:val="0"/>
        <w:spacing w:line="360" w:lineRule="auto"/>
        <w:ind w:left="420" w:leftChars="200" w:firstLine="420" w:firstLineChars="200"/>
        <w:jc w:val="left"/>
        <w:rPr>
          <w:rFonts w:ascii="宋体" w:hAnsi="宋体" w:eastAsia="宋体" w:cs="Times New Roman"/>
          <w:color w:val="auto"/>
          <w:kern w:val="0"/>
          <w:szCs w:val="24"/>
          <w:highlight w:val="none"/>
          <w:lang w:val="zh-CN"/>
        </w:rPr>
      </w:pPr>
      <w:r>
        <w:rPr>
          <w:rFonts w:hint="eastAsia" w:ascii="宋体" w:hAnsi="宋体" w:eastAsia="宋体" w:cs="Times New Roman"/>
          <w:color w:val="auto"/>
          <w:kern w:val="0"/>
          <w:szCs w:val="21"/>
          <w:highlight w:val="none"/>
        </w:rPr>
        <w:t>如果有两个或以上的</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的最后综合得分相同，则按技术标的</w:t>
      </w:r>
      <w:r>
        <w:rPr>
          <w:rFonts w:hint="eastAsia" w:ascii="宋体" w:hAnsi="宋体" w:eastAsia="宋体" w:cs="Times New Roman"/>
          <w:color w:val="auto"/>
          <w:kern w:val="0"/>
          <w:szCs w:val="21"/>
          <w:highlight w:val="none"/>
          <w:lang w:val="en-US" w:eastAsia="zh-CN"/>
        </w:rPr>
        <w:t>评标</w:t>
      </w:r>
      <w:r>
        <w:rPr>
          <w:rFonts w:hint="eastAsia" w:ascii="宋体" w:hAnsi="宋体" w:eastAsia="宋体" w:cs="Times New Roman"/>
          <w:color w:val="auto"/>
          <w:kern w:val="0"/>
          <w:szCs w:val="21"/>
          <w:highlight w:val="none"/>
        </w:rPr>
        <w:t>得分高低排出次序，得分高的排前，得分低的排后。如果出现</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的最后综合得分、技术标得分均相同时，由</w:t>
      </w:r>
      <w:r>
        <w:rPr>
          <w:rFonts w:hint="eastAsia" w:ascii="宋体" w:hAnsi="宋体" w:eastAsia="宋体" w:cs="Times New Roman"/>
          <w:color w:val="auto"/>
          <w:kern w:val="0"/>
          <w:szCs w:val="21"/>
          <w:highlight w:val="none"/>
          <w:lang w:eastAsia="zh-CN"/>
        </w:rPr>
        <w:t>评标委员会</w:t>
      </w:r>
      <w:r>
        <w:rPr>
          <w:rFonts w:hint="eastAsia" w:ascii="宋体" w:hAnsi="宋体" w:eastAsia="宋体" w:cs="Times New Roman"/>
          <w:color w:val="auto"/>
          <w:kern w:val="0"/>
          <w:szCs w:val="21"/>
          <w:highlight w:val="none"/>
        </w:rPr>
        <w:t>进行投票</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val="en-US" w:eastAsia="zh-CN"/>
        </w:rPr>
        <w:t>各评委须分别书面说明各自投票该投标人排名在先的理由</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rPr>
        <w:t>，得票多的排名在先。当第一轮投票结果为</w:t>
      </w:r>
      <w:r>
        <w:rPr>
          <w:rFonts w:hint="eastAsia" w:ascii="宋体" w:hAnsi="宋体" w:eastAsia="宋体" w:cs="Times New Roman"/>
          <w:color w:val="auto"/>
          <w:kern w:val="0"/>
          <w:szCs w:val="21"/>
          <w:highlight w:val="none"/>
          <w:lang w:eastAsia="zh-CN"/>
        </w:rPr>
        <w:t>投标人</w:t>
      </w:r>
      <w:r>
        <w:rPr>
          <w:rFonts w:hint="eastAsia" w:ascii="宋体" w:hAnsi="宋体" w:eastAsia="宋体" w:cs="Times New Roman"/>
          <w:color w:val="auto"/>
          <w:kern w:val="0"/>
          <w:szCs w:val="21"/>
          <w:highlight w:val="none"/>
        </w:rPr>
        <w:t>得票数相同时，再次进行投票，如此类推，直到能确定排序次序为止。</w:t>
      </w:r>
    </w:p>
    <w:p w14:paraId="1FE84C8D">
      <w:pPr>
        <w:widowControl/>
        <w:spacing w:line="360" w:lineRule="auto"/>
        <w:jc w:val="left"/>
        <w:rPr>
          <w:rFonts w:ascii="宋体" w:hAnsi="宋体" w:eastAsia="宋体" w:cs="宋体"/>
          <w:color w:val="auto"/>
          <w:kern w:val="0"/>
          <w:szCs w:val="21"/>
          <w:highlight w:val="none"/>
        </w:rPr>
      </w:pPr>
    </w:p>
    <w:p w14:paraId="0B2C0719">
      <w:pPr>
        <w:autoSpaceDE w:val="0"/>
        <w:autoSpaceDN w:val="0"/>
        <w:adjustRightInd w:val="0"/>
        <w:spacing w:line="360" w:lineRule="auto"/>
        <w:ind w:left="185" w:leftChars="88" w:firstLine="3443" w:firstLineChars="1225"/>
        <w:rPr>
          <w:rFonts w:ascii="宋体" w:hAnsi="宋体" w:eastAsia="宋体" w:cs="宋体"/>
          <w:b/>
          <w:bCs/>
          <w:color w:val="auto"/>
          <w:sz w:val="28"/>
          <w:szCs w:val="28"/>
          <w:highlight w:val="none"/>
          <w:lang w:val="zh-CN"/>
        </w:rPr>
      </w:pPr>
      <w:bookmarkStart w:id="908" w:name="_Toc22724_WPSOffice_Level1"/>
      <w:r>
        <w:rPr>
          <w:rFonts w:hint="eastAsia" w:ascii="宋体" w:hAnsi="宋体" w:eastAsia="宋体" w:cs="宋体"/>
          <w:b/>
          <w:bCs/>
          <w:color w:val="auto"/>
          <w:sz w:val="28"/>
          <w:szCs w:val="28"/>
          <w:highlight w:val="none"/>
          <w:lang w:val="zh-CN"/>
        </w:rPr>
        <w:t>六、编写</w:t>
      </w:r>
      <w:r>
        <w:rPr>
          <w:rFonts w:hint="eastAsia" w:ascii="宋体" w:hAnsi="宋体" w:eastAsia="宋体" w:cs="宋体"/>
          <w:b/>
          <w:bCs/>
          <w:color w:val="auto"/>
          <w:sz w:val="28"/>
          <w:szCs w:val="28"/>
          <w:highlight w:val="none"/>
          <w:lang w:val="en-US" w:eastAsia="zh-CN"/>
        </w:rPr>
        <w:t>评标</w:t>
      </w:r>
      <w:r>
        <w:rPr>
          <w:rFonts w:hint="eastAsia" w:ascii="宋体" w:hAnsi="宋体" w:eastAsia="宋体" w:cs="宋体"/>
          <w:b/>
          <w:bCs/>
          <w:color w:val="auto"/>
          <w:sz w:val="28"/>
          <w:szCs w:val="28"/>
          <w:highlight w:val="none"/>
          <w:lang w:val="zh-CN"/>
        </w:rPr>
        <w:t>报告</w:t>
      </w:r>
      <w:bookmarkEnd w:id="908"/>
    </w:p>
    <w:p w14:paraId="128047DA">
      <w:pPr>
        <w:autoSpaceDE w:val="0"/>
        <w:autoSpaceDN w:val="0"/>
        <w:adjustRightInd w:val="0"/>
        <w:spacing w:line="360" w:lineRule="auto"/>
        <w:ind w:left="420" w:hanging="420" w:hangingChars="200"/>
        <w:jc w:val="left"/>
        <w:rPr>
          <w:rFonts w:ascii="宋体" w:hAnsi="宋体" w:eastAsia="宋体" w:cs="宋体"/>
          <w:b/>
          <w:bCs/>
          <w:color w:val="auto"/>
          <w:szCs w:val="32"/>
          <w:highlight w:val="none"/>
          <w:lang w:val="zh-CN"/>
        </w:rPr>
      </w:pPr>
      <w:r>
        <w:rPr>
          <w:rFonts w:hint="eastAsia" w:ascii="宋体" w:hAnsi="宋体" w:eastAsia="宋体" w:cs="宋体"/>
          <w:color w:val="auto"/>
          <w:szCs w:val="24"/>
          <w:highlight w:val="none"/>
          <w:lang w:val="zh-CN"/>
        </w:rPr>
        <w:t>1</w:t>
      </w:r>
      <w:r>
        <w:rPr>
          <w:rFonts w:ascii="宋体" w:hAnsi="宋体" w:eastAsia="宋体" w:cs="宋体"/>
          <w:color w:val="auto"/>
          <w:szCs w:val="24"/>
          <w:highlight w:val="none"/>
          <w:lang w:val="zh-CN"/>
        </w:rPr>
        <w:t>4</w:t>
      </w:r>
      <w:r>
        <w:rPr>
          <w:rFonts w:hint="eastAsia" w:ascii="宋体" w:hAnsi="宋体" w:eastAsia="宋体" w:cs="宋体"/>
          <w:color w:val="auto"/>
          <w:szCs w:val="24"/>
          <w:highlight w:val="none"/>
          <w:lang w:val="zh-CN"/>
        </w:rPr>
        <w:t>、评标委员会根据评审结果撰写评</w:t>
      </w:r>
      <w:r>
        <w:rPr>
          <w:rFonts w:hint="eastAsia" w:ascii="宋体" w:hAnsi="宋体" w:eastAsia="宋体" w:cs="宋体"/>
          <w:color w:val="auto"/>
          <w:szCs w:val="24"/>
          <w:highlight w:val="none"/>
          <w:lang w:val="en-US" w:eastAsia="zh-CN"/>
        </w:rPr>
        <w:t>标</w:t>
      </w:r>
      <w:r>
        <w:rPr>
          <w:rFonts w:hint="eastAsia" w:ascii="宋体" w:hAnsi="宋体" w:eastAsia="宋体" w:cs="宋体"/>
          <w:color w:val="auto"/>
          <w:szCs w:val="24"/>
          <w:highlight w:val="none"/>
          <w:lang w:val="zh-CN"/>
        </w:rPr>
        <w:t>报告。评</w:t>
      </w:r>
      <w:r>
        <w:rPr>
          <w:rFonts w:hint="eastAsia" w:ascii="宋体" w:hAnsi="宋体" w:eastAsia="宋体" w:cs="宋体"/>
          <w:color w:val="auto"/>
          <w:szCs w:val="24"/>
          <w:highlight w:val="none"/>
          <w:lang w:val="en-US" w:eastAsia="zh-CN"/>
        </w:rPr>
        <w:t>标</w:t>
      </w:r>
      <w:r>
        <w:rPr>
          <w:rFonts w:hint="eastAsia" w:ascii="宋体" w:hAnsi="宋体" w:eastAsia="宋体" w:cs="宋体"/>
          <w:color w:val="auto"/>
          <w:szCs w:val="24"/>
          <w:highlight w:val="none"/>
          <w:lang w:val="zh-CN"/>
        </w:rPr>
        <w:t>报告是评标委员会根据全体评标委员会成员签字的原始评审记录和评审结果编写的报告，其主要内容包括：</w:t>
      </w:r>
    </w:p>
    <w:p w14:paraId="1EAD9959">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（1）</w:t>
      </w:r>
      <w:r>
        <w:rPr>
          <w:rFonts w:hint="eastAsia" w:ascii="宋体" w:hAnsi="宋体" w:eastAsia="宋体" w:cs="宋体"/>
          <w:color w:val="auto"/>
          <w:kern w:val="0"/>
          <w:szCs w:val="24"/>
          <w:highlight w:val="none"/>
          <w:lang w:val="en-US" w:eastAsia="zh-CN"/>
        </w:rPr>
        <w:t>开标邀请时间</w:t>
      </w:r>
      <w:r>
        <w:rPr>
          <w:rFonts w:hint="eastAsia" w:ascii="宋体" w:hAnsi="宋体" w:eastAsia="宋体" w:cs="宋体"/>
          <w:color w:val="auto"/>
          <w:kern w:val="0"/>
          <w:szCs w:val="24"/>
          <w:highlight w:val="none"/>
          <w:lang w:val="zh-CN"/>
        </w:rPr>
        <w:t>、</w:t>
      </w:r>
      <w:r>
        <w:rPr>
          <w:rFonts w:hint="eastAsia" w:ascii="宋体" w:hAnsi="宋体" w:eastAsia="宋体" w:cs="宋体"/>
          <w:color w:val="auto"/>
          <w:kern w:val="0"/>
          <w:szCs w:val="24"/>
          <w:highlight w:val="none"/>
          <w:lang w:val="en-US" w:eastAsia="zh-CN"/>
        </w:rPr>
        <w:t>开标</w:t>
      </w:r>
      <w:r>
        <w:rPr>
          <w:rFonts w:hint="eastAsia" w:ascii="宋体" w:hAnsi="宋体" w:eastAsia="宋体" w:cs="宋体"/>
          <w:color w:val="auto"/>
          <w:kern w:val="0"/>
          <w:szCs w:val="24"/>
          <w:highlight w:val="none"/>
          <w:lang w:val="zh-CN"/>
        </w:rPr>
        <w:t>日期和地点；</w:t>
      </w:r>
    </w:p>
    <w:p w14:paraId="2A7E990D">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（2）投标人名单和评标委员会成员名单；</w:t>
      </w:r>
    </w:p>
    <w:p w14:paraId="61838720">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（3）</w:t>
      </w:r>
      <w:r>
        <w:rPr>
          <w:rFonts w:hint="eastAsia" w:ascii="宋体" w:hAnsi="宋体" w:eastAsia="宋体" w:cs="宋体"/>
          <w:color w:val="auto"/>
          <w:kern w:val="0"/>
          <w:szCs w:val="24"/>
          <w:highlight w:val="none"/>
          <w:lang w:val="en-US" w:eastAsia="zh-CN"/>
        </w:rPr>
        <w:t>开标</w:t>
      </w:r>
      <w:r>
        <w:rPr>
          <w:rFonts w:hint="eastAsia" w:ascii="宋体" w:hAnsi="宋体" w:eastAsia="宋体" w:cs="宋体"/>
          <w:color w:val="auto"/>
          <w:kern w:val="0"/>
          <w:szCs w:val="24"/>
          <w:highlight w:val="none"/>
          <w:lang w:val="zh-CN"/>
        </w:rPr>
        <w:t>评审方法和标准；</w:t>
      </w:r>
    </w:p>
    <w:p w14:paraId="413489BC">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w:t>
      </w:r>
      <w:r>
        <w:rPr>
          <w:rFonts w:hint="eastAsia" w:ascii="宋体" w:hAnsi="宋体" w:eastAsia="宋体" w:cs="宋体"/>
          <w:color w:val="auto"/>
          <w:kern w:val="0"/>
          <w:szCs w:val="24"/>
          <w:highlight w:val="none"/>
          <w:lang w:val="en-US" w:eastAsia="zh-CN"/>
        </w:rPr>
        <w:t>开标</w:t>
      </w:r>
      <w:r>
        <w:rPr>
          <w:rFonts w:hint="eastAsia" w:ascii="宋体" w:hAnsi="宋体" w:eastAsia="宋体" w:cs="宋体"/>
          <w:color w:val="auto"/>
          <w:kern w:val="0"/>
          <w:szCs w:val="24"/>
          <w:highlight w:val="none"/>
          <w:lang w:val="zh-CN"/>
        </w:rPr>
        <w:t>评审记录和评审情况及说明，包括</w:t>
      </w:r>
      <w:r>
        <w:rPr>
          <w:rFonts w:hint="eastAsia" w:ascii="宋体" w:hAnsi="宋体" w:eastAsia="宋体" w:cs="宋体"/>
          <w:color w:val="auto"/>
          <w:kern w:val="0"/>
          <w:szCs w:val="24"/>
          <w:highlight w:val="none"/>
          <w:lang w:val="en-US" w:eastAsia="zh-CN"/>
        </w:rPr>
        <w:t>投标</w:t>
      </w:r>
      <w:r>
        <w:rPr>
          <w:rFonts w:hint="eastAsia" w:ascii="宋体" w:hAnsi="宋体" w:eastAsia="宋体" w:cs="宋体"/>
          <w:color w:val="auto"/>
          <w:kern w:val="0"/>
          <w:szCs w:val="24"/>
          <w:highlight w:val="none"/>
          <w:lang w:val="zh-CN"/>
        </w:rPr>
        <w:t>无效投标人名单及原因；</w:t>
      </w:r>
    </w:p>
    <w:p w14:paraId="011C565B">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（5）评审结果和</w:t>
      </w:r>
      <w:r>
        <w:rPr>
          <w:rFonts w:hint="eastAsia" w:ascii="宋体" w:hAnsi="宋体" w:eastAsia="宋体" w:cs="宋体"/>
          <w:color w:val="auto"/>
          <w:kern w:val="0"/>
          <w:szCs w:val="24"/>
          <w:highlight w:val="none"/>
          <w:lang w:val="en-US" w:eastAsia="zh-CN"/>
        </w:rPr>
        <w:t>中标候选人名单</w:t>
      </w:r>
      <w:r>
        <w:rPr>
          <w:rFonts w:hint="eastAsia" w:ascii="宋体" w:hAnsi="宋体" w:eastAsia="宋体" w:cs="宋体"/>
          <w:color w:val="auto"/>
          <w:kern w:val="0"/>
          <w:szCs w:val="24"/>
          <w:highlight w:val="none"/>
          <w:lang w:val="zh-CN"/>
        </w:rPr>
        <w:t>；</w:t>
      </w:r>
    </w:p>
    <w:p w14:paraId="60DC3AD2">
      <w:pPr>
        <w:autoSpaceDE w:val="0"/>
        <w:autoSpaceDN w:val="0"/>
        <w:adjustRightInd w:val="0"/>
        <w:spacing w:line="360" w:lineRule="auto"/>
        <w:jc w:val="left"/>
        <w:rPr>
          <w:rFonts w:ascii="宋体" w:hAnsi="宋体" w:eastAsia="宋体" w:cs="宋体"/>
          <w:color w:val="auto"/>
          <w:szCs w:val="24"/>
          <w:highlight w:val="none"/>
          <w:lang w:val="zh-CN"/>
        </w:rPr>
      </w:pPr>
      <w:r>
        <w:rPr>
          <w:rFonts w:hint="eastAsia" w:ascii="宋体" w:hAnsi="宋体" w:eastAsia="宋体" w:cs="宋体"/>
          <w:color w:val="auto"/>
          <w:kern w:val="0"/>
          <w:szCs w:val="24"/>
          <w:highlight w:val="none"/>
          <w:lang w:val="zh-CN"/>
        </w:rPr>
        <w:t>（6）评标委员会的推荐</w:t>
      </w:r>
      <w:r>
        <w:rPr>
          <w:rFonts w:hint="eastAsia" w:ascii="宋体" w:hAnsi="宋体" w:eastAsia="宋体" w:cs="宋体"/>
          <w:color w:val="auto"/>
          <w:szCs w:val="24"/>
          <w:highlight w:val="none"/>
          <w:lang w:val="zh-CN"/>
        </w:rPr>
        <w:t>建议。</w:t>
      </w:r>
    </w:p>
    <w:p w14:paraId="0F4B48C2">
      <w:pPr>
        <w:autoSpaceDE w:val="0"/>
        <w:autoSpaceDN w:val="0"/>
        <w:adjustRightInd w:val="0"/>
        <w:spacing w:line="360" w:lineRule="auto"/>
        <w:jc w:val="center"/>
        <w:rPr>
          <w:rFonts w:ascii="宋体" w:hAnsi="宋体" w:eastAsia="宋体" w:cs="宋体"/>
          <w:b/>
          <w:bCs/>
          <w:color w:val="auto"/>
          <w:sz w:val="28"/>
          <w:szCs w:val="28"/>
          <w:highlight w:val="none"/>
          <w:lang w:val="zh-CN"/>
        </w:rPr>
      </w:pPr>
    </w:p>
    <w:p w14:paraId="1B288BFC">
      <w:pPr>
        <w:autoSpaceDE w:val="0"/>
        <w:autoSpaceDN w:val="0"/>
        <w:adjustRightInd w:val="0"/>
        <w:spacing w:line="360" w:lineRule="auto"/>
        <w:jc w:val="center"/>
        <w:rPr>
          <w:rFonts w:ascii="宋体" w:hAnsi="宋体" w:eastAsia="宋体" w:cs="宋体"/>
          <w:b/>
          <w:bCs/>
          <w:color w:val="auto"/>
          <w:sz w:val="30"/>
          <w:szCs w:val="30"/>
          <w:highlight w:val="none"/>
          <w:lang w:val="zh-CN"/>
        </w:rPr>
      </w:pPr>
      <w:bookmarkStart w:id="909" w:name="_Toc23773_WPSOffice_Level1"/>
      <w:r>
        <w:rPr>
          <w:rFonts w:hint="eastAsia" w:ascii="宋体" w:hAnsi="宋体" w:eastAsia="宋体" w:cs="宋体"/>
          <w:b/>
          <w:bCs/>
          <w:color w:val="auto"/>
          <w:sz w:val="28"/>
          <w:szCs w:val="28"/>
          <w:highlight w:val="none"/>
          <w:lang w:val="zh-CN"/>
        </w:rPr>
        <w:t>七、注意事项</w:t>
      </w:r>
      <w:bookmarkEnd w:id="909"/>
    </w:p>
    <w:p w14:paraId="55A3F641">
      <w:pPr>
        <w:autoSpaceDE w:val="0"/>
        <w:autoSpaceDN w:val="0"/>
        <w:adjustRightInd w:val="0"/>
        <w:spacing w:line="360" w:lineRule="auto"/>
        <w:ind w:left="420" w:hanging="420" w:hangingChars="2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w:t>
      </w:r>
      <w:r>
        <w:rPr>
          <w:rFonts w:ascii="宋体" w:hAnsi="宋体" w:eastAsia="宋体" w:cs="宋体"/>
          <w:color w:val="auto"/>
          <w:szCs w:val="24"/>
          <w:highlight w:val="none"/>
          <w:lang w:val="zh-CN"/>
        </w:rPr>
        <w:t>5</w:t>
      </w:r>
      <w:r>
        <w:rPr>
          <w:rFonts w:hint="eastAsia" w:ascii="宋体" w:hAnsi="宋体" w:eastAsia="宋体" w:cs="宋体"/>
          <w:color w:val="auto"/>
          <w:szCs w:val="24"/>
          <w:highlight w:val="none"/>
          <w:lang w:val="zh-CN"/>
        </w:rPr>
        <w:t>、为确保评审工作的顺利进行，防止因泄密或其它意外而造成的不良后果及影响，凡参加评审工作的人员都必须认真执行本规定：</w:t>
      </w:r>
    </w:p>
    <w:p w14:paraId="49EC021B">
      <w:pPr>
        <w:autoSpaceDE w:val="0"/>
        <w:autoSpaceDN w:val="0"/>
        <w:adjustRightInd w:val="0"/>
        <w:spacing w:line="360" w:lineRule="auto"/>
        <w:ind w:left="436" w:leftChars="-59" w:hanging="560" w:hangingChars="267"/>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（1）在评审工作期间，所有分发的投标文件、资料等仅限于在评审场所中使用，不得带往其它地方，所有的招标文件、投标文件、资料等一律编号登记；</w:t>
      </w:r>
    </w:p>
    <w:p w14:paraId="5DA3AB73">
      <w:pPr>
        <w:autoSpaceDE w:val="0"/>
        <w:autoSpaceDN w:val="0"/>
        <w:adjustRightInd w:val="0"/>
        <w:spacing w:line="360" w:lineRule="auto"/>
        <w:ind w:left="436" w:leftChars="-59" w:hanging="560" w:hangingChars="267"/>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（2）评审人员及工作人员不得在公共场合谈论有关评审内容；</w:t>
      </w:r>
    </w:p>
    <w:p w14:paraId="34D55D87">
      <w:pPr>
        <w:autoSpaceDE w:val="0"/>
        <w:autoSpaceDN w:val="0"/>
        <w:adjustRightInd w:val="0"/>
        <w:spacing w:line="360" w:lineRule="auto"/>
        <w:ind w:left="436" w:leftChars="-59" w:hanging="560" w:hangingChars="267"/>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3）评审人员及工作人员不得以书信、电讯、口述等方式将有关评审内容（如资料、投标文件、评审方式、评标委员会的决定、评审组织机构、评审人员名单等）披露给未参加评审的任何无关人员，包括上级领导、同级和下级人员，任何与评审无关的人员（包括亲朋好友和同事）不得进入评审场所；</w:t>
      </w:r>
    </w:p>
    <w:p w14:paraId="37253010">
      <w:pPr>
        <w:autoSpaceDE w:val="0"/>
        <w:autoSpaceDN w:val="0"/>
        <w:adjustRightInd w:val="0"/>
        <w:spacing w:line="360" w:lineRule="auto"/>
        <w:ind w:left="436" w:leftChars="-59" w:hanging="560" w:hangingChars="267"/>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（4）</w:t>
      </w:r>
      <w:r>
        <w:rPr>
          <w:rFonts w:hint="eastAsia" w:ascii="宋体" w:hAnsi="宋体" w:eastAsia="宋体" w:cs="宋体"/>
          <w:color w:val="auto"/>
          <w:szCs w:val="24"/>
          <w:highlight w:val="none"/>
        </w:rPr>
        <w:t>如有需要举行</w:t>
      </w:r>
      <w:r>
        <w:rPr>
          <w:rFonts w:hint="eastAsia" w:ascii="宋体" w:hAnsi="宋体" w:eastAsia="宋体" w:cs="宋体"/>
          <w:color w:val="auto"/>
          <w:szCs w:val="24"/>
          <w:highlight w:val="none"/>
          <w:lang w:val="zh-CN"/>
        </w:rPr>
        <w:t>澄清会，在举行与各投标人的澄清会之前评标委员会应明确参加会议的人员及主谈人。任何需要投标人在澄清会上澄清的问题必须经评标委员会成员签字并由主谈人提出。在澄清期间，对于涉及本规定保密范畴的所有内容，主谈人不得向投标人透露；</w:t>
      </w:r>
    </w:p>
    <w:p w14:paraId="52B5D7B9">
      <w:pPr>
        <w:widowControl/>
        <w:autoSpaceDE w:val="0"/>
        <w:autoSpaceDN w:val="0"/>
        <w:adjustRightInd w:val="0"/>
        <w:spacing w:line="360" w:lineRule="auto"/>
        <w:ind w:left="436" w:leftChars="-59" w:hanging="560" w:hangingChars="267"/>
        <w:jc w:val="left"/>
        <w:rPr>
          <w:rFonts w:hint="eastAsia" w:ascii="宋体" w:hAnsi="宋体" w:eastAsia="宋体" w:cs="宋体"/>
          <w:b w:val="0"/>
          <w:bCs w:val="0"/>
          <w:color w:val="auto"/>
          <w:szCs w:val="24"/>
          <w:highlight w:val="none"/>
          <w:lang w:val="zh-CN" w:eastAsia="zh-CN"/>
        </w:rPr>
      </w:pPr>
      <w:r>
        <w:rPr>
          <w:rFonts w:hint="eastAsia" w:ascii="宋体" w:hAnsi="宋体" w:eastAsia="宋体" w:cs="宋体"/>
          <w:color w:val="auto"/>
          <w:szCs w:val="24"/>
          <w:highlight w:val="none"/>
          <w:lang w:val="zh-CN"/>
        </w:rPr>
        <w:t>（5）任何评审人员和工作人员不得对外公布评审的一切内容。</w:t>
      </w:r>
      <w:bookmarkEnd w:id="869"/>
      <w:bookmarkEnd w:id="888"/>
      <w:bookmarkEnd w:id="889"/>
      <w:bookmarkEnd w:id="890"/>
    </w:p>
    <w:p w14:paraId="3A10D518">
      <w:pPr>
        <w:rPr>
          <w:rFonts w:hint="default"/>
          <w:color w:val="auto"/>
          <w:highlight w:val="none"/>
          <w:lang w:val="en-US" w:eastAsia="zh-CN"/>
        </w:rPr>
      </w:pPr>
    </w:p>
    <w:sectPr>
      <w:pgSz w:w="12240" w:h="15840"/>
      <w:pgMar w:top="1191" w:right="1043" w:bottom="1191" w:left="1043" w:header="720" w:footer="720" w:gutter="0"/>
      <w:pgNumType w:fmt="decimal"/>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Times">
    <w:altName w:val="Times New Roman"/>
    <w:panose1 w:val="02020603050405020304"/>
    <w:charset w:val="00"/>
    <w:family w:val="roman"/>
    <w:pitch w:val="default"/>
    <w:sig w:usb0="00000000" w:usb1="00000000" w:usb2="00000009" w:usb3="00000000" w:csb0="000001F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FrutigerNext LT Light">
    <w:altName w:val="宋体"/>
    <w:panose1 w:val="00000000000000000000"/>
    <w:charset w:val="86"/>
    <w:family w:val="swiss"/>
    <w:pitch w:val="default"/>
    <w:sig w:usb0="00000000" w:usb1="00000000" w:usb2="0000001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13173">
    <w:pPr>
      <w:pStyle w:val="37"/>
      <w:jc w:val="center"/>
    </w:pPr>
    <w:r>
      <w:rPr>
        <w:rFonts w:hint="eastAsia"/>
      </w:rPr>
      <w:t>第</w:t>
    </w:r>
    <w:r>
      <w:rPr>
        <w:bCs/>
      </w:rPr>
      <w:fldChar w:fldCharType="begin"/>
    </w:r>
    <w:r>
      <w:rPr>
        <w:bCs/>
      </w:rPr>
      <w:instrText xml:space="preserve">PAGE</w:instrText>
    </w:r>
    <w:r>
      <w:rPr>
        <w:bCs/>
      </w:rPr>
      <w:fldChar w:fldCharType="separate"/>
    </w:r>
    <w:r>
      <w:rPr>
        <w:bCs/>
      </w:rPr>
      <w:t>25</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69</w:t>
    </w:r>
    <w:r>
      <w:rPr>
        <w:bCs/>
      </w:rPr>
      <w:fldChar w:fldCharType="end"/>
    </w:r>
    <w:r>
      <w:rPr>
        <w:rFonts w:hint="eastAsia"/>
        <w:bCs/>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228353">
    <w:pPr>
      <w:pStyle w:val="37"/>
      <w:jc w:val="center"/>
    </w:pPr>
    <w:r>
      <w:rPr>
        <w:rFonts w:hint="eastAsia"/>
      </w:rPr>
      <w:t>第</w:t>
    </w:r>
    <w:r>
      <w:rPr>
        <w:bCs/>
      </w:rPr>
      <w:fldChar w:fldCharType="begin"/>
    </w:r>
    <w:r>
      <w:rPr>
        <w:bCs/>
      </w:rPr>
      <w:instrText xml:space="preserve">PAGE</w:instrText>
    </w:r>
    <w:r>
      <w:rPr>
        <w:bCs/>
      </w:rPr>
      <w:fldChar w:fldCharType="separate"/>
    </w:r>
    <w:r>
      <w:rPr>
        <w:bCs/>
      </w:rPr>
      <w:t>1</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69</w:t>
    </w:r>
    <w:r>
      <w:rPr>
        <w:bCs/>
      </w:rPr>
      <w:fldChar w:fldCharType="end"/>
    </w:r>
    <w:r>
      <w:rPr>
        <w:rFonts w:hint="eastAsia"/>
        <w:bCs/>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135495">
    <w:pPr>
      <w:pStyle w:val="37"/>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7FBA27">
                          <w:pPr>
                            <w:pStyle w:val="37"/>
                          </w:pPr>
                          <w:r>
                            <w:t xml:space="preserve">第 </w:t>
                          </w:r>
                          <w:r>
                            <w:fldChar w:fldCharType="begin"/>
                          </w:r>
                          <w:r>
                            <w:instrText xml:space="preserve"> PAGE  \* MERGEFORMAT </w:instrText>
                          </w:r>
                          <w:r>
                            <w:fldChar w:fldCharType="separate"/>
                          </w:r>
                          <w:r>
                            <w:t>80</w:t>
                          </w:r>
                          <w:r>
                            <w:fldChar w:fldCharType="end"/>
                          </w:r>
                          <w:r>
                            <w:t xml:space="preserve"> 页 共 </w:t>
                          </w:r>
                          <w:r>
                            <w:fldChar w:fldCharType="begin"/>
                          </w:r>
                          <w:r>
                            <w:instrText xml:space="preserve"> NUMPAGES  \* MERGEFORMAT </w:instrText>
                          </w:r>
                          <w:r>
                            <w:fldChar w:fldCharType="separate"/>
                          </w:r>
                          <w:r>
                            <w:t>146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057FBA27">
                    <w:pPr>
                      <w:pStyle w:val="37"/>
                    </w:pPr>
                    <w:r>
                      <w:t xml:space="preserve">第 </w:t>
                    </w:r>
                    <w:r>
                      <w:fldChar w:fldCharType="begin"/>
                    </w:r>
                    <w:r>
                      <w:instrText xml:space="preserve"> PAGE  \* MERGEFORMAT </w:instrText>
                    </w:r>
                    <w:r>
                      <w:fldChar w:fldCharType="separate"/>
                    </w:r>
                    <w:r>
                      <w:t>80</w:t>
                    </w:r>
                    <w:r>
                      <w:fldChar w:fldCharType="end"/>
                    </w:r>
                    <w:r>
                      <w:t xml:space="preserve"> 页 共 </w:t>
                    </w:r>
                    <w:r>
                      <w:fldChar w:fldCharType="begin"/>
                    </w:r>
                    <w:r>
                      <w:instrText xml:space="preserve"> NUMPAGES  \* MERGEFORMAT </w:instrText>
                    </w:r>
                    <w:r>
                      <w:fldChar w:fldCharType="separate"/>
                    </w:r>
                    <w:r>
                      <w:t>146</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397E8">
    <w:pPr>
      <w:pStyle w:val="37"/>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91B281">
                          <w:pPr>
                            <w:pStyle w:val="37"/>
                          </w:pPr>
                          <w:r>
                            <w:t xml:space="preserve">第 </w:t>
                          </w:r>
                          <w:r>
                            <w:fldChar w:fldCharType="begin"/>
                          </w:r>
                          <w:r>
                            <w:instrText xml:space="preserve"> PAGE  \* MERGEFORMAT </w:instrText>
                          </w:r>
                          <w:r>
                            <w:fldChar w:fldCharType="separate"/>
                          </w:r>
                          <w:r>
                            <w:t>79</w:t>
                          </w:r>
                          <w:r>
                            <w:fldChar w:fldCharType="end"/>
                          </w:r>
                          <w:r>
                            <w:t xml:space="preserve"> 页 共 </w:t>
                          </w:r>
                          <w:r>
                            <w:fldChar w:fldCharType="begin"/>
                          </w:r>
                          <w:r>
                            <w:instrText xml:space="preserve"> NUMPAGES  \* MERGEFORMAT </w:instrText>
                          </w:r>
                          <w:r>
                            <w:fldChar w:fldCharType="separate"/>
                          </w:r>
                          <w:r>
                            <w:t>146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0C91B281">
                    <w:pPr>
                      <w:pStyle w:val="37"/>
                    </w:pPr>
                    <w:r>
                      <w:t xml:space="preserve">第 </w:t>
                    </w:r>
                    <w:r>
                      <w:fldChar w:fldCharType="begin"/>
                    </w:r>
                    <w:r>
                      <w:instrText xml:space="preserve"> PAGE  \* MERGEFORMAT </w:instrText>
                    </w:r>
                    <w:r>
                      <w:fldChar w:fldCharType="separate"/>
                    </w:r>
                    <w:r>
                      <w:t>79</w:t>
                    </w:r>
                    <w:r>
                      <w:fldChar w:fldCharType="end"/>
                    </w:r>
                    <w:r>
                      <w:t xml:space="preserve"> 页 共 </w:t>
                    </w:r>
                    <w:r>
                      <w:fldChar w:fldCharType="begin"/>
                    </w:r>
                    <w:r>
                      <w:instrText xml:space="preserve"> NUMPAGES  \* MERGEFORMAT </w:instrText>
                    </w:r>
                    <w:r>
                      <w:fldChar w:fldCharType="separate"/>
                    </w:r>
                    <w:r>
                      <w:t>146</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745BD8">
    <w:pPr>
      <w:pStyle w:val="37"/>
      <w:jc w:val="cente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7F1EC8">
                          <w:pPr>
                            <w:pStyle w:val="37"/>
                          </w:pPr>
                          <w:r>
                            <w:t xml:space="preserve">第 </w:t>
                          </w:r>
                          <w:r>
                            <w:fldChar w:fldCharType="begin"/>
                          </w:r>
                          <w:r>
                            <w:instrText xml:space="preserve"> PAGE  \* MERGEFORMAT </w:instrText>
                          </w:r>
                          <w:r>
                            <w:fldChar w:fldCharType="separate"/>
                          </w:r>
                          <w:r>
                            <w:t>93</w:t>
                          </w:r>
                          <w:r>
                            <w:fldChar w:fldCharType="end"/>
                          </w:r>
                          <w:r>
                            <w:t xml:space="preserve"> 页 共 </w:t>
                          </w:r>
                          <w:r>
                            <w:fldChar w:fldCharType="begin"/>
                          </w:r>
                          <w:r>
                            <w:instrText xml:space="preserve"> NUMPAGES  \* MERGEFORMAT </w:instrText>
                          </w:r>
                          <w:r>
                            <w:fldChar w:fldCharType="separate"/>
                          </w:r>
                          <w:r>
                            <w:t>146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3F7F1EC8">
                    <w:pPr>
                      <w:pStyle w:val="37"/>
                    </w:pPr>
                    <w:r>
                      <w:t xml:space="preserve">第 </w:t>
                    </w:r>
                    <w:r>
                      <w:fldChar w:fldCharType="begin"/>
                    </w:r>
                    <w:r>
                      <w:instrText xml:space="preserve"> PAGE  \* MERGEFORMAT </w:instrText>
                    </w:r>
                    <w:r>
                      <w:fldChar w:fldCharType="separate"/>
                    </w:r>
                    <w:r>
                      <w:t>93</w:t>
                    </w:r>
                    <w:r>
                      <w:fldChar w:fldCharType="end"/>
                    </w:r>
                    <w:r>
                      <w:t xml:space="preserve"> 页 共 </w:t>
                    </w:r>
                    <w:r>
                      <w:fldChar w:fldCharType="begin"/>
                    </w:r>
                    <w:r>
                      <w:instrText xml:space="preserve"> NUMPAGES  \* MERGEFORMAT </w:instrText>
                    </w:r>
                    <w:r>
                      <w:fldChar w:fldCharType="separate"/>
                    </w:r>
                    <w:r>
                      <w:t>146</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473DC8">
    <w:pPr>
      <w:pStyle w:val="37"/>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08FD84">
                          <w:pPr>
                            <w:pStyle w:val="37"/>
                          </w:pPr>
                          <w:r>
                            <w:t xml:space="preserve">第 </w:t>
                          </w:r>
                          <w:r>
                            <w:fldChar w:fldCharType="begin"/>
                          </w:r>
                          <w:r>
                            <w:instrText xml:space="preserve"> PAGE  \* MERGEFORMAT </w:instrText>
                          </w:r>
                          <w:r>
                            <w:fldChar w:fldCharType="separate"/>
                          </w:r>
                          <w:r>
                            <w:t>92</w:t>
                          </w:r>
                          <w:r>
                            <w:fldChar w:fldCharType="end"/>
                          </w:r>
                          <w:r>
                            <w:t xml:space="preserve"> 页 共 </w:t>
                          </w:r>
                          <w:r>
                            <w:fldChar w:fldCharType="begin"/>
                          </w:r>
                          <w:r>
                            <w:instrText xml:space="preserve"> NUMPAGES  \* MERGEFORMAT </w:instrText>
                          </w:r>
                          <w:r>
                            <w:fldChar w:fldCharType="separate"/>
                          </w:r>
                          <w:r>
                            <w:t>146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7B08FD84">
                    <w:pPr>
                      <w:pStyle w:val="37"/>
                    </w:pPr>
                    <w:r>
                      <w:t xml:space="preserve">第 </w:t>
                    </w:r>
                    <w:r>
                      <w:fldChar w:fldCharType="begin"/>
                    </w:r>
                    <w:r>
                      <w:instrText xml:space="preserve"> PAGE  \* MERGEFORMAT </w:instrText>
                    </w:r>
                    <w:r>
                      <w:fldChar w:fldCharType="separate"/>
                    </w:r>
                    <w:r>
                      <w:t>92</w:t>
                    </w:r>
                    <w:r>
                      <w:fldChar w:fldCharType="end"/>
                    </w:r>
                    <w:r>
                      <w:t xml:space="preserve"> 页 共 </w:t>
                    </w:r>
                    <w:r>
                      <w:fldChar w:fldCharType="begin"/>
                    </w:r>
                    <w:r>
                      <w:instrText xml:space="preserve"> NUMPAGES  \* MERGEFORMAT </w:instrText>
                    </w:r>
                    <w:r>
                      <w:fldChar w:fldCharType="separate"/>
                    </w:r>
                    <w:r>
                      <w:t>146</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9D59B">
    <w:pPr>
      <w:pStyle w:val="37"/>
      <w:jc w:val="cente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8B6CBF">
                          <w:pPr>
                            <w:pStyle w:val="37"/>
                          </w:pPr>
                          <w:r>
                            <w:t xml:space="preserve">第 </w:t>
                          </w:r>
                          <w:r>
                            <w:fldChar w:fldCharType="begin"/>
                          </w:r>
                          <w:r>
                            <w:instrText xml:space="preserve"> PAGE  \* MERGEFORMAT </w:instrText>
                          </w:r>
                          <w:r>
                            <w:fldChar w:fldCharType="separate"/>
                          </w:r>
                          <w:r>
                            <w:t>97</w:t>
                          </w:r>
                          <w:r>
                            <w:fldChar w:fldCharType="end"/>
                          </w:r>
                          <w:r>
                            <w:t xml:space="preserve"> 页 共 </w:t>
                          </w:r>
                          <w:r>
                            <w:fldChar w:fldCharType="begin"/>
                          </w:r>
                          <w:r>
                            <w:instrText xml:space="preserve"> NUMPAGES  \* MERGEFORMAT </w:instrText>
                          </w:r>
                          <w:r>
                            <w:fldChar w:fldCharType="separate"/>
                          </w:r>
                          <w:r>
                            <w:t>146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14:paraId="578B6CBF">
                    <w:pPr>
                      <w:pStyle w:val="37"/>
                    </w:pPr>
                    <w:r>
                      <w:t xml:space="preserve">第 </w:t>
                    </w:r>
                    <w:r>
                      <w:fldChar w:fldCharType="begin"/>
                    </w:r>
                    <w:r>
                      <w:instrText xml:space="preserve"> PAGE  \* MERGEFORMAT </w:instrText>
                    </w:r>
                    <w:r>
                      <w:fldChar w:fldCharType="separate"/>
                    </w:r>
                    <w:r>
                      <w:t>97</w:t>
                    </w:r>
                    <w:r>
                      <w:fldChar w:fldCharType="end"/>
                    </w:r>
                    <w:r>
                      <w:t xml:space="preserve"> 页 共 </w:t>
                    </w:r>
                    <w:r>
                      <w:fldChar w:fldCharType="begin"/>
                    </w:r>
                    <w:r>
                      <w:instrText xml:space="preserve"> NUMPAGES  \* MERGEFORMAT </w:instrText>
                    </w:r>
                    <w:r>
                      <w:fldChar w:fldCharType="separate"/>
                    </w:r>
                    <w:r>
                      <w:t>146</w:t>
                    </w:r>
                    <w:r>
                      <w:fldChar w:fldCharType="end"/>
                    </w:r>
                    <w:r>
                      <w:t xml:space="preserve"> 页</w:t>
                    </w:r>
                  </w:p>
                </w:txbxContent>
              </v:textbox>
            </v:shape>
          </w:pict>
        </mc:Fallback>
      </mc:AlternateContent>
    </w:r>
  </w:p>
  <w:p w14:paraId="56342E98">
    <w:pPr>
      <w:pStyle w:val="3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D81756">
    <w:pPr>
      <w:pStyle w:val="37"/>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AD03EE">
                          <w:pPr>
                            <w:pStyle w:val="37"/>
                          </w:pPr>
                          <w:r>
                            <w:t xml:space="preserve">第 </w:t>
                          </w:r>
                          <w:r>
                            <w:fldChar w:fldCharType="begin"/>
                          </w:r>
                          <w:r>
                            <w:instrText xml:space="preserve"> PAGE  \* MERGEFORMAT </w:instrText>
                          </w:r>
                          <w:r>
                            <w:fldChar w:fldCharType="separate"/>
                          </w:r>
                          <w:r>
                            <w:t>96</w:t>
                          </w:r>
                          <w:r>
                            <w:fldChar w:fldCharType="end"/>
                          </w:r>
                          <w:r>
                            <w:t xml:space="preserve"> 页 共 </w:t>
                          </w:r>
                          <w:r>
                            <w:fldChar w:fldCharType="begin"/>
                          </w:r>
                          <w:r>
                            <w:instrText xml:space="preserve"> NUMPAGES  \* MERGEFORMAT </w:instrText>
                          </w:r>
                          <w:r>
                            <w:fldChar w:fldCharType="separate"/>
                          </w:r>
                          <w:r>
                            <w:t>146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79AD03EE">
                    <w:pPr>
                      <w:pStyle w:val="37"/>
                    </w:pPr>
                    <w:r>
                      <w:t xml:space="preserve">第 </w:t>
                    </w:r>
                    <w:r>
                      <w:fldChar w:fldCharType="begin"/>
                    </w:r>
                    <w:r>
                      <w:instrText xml:space="preserve"> PAGE  \* MERGEFORMAT </w:instrText>
                    </w:r>
                    <w:r>
                      <w:fldChar w:fldCharType="separate"/>
                    </w:r>
                    <w:r>
                      <w:t>96</w:t>
                    </w:r>
                    <w:r>
                      <w:fldChar w:fldCharType="end"/>
                    </w:r>
                    <w:r>
                      <w:t xml:space="preserve"> 页 共 </w:t>
                    </w:r>
                    <w:r>
                      <w:fldChar w:fldCharType="begin"/>
                    </w:r>
                    <w:r>
                      <w:instrText xml:space="preserve"> NUMPAGES  \* MERGEFORMAT </w:instrText>
                    </w:r>
                    <w:r>
                      <w:fldChar w:fldCharType="separate"/>
                    </w:r>
                    <w:r>
                      <w:t>146</w:t>
                    </w:r>
                    <w:r>
                      <w:fldChar w:fldCharType="end"/>
                    </w:r>
                    <w: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B28F89">
    <w:pPr>
      <w:pStyle w:val="37"/>
      <w:jc w:val="cente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94EB95">
                          <w:pPr>
                            <w:pStyle w:val="37"/>
                          </w:pPr>
                          <w:r>
                            <w:t xml:space="preserve">第 </w:t>
                          </w:r>
                          <w:r>
                            <w:fldChar w:fldCharType="begin"/>
                          </w:r>
                          <w:r>
                            <w:instrText xml:space="preserve"> PAGE  \* MERGEFORMAT </w:instrText>
                          </w:r>
                          <w:r>
                            <w:fldChar w:fldCharType="separate"/>
                          </w:r>
                          <w:r>
                            <w:t>101</w:t>
                          </w:r>
                          <w:r>
                            <w:fldChar w:fldCharType="end"/>
                          </w:r>
                          <w:r>
                            <w:t xml:space="preserve"> 页 共 </w:t>
                          </w:r>
                          <w:r>
                            <w:fldChar w:fldCharType="begin"/>
                          </w:r>
                          <w:r>
                            <w:instrText xml:space="preserve"> NUMPAGES  \* MERGEFORMAT </w:instrText>
                          </w:r>
                          <w:r>
                            <w:fldChar w:fldCharType="separate"/>
                          </w:r>
                          <w:r>
                            <w:t>113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994EB95">
                    <w:pPr>
                      <w:pStyle w:val="37"/>
                    </w:pPr>
                    <w:r>
                      <w:t xml:space="preserve">第 </w:t>
                    </w:r>
                    <w:r>
                      <w:fldChar w:fldCharType="begin"/>
                    </w:r>
                    <w:r>
                      <w:instrText xml:space="preserve"> PAGE  \* MERGEFORMAT </w:instrText>
                    </w:r>
                    <w:r>
                      <w:fldChar w:fldCharType="separate"/>
                    </w:r>
                    <w:r>
                      <w:t>101</w:t>
                    </w:r>
                    <w:r>
                      <w:fldChar w:fldCharType="end"/>
                    </w:r>
                    <w:r>
                      <w:t xml:space="preserve"> 页 共 </w:t>
                    </w:r>
                    <w:r>
                      <w:fldChar w:fldCharType="begin"/>
                    </w:r>
                    <w:r>
                      <w:instrText xml:space="preserve"> NUMPAGES  \* MERGEFORMAT </w:instrText>
                    </w:r>
                    <w:r>
                      <w:fldChar w:fldCharType="separate"/>
                    </w:r>
                    <w:r>
                      <w:t>113</w:t>
                    </w:r>
                    <w:r>
                      <w:fldChar w:fldCharType="end"/>
                    </w:r>
                    <w:r>
                      <w:t xml:space="preserve"> 页</w:t>
                    </w:r>
                  </w:p>
                </w:txbxContent>
              </v:textbox>
            </v:shape>
          </w:pict>
        </mc:Fallback>
      </mc:AlternateContent>
    </w:r>
  </w:p>
  <w:p w14:paraId="078E0ACF">
    <w:pPr>
      <w:pStyle w:val="37"/>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5016DD">
    <w:pPr>
      <w:pStyle w:val="37"/>
      <w:jc w:val="cen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4E52E0">
                          <w:pPr>
                            <w:pStyle w:val="37"/>
                          </w:pPr>
                          <w:r>
                            <w:t xml:space="preserve">第 </w:t>
                          </w:r>
                          <w:r>
                            <w:fldChar w:fldCharType="begin"/>
                          </w:r>
                          <w:r>
                            <w:instrText xml:space="preserve"> PAGE  \* MERGEFORMAT </w:instrText>
                          </w:r>
                          <w:r>
                            <w:fldChar w:fldCharType="separate"/>
                          </w:r>
                          <w:r>
                            <w:t>87</w:t>
                          </w:r>
                          <w:r>
                            <w:fldChar w:fldCharType="end"/>
                          </w:r>
                          <w:r>
                            <w:t xml:space="preserve"> 页 共 </w:t>
                          </w:r>
                          <w:r>
                            <w:fldChar w:fldCharType="begin"/>
                          </w:r>
                          <w:r>
                            <w:instrText xml:space="preserve"> NUMPAGES  \* MERGEFORMAT </w:instrText>
                          </w:r>
                          <w:r>
                            <w:fldChar w:fldCharType="separate"/>
                          </w:r>
                          <w:r>
                            <w:t>113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B4E52E0">
                    <w:pPr>
                      <w:pStyle w:val="37"/>
                    </w:pPr>
                    <w:r>
                      <w:t xml:space="preserve">第 </w:t>
                    </w:r>
                    <w:r>
                      <w:fldChar w:fldCharType="begin"/>
                    </w:r>
                    <w:r>
                      <w:instrText xml:space="preserve"> PAGE  \* MERGEFORMAT </w:instrText>
                    </w:r>
                    <w:r>
                      <w:fldChar w:fldCharType="separate"/>
                    </w:r>
                    <w:r>
                      <w:t>87</w:t>
                    </w:r>
                    <w:r>
                      <w:fldChar w:fldCharType="end"/>
                    </w:r>
                    <w:r>
                      <w:t xml:space="preserve"> 页 共 </w:t>
                    </w:r>
                    <w:r>
                      <w:fldChar w:fldCharType="begin"/>
                    </w:r>
                    <w:r>
                      <w:instrText xml:space="preserve"> NUMPAGES  \* MERGEFORMAT </w:instrText>
                    </w:r>
                    <w:r>
                      <w:fldChar w:fldCharType="separate"/>
                    </w:r>
                    <w:r>
                      <w:t>113</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AB2165"/>
    <w:multiLevelType w:val="singleLevel"/>
    <w:tmpl w:val="20AB2165"/>
    <w:lvl w:ilvl="0" w:tentative="0">
      <w:start w:val="1"/>
      <w:numFmt w:val="decimal"/>
      <w:suff w:val="nothing"/>
      <w:lvlText w:val="（%1）"/>
      <w:lvlJc w:val="left"/>
    </w:lvl>
  </w:abstractNum>
  <w:abstractNum w:abstractNumId="1">
    <w:nsid w:val="2F8D6FBB"/>
    <w:multiLevelType w:val="multilevel"/>
    <w:tmpl w:val="2F8D6FBB"/>
    <w:lvl w:ilvl="0" w:tentative="0">
      <w:start w:val="1"/>
      <w:numFmt w:val="decimal"/>
      <w:lvlText w:val="%1."/>
      <w:legacy w:legacy="1" w:legacySpace="0" w:legacyIndent="360"/>
      <w:lvlJc w:val="left"/>
      <w:rPr>
        <w:rFonts w:hint="eastAsia" w:ascii="宋体" w:hAnsi="宋体" w:eastAsia="宋体"/>
      </w:rPr>
    </w:lvl>
    <w:lvl w:ilvl="1" w:tentative="0">
      <w:start w:val="5"/>
      <w:numFmt w:val="decimal"/>
      <w:isLgl/>
      <w:lvlText w:val="%1.%2"/>
      <w:lvlJc w:val="left"/>
      <w:pPr>
        <w:tabs>
          <w:tab w:val="left" w:pos="0"/>
        </w:tabs>
        <w:ind w:left="0" w:firstLine="0"/>
      </w:pPr>
      <w:rPr>
        <w:rFonts w:hint="default"/>
      </w:rPr>
    </w:lvl>
    <w:lvl w:ilvl="2" w:tentative="0">
      <w:start w:val="1"/>
      <w:numFmt w:val="decimal"/>
      <w:isLgl/>
      <w:lvlText w:val="%1.%2.%3"/>
      <w:lvlJc w:val="left"/>
      <w:pPr>
        <w:tabs>
          <w:tab w:val="left" w:pos="0"/>
        </w:tabs>
        <w:ind w:left="0" w:firstLine="0"/>
      </w:pPr>
      <w:rPr>
        <w:rFonts w:hint="default"/>
      </w:rPr>
    </w:lvl>
    <w:lvl w:ilvl="3" w:tentative="0">
      <w:start w:val="1"/>
      <w:numFmt w:val="decimal"/>
      <w:isLgl/>
      <w:lvlText w:val="%1.%2.%3.%4"/>
      <w:lvlJc w:val="left"/>
      <w:pPr>
        <w:tabs>
          <w:tab w:val="left" w:pos="0"/>
        </w:tabs>
        <w:ind w:left="0" w:firstLine="0"/>
      </w:pPr>
      <w:rPr>
        <w:rFonts w:hint="default"/>
      </w:rPr>
    </w:lvl>
    <w:lvl w:ilvl="4" w:tentative="0">
      <w:start w:val="1"/>
      <w:numFmt w:val="decimal"/>
      <w:isLgl/>
      <w:lvlText w:val="%1.%2.%3.%4.%5"/>
      <w:lvlJc w:val="left"/>
      <w:pPr>
        <w:tabs>
          <w:tab w:val="left" w:pos="0"/>
        </w:tabs>
        <w:ind w:left="0" w:firstLine="0"/>
      </w:pPr>
      <w:rPr>
        <w:rFonts w:hint="default"/>
      </w:rPr>
    </w:lvl>
    <w:lvl w:ilvl="5" w:tentative="0">
      <w:start w:val="1"/>
      <w:numFmt w:val="decimal"/>
      <w:isLgl/>
      <w:lvlText w:val="%1.%2.%3.%4.%5.%6"/>
      <w:lvlJc w:val="left"/>
      <w:pPr>
        <w:tabs>
          <w:tab w:val="left" w:pos="0"/>
        </w:tabs>
        <w:ind w:left="0" w:firstLine="0"/>
      </w:pPr>
      <w:rPr>
        <w:rFonts w:hint="default"/>
      </w:rPr>
    </w:lvl>
    <w:lvl w:ilvl="6" w:tentative="0">
      <w:start w:val="1"/>
      <w:numFmt w:val="decimal"/>
      <w:isLgl/>
      <w:lvlText w:val="%1.%2.%3.%4.%5.%6.%7"/>
      <w:lvlJc w:val="left"/>
      <w:pPr>
        <w:tabs>
          <w:tab w:val="left" w:pos="0"/>
        </w:tabs>
        <w:ind w:left="0" w:firstLine="0"/>
      </w:pPr>
      <w:rPr>
        <w:rFonts w:hint="default"/>
      </w:rPr>
    </w:lvl>
    <w:lvl w:ilvl="7" w:tentative="0">
      <w:start w:val="1"/>
      <w:numFmt w:val="decimal"/>
      <w:isLgl/>
      <w:lvlText w:val="%1.%2.%3.%4.%5.%6.%7.%8"/>
      <w:lvlJc w:val="left"/>
      <w:pPr>
        <w:tabs>
          <w:tab w:val="left" w:pos="0"/>
        </w:tabs>
        <w:ind w:left="0" w:firstLine="0"/>
      </w:pPr>
      <w:rPr>
        <w:rFonts w:hint="default"/>
      </w:rPr>
    </w:lvl>
    <w:lvl w:ilvl="8" w:tentative="0">
      <w:start w:val="1"/>
      <w:numFmt w:val="decimal"/>
      <w:isLgl/>
      <w:lvlText w:val="%1.%2.%3.%4.%5.%6.%7.%8.%9"/>
      <w:lvlJc w:val="left"/>
      <w:pPr>
        <w:tabs>
          <w:tab w:val="left" w:pos="0"/>
        </w:tabs>
        <w:ind w:left="0" w:firstLine="0"/>
      </w:pPr>
      <w:rPr>
        <w:rFonts w:hint="default"/>
      </w:rPr>
    </w:lvl>
  </w:abstractNum>
  <w:abstractNum w:abstractNumId="2">
    <w:nsid w:val="41F7F887"/>
    <w:multiLevelType w:val="singleLevel"/>
    <w:tmpl w:val="41F7F887"/>
    <w:lvl w:ilvl="0" w:tentative="0">
      <w:start w:val="1"/>
      <w:numFmt w:val="decimal"/>
      <w:suff w:val="nothing"/>
      <w:lvlText w:val="（%1）"/>
      <w:lvlJc w:val="left"/>
    </w:lvl>
  </w:abstractNum>
  <w:abstractNum w:abstractNumId="3">
    <w:nsid w:val="4344E8F5"/>
    <w:multiLevelType w:val="singleLevel"/>
    <w:tmpl w:val="4344E8F5"/>
    <w:lvl w:ilvl="0" w:tentative="0">
      <w:start w:val="1"/>
      <w:numFmt w:val="bullet"/>
      <w:pStyle w:val="19"/>
      <w:lvlText w:val=""/>
      <w:lvlJc w:val="left"/>
      <w:pPr>
        <w:tabs>
          <w:tab w:val="left" w:pos="780"/>
        </w:tabs>
        <w:ind w:left="780" w:hanging="360"/>
      </w:pPr>
      <w:rPr>
        <w:rFonts w:hint="default" w:ascii="Wingdings" w:hAnsi="Wingdings"/>
      </w:rPr>
    </w:lvl>
  </w:abstractNum>
  <w:abstractNum w:abstractNumId="4">
    <w:nsid w:val="442A3BA7"/>
    <w:multiLevelType w:val="multilevel"/>
    <w:tmpl w:val="442A3BA7"/>
    <w:lvl w:ilvl="0" w:tentative="0">
      <w:start w:val="1"/>
      <w:numFmt w:val="decimal"/>
      <w:lvlText w:val="%1"/>
      <w:lvlJc w:val="left"/>
      <w:pPr>
        <w:ind w:left="360" w:hanging="360"/>
      </w:pPr>
      <w:rPr>
        <w:rFonts w:hint="default"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5ODM0YmMxOWJiYWQyNDU4MGIzYWRmYTA0ZmI5NDcifQ=="/>
  </w:docVars>
  <w:rsids>
    <w:rsidRoot w:val="00172A27"/>
    <w:rsid w:val="000011AE"/>
    <w:rsid w:val="00004430"/>
    <w:rsid w:val="00006AEC"/>
    <w:rsid w:val="00015A2E"/>
    <w:rsid w:val="000245A6"/>
    <w:rsid w:val="0002570D"/>
    <w:rsid w:val="00027708"/>
    <w:rsid w:val="00035595"/>
    <w:rsid w:val="00040BE6"/>
    <w:rsid w:val="00040F92"/>
    <w:rsid w:val="00046C4B"/>
    <w:rsid w:val="00052FA1"/>
    <w:rsid w:val="00054A52"/>
    <w:rsid w:val="00054D9C"/>
    <w:rsid w:val="000622F9"/>
    <w:rsid w:val="000640CD"/>
    <w:rsid w:val="000768C6"/>
    <w:rsid w:val="000770B9"/>
    <w:rsid w:val="0008097F"/>
    <w:rsid w:val="00084D8D"/>
    <w:rsid w:val="000853A8"/>
    <w:rsid w:val="00086BE3"/>
    <w:rsid w:val="00094AF8"/>
    <w:rsid w:val="000A31BD"/>
    <w:rsid w:val="000A34F7"/>
    <w:rsid w:val="000A65CD"/>
    <w:rsid w:val="000A73D7"/>
    <w:rsid w:val="000B4B09"/>
    <w:rsid w:val="000C1661"/>
    <w:rsid w:val="000C18B7"/>
    <w:rsid w:val="000C5D06"/>
    <w:rsid w:val="000C6A11"/>
    <w:rsid w:val="000D0B5D"/>
    <w:rsid w:val="000D5537"/>
    <w:rsid w:val="000D75D3"/>
    <w:rsid w:val="000E3ECA"/>
    <w:rsid w:val="000E4A4F"/>
    <w:rsid w:val="000E4D54"/>
    <w:rsid w:val="000E661C"/>
    <w:rsid w:val="000F0A84"/>
    <w:rsid w:val="000F3174"/>
    <w:rsid w:val="001059DC"/>
    <w:rsid w:val="0010738F"/>
    <w:rsid w:val="0011440A"/>
    <w:rsid w:val="00114519"/>
    <w:rsid w:val="001233ED"/>
    <w:rsid w:val="00127946"/>
    <w:rsid w:val="00131E91"/>
    <w:rsid w:val="00133A48"/>
    <w:rsid w:val="001450A8"/>
    <w:rsid w:val="001523C0"/>
    <w:rsid w:val="00152F07"/>
    <w:rsid w:val="0015711A"/>
    <w:rsid w:val="001644BA"/>
    <w:rsid w:val="001647C7"/>
    <w:rsid w:val="00165203"/>
    <w:rsid w:val="00166309"/>
    <w:rsid w:val="00170004"/>
    <w:rsid w:val="00172A27"/>
    <w:rsid w:val="00174AE6"/>
    <w:rsid w:val="001758D3"/>
    <w:rsid w:val="00177B51"/>
    <w:rsid w:val="0018078B"/>
    <w:rsid w:val="00183284"/>
    <w:rsid w:val="00183344"/>
    <w:rsid w:val="0019682B"/>
    <w:rsid w:val="001A1FCB"/>
    <w:rsid w:val="001B74B3"/>
    <w:rsid w:val="001C2086"/>
    <w:rsid w:val="001C4AC2"/>
    <w:rsid w:val="001C6FAA"/>
    <w:rsid w:val="001D00B3"/>
    <w:rsid w:val="001D5A65"/>
    <w:rsid w:val="001D6B15"/>
    <w:rsid w:val="001E4158"/>
    <w:rsid w:val="001E6227"/>
    <w:rsid w:val="001E63B6"/>
    <w:rsid w:val="001E6DD8"/>
    <w:rsid w:val="001F0290"/>
    <w:rsid w:val="001F3ADA"/>
    <w:rsid w:val="001F6A01"/>
    <w:rsid w:val="00202DB9"/>
    <w:rsid w:val="0021079E"/>
    <w:rsid w:val="00215B7A"/>
    <w:rsid w:val="00223D5B"/>
    <w:rsid w:val="0022528C"/>
    <w:rsid w:val="002258BB"/>
    <w:rsid w:val="00225B7D"/>
    <w:rsid w:val="002260FC"/>
    <w:rsid w:val="002315B7"/>
    <w:rsid w:val="002347FE"/>
    <w:rsid w:val="0024360C"/>
    <w:rsid w:val="002451A7"/>
    <w:rsid w:val="00247373"/>
    <w:rsid w:val="00260C05"/>
    <w:rsid w:val="00261575"/>
    <w:rsid w:val="00262407"/>
    <w:rsid w:val="002652FF"/>
    <w:rsid w:val="00275E0E"/>
    <w:rsid w:val="0028146F"/>
    <w:rsid w:val="002831F6"/>
    <w:rsid w:val="00290CBF"/>
    <w:rsid w:val="0029590E"/>
    <w:rsid w:val="002A3EB3"/>
    <w:rsid w:val="002B1734"/>
    <w:rsid w:val="002B5DBC"/>
    <w:rsid w:val="002B7423"/>
    <w:rsid w:val="002B7CA9"/>
    <w:rsid w:val="002C4A4A"/>
    <w:rsid w:val="002D0003"/>
    <w:rsid w:val="002D1442"/>
    <w:rsid w:val="002E4079"/>
    <w:rsid w:val="002F68EE"/>
    <w:rsid w:val="002F7DEF"/>
    <w:rsid w:val="003014E2"/>
    <w:rsid w:val="00302D85"/>
    <w:rsid w:val="00303F39"/>
    <w:rsid w:val="0030753D"/>
    <w:rsid w:val="00311DA1"/>
    <w:rsid w:val="003121B1"/>
    <w:rsid w:val="0031709C"/>
    <w:rsid w:val="003223D5"/>
    <w:rsid w:val="00322AA4"/>
    <w:rsid w:val="00325EF0"/>
    <w:rsid w:val="00326230"/>
    <w:rsid w:val="00326290"/>
    <w:rsid w:val="00330DA7"/>
    <w:rsid w:val="0033208E"/>
    <w:rsid w:val="00332C2D"/>
    <w:rsid w:val="00335872"/>
    <w:rsid w:val="003462FF"/>
    <w:rsid w:val="00347A73"/>
    <w:rsid w:val="00347CB0"/>
    <w:rsid w:val="00352495"/>
    <w:rsid w:val="00353707"/>
    <w:rsid w:val="00354BE6"/>
    <w:rsid w:val="0035524D"/>
    <w:rsid w:val="00357E51"/>
    <w:rsid w:val="003628C2"/>
    <w:rsid w:val="00364854"/>
    <w:rsid w:val="00366BB7"/>
    <w:rsid w:val="003721DF"/>
    <w:rsid w:val="003748D5"/>
    <w:rsid w:val="0037694B"/>
    <w:rsid w:val="00381E11"/>
    <w:rsid w:val="003824D1"/>
    <w:rsid w:val="00393CBD"/>
    <w:rsid w:val="00395C76"/>
    <w:rsid w:val="003A2B25"/>
    <w:rsid w:val="003A5520"/>
    <w:rsid w:val="003B077B"/>
    <w:rsid w:val="003B3342"/>
    <w:rsid w:val="003B5C9C"/>
    <w:rsid w:val="003C193B"/>
    <w:rsid w:val="003D0D72"/>
    <w:rsid w:val="003D17A4"/>
    <w:rsid w:val="003D39E2"/>
    <w:rsid w:val="003D3F68"/>
    <w:rsid w:val="003E006E"/>
    <w:rsid w:val="003E30F8"/>
    <w:rsid w:val="003E399E"/>
    <w:rsid w:val="003E6830"/>
    <w:rsid w:val="003F3875"/>
    <w:rsid w:val="003F42C0"/>
    <w:rsid w:val="003F51B0"/>
    <w:rsid w:val="004033E1"/>
    <w:rsid w:val="00405E84"/>
    <w:rsid w:val="0040607F"/>
    <w:rsid w:val="00416146"/>
    <w:rsid w:val="00417860"/>
    <w:rsid w:val="00420A7A"/>
    <w:rsid w:val="004235AF"/>
    <w:rsid w:val="0042558D"/>
    <w:rsid w:val="00427A89"/>
    <w:rsid w:val="0043107A"/>
    <w:rsid w:val="00432C43"/>
    <w:rsid w:val="004359C6"/>
    <w:rsid w:val="004360FC"/>
    <w:rsid w:val="004378C7"/>
    <w:rsid w:val="00437B9C"/>
    <w:rsid w:val="00437FC4"/>
    <w:rsid w:val="00441805"/>
    <w:rsid w:val="00445773"/>
    <w:rsid w:val="004551D1"/>
    <w:rsid w:val="0045753C"/>
    <w:rsid w:val="004577C3"/>
    <w:rsid w:val="0046038A"/>
    <w:rsid w:val="00460F3E"/>
    <w:rsid w:val="00464570"/>
    <w:rsid w:val="004761B2"/>
    <w:rsid w:val="00481AFA"/>
    <w:rsid w:val="0049337D"/>
    <w:rsid w:val="004B093D"/>
    <w:rsid w:val="004B14B8"/>
    <w:rsid w:val="004B604C"/>
    <w:rsid w:val="004E4ADE"/>
    <w:rsid w:val="004E5028"/>
    <w:rsid w:val="004E5F4E"/>
    <w:rsid w:val="004F2802"/>
    <w:rsid w:val="00500B9E"/>
    <w:rsid w:val="00503499"/>
    <w:rsid w:val="00506501"/>
    <w:rsid w:val="00507BC4"/>
    <w:rsid w:val="00513DB6"/>
    <w:rsid w:val="00524E92"/>
    <w:rsid w:val="00531E28"/>
    <w:rsid w:val="005344B1"/>
    <w:rsid w:val="005423E7"/>
    <w:rsid w:val="005572B4"/>
    <w:rsid w:val="0056010A"/>
    <w:rsid w:val="00563302"/>
    <w:rsid w:val="00571307"/>
    <w:rsid w:val="005743EA"/>
    <w:rsid w:val="00576F2E"/>
    <w:rsid w:val="00581210"/>
    <w:rsid w:val="00581FC3"/>
    <w:rsid w:val="005832B2"/>
    <w:rsid w:val="005851F1"/>
    <w:rsid w:val="005910B4"/>
    <w:rsid w:val="00596A23"/>
    <w:rsid w:val="005B735D"/>
    <w:rsid w:val="005C4A71"/>
    <w:rsid w:val="005C6F40"/>
    <w:rsid w:val="005D4119"/>
    <w:rsid w:val="005D66C2"/>
    <w:rsid w:val="005E2AC9"/>
    <w:rsid w:val="005E4D67"/>
    <w:rsid w:val="005F3D7C"/>
    <w:rsid w:val="00602D7E"/>
    <w:rsid w:val="00603BD0"/>
    <w:rsid w:val="0060555D"/>
    <w:rsid w:val="00606161"/>
    <w:rsid w:val="006062B3"/>
    <w:rsid w:val="00612EB1"/>
    <w:rsid w:val="0061352C"/>
    <w:rsid w:val="006165C8"/>
    <w:rsid w:val="006175B4"/>
    <w:rsid w:val="00617AAD"/>
    <w:rsid w:val="00621CDC"/>
    <w:rsid w:val="006229B2"/>
    <w:rsid w:val="00625E3D"/>
    <w:rsid w:val="00630B61"/>
    <w:rsid w:val="006402A6"/>
    <w:rsid w:val="00644B65"/>
    <w:rsid w:val="006530F8"/>
    <w:rsid w:val="006537BE"/>
    <w:rsid w:val="006654C0"/>
    <w:rsid w:val="00681997"/>
    <w:rsid w:val="0068405C"/>
    <w:rsid w:val="00691017"/>
    <w:rsid w:val="0069152C"/>
    <w:rsid w:val="006948CE"/>
    <w:rsid w:val="00695AA7"/>
    <w:rsid w:val="006A29A5"/>
    <w:rsid w:val="006A2BD9"/>
    <w:rsid w:val="006A3C57"/>
    <w:rsid w:val="006A4F83"/>
    <w:rsid w:val="006A5072"/>
    <w:rsid w:val="006B5151"/>
    <w:rsid w:val="006C2D84"/>
    <w:rsid w:val="006C2F7D"/>
    <w:rsid w:val="006C3580"/>
    <w:rsid w:val="006C3F4D"/>
    <w:rsid w:val="006C6349"/>
    <w:rsid w:val="006D479F"/>
    <w:rsid w:val="006E2E51"/>
    <w:rsid w:val="006F4BBB"/>
    <w:rsid w:val="006F6DB2"/>
    <w:rsid w:val="00704B3A"/>
    <w:rsid w:val="00710CF8"/>
    <w:rsid w:val="00711E08"/>
    <w:rsid w:val="007138FD"/>
    <w:rsid w:val="00716BB1"/>
    <w:rsid w:val="007172FD"/>
    <w:rsid w:val="007200C8"/>
    <w:rsid w:val="007215F6"/>
    <w:rsid w:val="00721BAA"/>
    <w:rsid w:val="00737401"/>
    <w:rsid w:val="00745968"/>
    <w:rsid w:val="00747A3E"/>
    <w:rsid w:val="007730C9"/>
    <w:rsid w:val="00775150"/>
    <w:rsid w:val="00776B48"/>
    <w:rsid w:val="0078099D"/>
    <w:rsid w:val="00787DE8"/>
    <w:rsid w:val="007942D8"/>
    <w:rsid w:val="00794983"/>
    <w:rsid w:val="00796ED7"/>
    <w:rsid w:val="007A7740"/>
    <w:rsid w:val="007B00BF"/>
    <w:rsid w:val="007B4F1D"/>
    <w:rsid w:val="007B5997"/>
    <w:rsid w:val="007C002A"/>
    <w:rsid w:val="007C024B"/>
    <w:rsid w:val="007C4664"/>
    <w:rsid w:val="007D408A"/>
    <w:rsid w:val="007D4A5A"/>
    <w:rsid w:val="007D6B20"/>
    <w:rsid w:val="007E0673"/>
    <w:rsid w:val="007E32FC"/>
    <w:rsid w:val="007F01A2"/>
    <w:rsid w:val="007F0378"/>
    <w:rsid w:val="007F2ABC"/>
    <w:rsid w:val="007F7FEC"/>
    <w:rsid w:val="0081027D"/>
    <w:rsid w:val="00817B3D"/>
    <w:rsid w:val="00822299"/>
    <w:rsid w:val="008228AE"/>
    <w:rsid w:val="008270D5"/>
    <w:rsid w:val="008279A7"/>
    <w:rsid w:val="00831B7F"/>
    <w:rsid w:val="0085250F"/>
    <w:rsid w:val="008525D6"/>
    <w:rsid w:val="0085388E"/>
    <w:rsid w:val="00856F5E"/>
    <w:rsid w:val="008604D1"/>
    <w:rsid w:val="00861DAB"/>
    <w:rsid w:val="008659E9"/>
    <w:rsid w:val="00867FFD"/>
    <w:rsid w:val="0087095D"/>
    <w:rsid w:val="00871835"/>
    <w:rsid w:val="00871F12"/>
    <w:rsid w:val="00875420"/>
    <w:rsid w:val="00876184"/>
    <w:rsid w:val="00880A50"/>
    <w:rsid w:val="00884732"/>
    <w:rsid w:val="0089007C"/>
    <w:rsid w:val="008928AE"/>
    <w:rsid w:val="00893092"/>
    <w:rsid w:val="00894583"/>
    <w:rsid w:val="008A4C9B"/>
    <w:rsid w:val="008B08C5"/>
    <w:rsid w:val="008B6384"/>
    <w:rsid w:val="008B6557"/>
    <w:rsid w:val="008B74A7"/>
    <w:rsid w:val="008C02C2"/>
    <w:rsid w:val="008C1CB3"/>
    <w:rsid w:val="008C7F21"/>
    <w:rsid w:val="008D1795"/>
    <w:rsid w:val="008D4357"/>
    <w:rsid w:val="008D565D"/>
    <w:rsid w:val="008D6357"/>
    <w:rsid w:val="008E5EA1"/>
    <w:rsid w:val="008E6AB7"/>
    <w:rsid w:val="008F13C0"/>
    <w:rsid w:val="008F38EE"/>
    <w:rsid w:val="009001CB"/>
    <w:rsid w:val="009004F6"/>
    <w:rsid w:val="00900F88"/>
    <w:rsid w:val="009077A0"/>
    <w:rsid w:val="009113DE"/>
    <w:rsid w:val="00913121"/>
    <w:rsid w:val="009171D5"/>
    <w:rsid w:val="00917709"/>
    <w:rsid w:val="00917C84"/>
    <w:rsid w:val="009220F2"/>
    <w:rsid w:val="009227C1"/>
    <w:rsid w:val="00923EDB"/>
    <w:rsid w:val="00925D9A"/>
    <w:rsid w:val="00926978"/>
    <w:rsid w:val="00932BD9"/>
    <w:rsid w:val="00943742"/>
    <w:rsid w:val="0094670F"/>
    <w:rsid w:val="009479D0"/>
    <w:rsid w:val="00961BA9"/>
    <w:rsid w:val="00967923"/>
    <w:rsid w:val="009701D2"/>
    <w:rsid w:val="00970774"/>
    <w:rsid w:val="00972FAE"/>
    <w:rsid w:val="0097462A"/>
    <w:rsid w:val="00986292"/>
    <w:rsid w:val="00987779"/>
    <w:rsid w:val="009A2AA5"/>
    <w:rsid w:val="009A63FB"/>
    <w:rsid w:val="009B55D4"/>
    <w:rsid w:val="009B787A"/>
    <w:rsid w:val="009B7A49"/>
    <w:rsid w:val="009B7AD9"/>
    <w:rsid w:val="009C387D"/>
    <w:rsid w:val="009C571F"/>
    <w:rsid w:val="009D0461"/>
    <w:rsid w:val="009D4188"/>
    <w:rsid w:val="009D4EFC"/>
    <w:rsid w:val="009D7FA3"/>
    <w:rsid w:val="009E216D"/>
    <w:rsid w:val="009E2C49"/>
    <w:rsid w:val="009E6283"/>
    <w:rsid w:val="009E63CA"/>
    <w:rsid w:val="009F34CB"/>
    <w:rsid w:val="009F7460"/>
    <w:rsid w:val="00A03E44"/>
    <w:rsid w:val="00A075A8"/>
    <w:rsid w:val="00A10A7B"/>
    <w:rsid w:val="00A15F6A"/>
    <w:rsid w:val="00A311C2"/>
    <w:rsid w:val="00A32233"/>
    <w:rsid w:val="00A36A24"/>
    <w:rsid w:val="00A376FB"/>
    <w:rsid w:val="00A45306"/>
    <w:rsid w:val="00A45D73"/>
    <w:rsid w:val="00A62F8C"/>
    <w:rsid w:val="00A64725"/>
    <w:rsid w:val="00A6666A"/>
    <w:rsid w:val="00A73490"/>
    <w:rsid w:val="00A819B6"/>
    <w:rsid w:val="00A91C8B"/>
    <w:rsid w:val="00A95824"/>
    <w:rsid w:val="00AB2EDC"/>
    <w:rsid w:val="00AB47F4"/>
    <w:rsid w:val="00AC136E"/>
    <w:rsid w:val="00AC1F6A"/>
    <w:rsid w:val="00AC413D"/>
    <w:rsid w:val="00AD3A9D"/>
    <w:rsid w:val="00AD558A"/>
    <w:rsid w:val="00AD79D3"/>
    <w:rsid w:val="00AE5434"/>
    <w:rsid w:val="00AE6DBF"/>
    <w:rsid w:val="00AE75DB"/>
    <w:rsid w:val="00B0092D"/>
    <w:rsid w:val="00B01C60"/>
    <w:rsid w:val="00B01D22"/>
    <w:rsid w:val="00B03A00"/>
    <w:rsid w:val="00B0445D"/>
    <w:rsid w:val="00B0447C"/>
    <w:rsid w:val="00B05E53"/>
    <w:rsid w:val="00B072AA"/>
    <w:rsid w:val="00B10650"/>
    <w:rsid w:val="00B10E08"/>
    <w:rsid w:val="00B11436"/>
    <w:rsid w:val="00B12341"/>
    <w:rsid w:val="00B25D19"/>
    <w:rsid w:val="00B359D9"/>
    <w:rsid w:val="00B35BC7"/>
    <w:rsid w:val="00B40B8B"/>
    <w:rsid w:val="00B4404D"/>
    <w:rsid w:val="00B50993"/>
    <w:rsid w:val="00B561ED"/>
    <w:rsid w:val="00B63168"/>
    <w:rsid w:val="00B63E9B"/>
    <w:rsid w:val="00B64963"/>
    <w:rsid w:val="00B70085"/>
    <w:rsid w:val="00B7099F"/>
    <w:rsid w:val="00B71873"/>
    <w:rsid w:val="00B72A5D"/>
    <w:rsid w:val="00B736B7"/>
    <w:rsid w:val="00B73C45"/>
    <w:rsid w:val="00B82E01"/>
    <w:rsid w:val="00B84DD7"/>
    <w:rsid w:val="00B91811"/>
    <w:rsid w:val="00B94460"/>
    <w:rsid w:val="00B9561A"/>
    <w:rsid w:val="00BA437F"/>
    <w:rsid w:val="00BA5C29"/>
    <w:rsid w:val="00BB6C9A"/>
    <w:rsid w:val="00BC0594"/>
    <w:rsid w:val="00BC11FC"/>
    <w:rsid w:val="00BC1F54"/>
    <w:rsid w:val="00BC4C9D"/>
    <w:rsid w:val="00BC54FC"/>
    <w:rsid w:val="00BD2118"/>
    <w:rsid w:val="00BD5092"/>
    <w:rsid w:val="00BD5997"/>
    <w:rsid w:val="00BE6F50"/>
    <w:rsid w:val="00BF1BA3"/>
    <w:rsid w:val="00BF588D"/>
    <w:rsid w:val="00C03447"/>
    <w:rsid w:val="00C07EF5"/>
    <w:rsid w:val="00C128FE"/>
    <w:rsid w:val="00C13304"/>
    <w:rsid w:val="00C1777A"/>
    <w:rsid w:val="00C212E3"/>
    <w:rsid w:val="00C21991"/>
    <w:rsid w:val="00C22FAE"/>
    <w:rsid w:val="00C24C44"/>
    <w:rsid w:val="00C26B0C"/>
    <w:rsid w:val="00C30F18"/>
    <w:rsid w:val="00C331D1"/>
    <w:rsid w:val="00C35958"/>
    <w:rsid w:val="00C36B5B"/>
    <w:rsid w:val="00C372A8"/>
    <w:rsid w:val="00C375FF"/>
    <w:rsid w:val="00C40848"/>
    <w:rsid w:val="00C50E47"/>
    <w:rsid w:val="00C562AA"/>
    <w:rsid w:val="00C574F4"/>
    <w:rsid w:val="00C747C6"/>
    <w:rsid w:val="00C756C3"/>
    <w:rsid w:val="00C80F66"/>
    <w:rsid w:val="00C84AE8"/>
    <w:rsid w:val="00C85D1B"/>
    <w:rsid w:val="00C96DDA"/>
    <w:rsid w:val="00CA7F1F"/>
    <w:rsid w:val="00CB5D3E"/>
    <w:rsid w:val="00CC4C46"/>
    <w:rsid w:val="00CC6AAB"/>
    <w:rsid w:val="00CC77FF"/>
    <w:rsid w:val="00CC7CF5"/>
    <w:rsid w:val="00CE3C5A"/>
    <w:rsid w:val="00CE59C6"/>
    <w:rsid w:val="00CE7586"/>
    <w:rsid w:val="00D03659"/>
    <w:rsid w:val="00D03EDF"/>
    <w:rsid w:val="00D074CA"/>
    <w:rsid w:val="00D10DC0"/>
    <w:rsid w:val="00D11555"/>
    <w:rsid w:val="00D13D6D"/>
    <w:rsid w:val="00D20C74"/>
    <w:rsid w:val="00D24FD7"/>
    <w:rsid w:val="00D25647"/>
    <w:rsid w:val="00D34FE4"/>
    <w:rsid w:val="00D377A7"/>
    <w:rsid w:val="00D44C95"/>
    <w:rsid w:val="00D452A7"/>
    <w:rsid w:val="00D4584F"/>
    <w:rsid w:val="00D54725"/>
    <w:rsid w:val="00D559FF"/>
    <w:rsid w:val="00D62B8C"/>
    <w:rsid w:val="00D63276"/>
    <w:rsid w:val="00D66F39"/>
    <w:rsid w:val="00D84B36"/>
    <w:rsid w:val="00D85853"/>
    <w:rsid w:val="00D936A0"/>
    <w:rsid w:val="00D95838"/>
    <w:rsid w:val="00D97162"/>
    <w:rsid w:val="00D97CE9"/>
    <w:rsid w:val="00DA36E7"/>
    <w:rsid w:val="00DA4FC7"/>
    <w:rsid w:val="00DA550D"/>
    <w:rsid w:val="00DA7017"/>
    <w:rsid w:val="00DB13DD"/>
    <w:rsid w:val="00DB1B31"/>
    <w:rsid w:val="00DB1C27"/>
    <w:rsid w:val="00DB38EE"/>
    <w:rsid w:val="00DB7973"/>
    <w:rsid w:val="00DC13AB"/>
    <w:rsid w:val="00DC5EF2"/>
    <w:rsid w:val="00DC7EF7"/>
    <w:rsid w:val="00DD6B5E"/>
    <w:rsid w:val="00DD6BD4"/>
    <w:rsid w:val="00DE5E58"/>
    <w:rsid w:val="00DE7B46"/>
    <w:rsid w:val="00E0162C"/>
    <w:rsid w:val="00E11487"/>
    <w:rsid w:val="00E14ACC"/>
    <w:rsid w:val="00E15A8C"/>
    <w:rsid w:val="00E4144C"/>
    <w:rsid w:val="00E44F84"/>
    <w:rsid w:val="00E463C6"/>
    <w:rsid w:val="00E53121"/>
    <w:rsid w:val="00E5318E"/>
    <w:rsid w:val="00E53532"/>
    <w:rsid w:val="00E6034D"/>
    <w:rsid w:val="00E71967"/>
    <w:rsid w:val="00E754B1"/>
    <w:rsid w:val="00E801B5"/>
    <w:rsid w:val="00E905E8"/>
    <w:rsid w:val="00E93F56"/>
    <w:rsid w:val="00E952D9"/>
    <w:rsid w:val="00E96773"/>
    <w:rsid w:val="00E97CB9"/>
    <w:rsid w:val="00EB27E9"/>
    <w:rsid w:val="00EB37C9"/>
    <w:rsid w:val="00EB7E60"/>
    <w:rsid w:val="00EC134E"/>
    <w:rsid w:val="00ED0445"/>
    <w:rsid w:val="00ED3BD8"/>
    <w:rsid w:val="00ED3C3B"/>
    <w:rsid w:val="00EE48C3"/>
    <w:rsid w:val="00EF199D"/>
    <w:rsid w:val="00EF4E12"/>
    <w:rsid w:val="00EF5326"/>
    <w:rsid w:val="00EF65F3"/>
    <w:rsid w:val="00F01510"/>
    <w:rsid w:val="00F02A6D"/>
    <w:rsid w:val="00F0424C"/>
    <w:rsid w:val="00F10495"/>
    <w:rsid w:val="00F10DA8"/>
    <w:rsid w:val="00F1168A"/>
    <w:rsid w:val="00F12A10"/>
    <w:rsid w:val="00F2391C"/>
    <w:rsid w:val="00F31E30"/>
    <w:rsid w:val="00F3326F"/>
    <w:rsid w:val="00F34781"/>
    <w:rsid w:val="00F41A5D"/>
    <w:rsid w:val="00F431B9"/>
    <w:rsid w:val="00F470A2"/>
    <w:rsid w:val="00F51F93"/>
    <w:rsid w:val="00F552E5"/>
    <w:rsid w:val="00F56AA8"/>
    <w:rsid w:val="00F67C91"/>
    <w:rsid w:val="00F723F9"/>
    <w:rsid w:val="00F82315"/>
    <w:rsid w:val="00F83D3C"/>
    <w:rsid w:val="00F840D6"/>
    <w:rsid w:val="00F8691C"/>
    <w:rsid w:val="00F900BE"/>
    <w:rsid w:val="00F97392"/>
    <w:rsid w:val="00F97DF6"/>
    <w:rsid w:val="00FA4EEC"/>
    <w:rsid w:val="00FB335B"/>
    <w:rsid w:val="00FB4EAA"/>
    <w:rsid w:val="00FC5512"/>
    <w:rsid w:val="00FC6366"/>
    <w:rsid w:val="00FD0CD9"/>
    <w:rsid w:val="00FD4970"/>
    <w:rsid w:val="00FD6927"/>
    <w:rsid w:val="00FE02D9"/>
    <w:rsid w:val="00FE14F9"/>
    <w:rsid w:val="00FF2EFF"/>
    <w:rsid w:val="00FF4843"/>
    <w:rsid w:val="00FF5EEA"/>
    <w:rsid w:val="01033810"/>
    <w:rsid w:val="01213882"/>
    <w:rsid w:val="012F17FD"/>
    <w:rsid w:val="014D28C9"/>
    <w:rsid w:val="014E1402"/>
    <w:rsid w:val="015059EE"/>
    <w:rsid w:val="01606485"/>
    <w:rsid w:val="01655E65"/>
    <w:rsid w:val="01710365"/>
    <w:rsid w:val="01970CE9"/>
    <w:rsid w:val="01BB3CD7"/>
    <w:rsid w:val="01BD616A"/>
    <w:rsid w:val="01D63A04"/>
    <w:rsid w:val="01F82835"/>
    <w:rsid w:val="02173FD8"/>
    <w:rsid w:val="02182ED7"/>
    <w:rsid w:val="02511F45"/>
    <w:rsid w:val="025657AD"/>
    <w:rsid w:val="025A34EF"/>
    <w:rsid w:val="025C3910"/>
    <w:rsid w:val="028D5007"/>
    <w:rsid w:val="02D20623"/>
    <w:rsid w:val="02D34569"/>
    <w:rsid w:val="02D432A2"/>
    <w:rsid w:val="02F079B0"/>
    <w:rsid w:val="02F343D6"/>
    <w:rsid w:val="02F85AA2"/>
    <w:rsid w:val="03004097"/>
    <w:rsid w:val="03211F11"/>
    <w:rsid w:val="0334789D"/>
    <w:rsid w:val="033E0386"/>
    <w:rsid w:val="03525F75"/>
    <w:rsid w:val="035622D5"/>
    <w:rsid w:val="0376262C"/>
    <w:rsid w:val="0383270D"/>
    <w:rsid w:val="03AB72E4"/>
    <w:rsid w:val="03AF22EC"/>
    <w:rsid w:val="03B50F2A"/>
    <w:rsid w:val="03B677F7"/>
    <w:rsid w:val="03E0798B"/>
    <w:rsid w:val="03E312C3"/>
    <w:rsid w:val="03EA068F"/>
    <w:rsid w:val="03EA2651"/>
    <w:rsid w:val="03EC461B"/>
    <w:rsid w:val="03F82FC0"/>
    <w:rsid w:val="040354C1"/>
    <w:rsid w:val="04274CAC"/>
    <w:rsid w:val="04364BB6"/>
    <w:rsid w:val="043B10FF"/>
    <w:rsid w:val="043B12A5"/>
    <w:rsid w:val="0442248D"/>
    <w:rsid w:val="04554F55"/>
    <w:rsid w:val="0455554A"/>
    <w:rsid w:val="04730898"/>
    <w:rsid w:val="047F0912"/>
    <w:rsid w:val="049D6C81"/>
    <w:rsid w:val="04B2316F"/>
    <w:rsid w:val="04CB4231"/>
    <w:rsid w:val="04D055E9"/>
    <w:rsid w:val="050D762A"/>
    <w:rsid w:val="05282AA4"/>
    <w:rsid w:val="05353DA0"/>
    <w:rsid w:val="056079B5"/>
    <w:rsid w:val="058F7720"/>
    <w:rsid w:val="0592587A"/>
    <w:rsid w:val="05E82BC0"/>
    <w:rsid w:val="06314567"/>
    <w:rsid w:val="064057B5"/>
    <w:rsid w:val="065055F6"/>
    <w:rsid w:val="065344DE"/>
    <w:rsid w:val="065B5A88"/>
    <w:rsid w:val="065D535C"/>
    <w:rsid w:val="0678009D"/>
    <w:rsid w:val="068C5C42"/>
    <w:rsid w:val="06A75D00"/>
    <w:rsid w:val="06AE2959"/>
    <w:rsid w:val="06B94F59"/>
    <w:rsid w:val="06C84BF1"/>
    <w:rsid w:val="06D05CDA"/>
    <w:rsid w:val="06E14CBE"/>
    <w:rsid w:val="06E26132"/>
    <w:rsid w:val="06E710CA"/>
    <w:rsid w:val="070A631C"/>
    <w:rsid w:val="070D455F"/>
    <w:rsid w:val="071276B9"/>
    <w:rsid w:val="071426B7"/>
    <w:rsid w:val="071772B9"/>
    <w:rsid w:val="071C5217"/>
    <w:rsid w:val="071D4ED9"/>
    <w:rsid w:val="072506FA"/>
    <w:rsid w:val="072A0DCF"/>
    <w:rsid w:val="0735457E"/>
    <w:rsid w:val="07462FD2"/>
    <w:rsid w:val="075942C9"/>
    <w:rsid w:val="075C73C2"/>
    <w:rsid w:val="076B6E92"/>
    <w:rsid w:val="07921036"/>
    <w:rsid w:val="07E37E3E"/>
    <w:rsid w:val="07F10452"/>
    <w:rsid w:val="07F92E63"/>
    <w:rsid w:val="0835533D"/>
    <w:rsid w:val="08607386"/>
    <w:rsid w:val="08797942"/>
    <w:rsid w:val="087D1CE6"/>
    <w:rsid w:val="087D7F38"/>
    <w:rsid w:val="08915791"/>
    <w:rsid w:val="08A66183"/>
    <w:rsid w:val="08AB7738"/>
    <w:rsid w:val="08AE11AE"/>
    <w:rsid w:val="08AF05F8"/>
    <w:rsid w:val="08BE0D8E"/>
    <w:rsid w:val="08CE2541"/>
    <w:rsid w:val="08D5070E"/>
    <w:rsid w:val="08ED6E6B"/>
    <w:rsid w:val="08F33D56"/>
    <w:rsid w:val="09120680"/>
    <w:rsid w:val="09287EA3"/>
    <w:rsid w:val="09306D58"/>
    <w:rsid w:val="09403496"/>
    <w:rsid w:val="0946657C"/>
    <w:rsid w:val="094D3DDB"/>
    <w:rsid w:val="0959709F"/>
    <w:rsid w:val="09664528"/>
    <w:rsid w:val="09A45050"/>
    <w:rsid w:val="0A097F22"/>
    <w:rsid w:val="0A0D0E47"/>
    <w:rsid w:val="0A0D22B5"/>
    <w:rsid w:val="0A171A87"/>
    <w:rsid w:val="0A171CC6"/>
    <w:rsid w:val="0A173A74"/>
    <w:rsid w:val="0A1D552E"/>
    <w:rsid w:val="0A2A7C4B"/>
    <w:rsid w:val="0A442EC0"/>
    <w:rsid w:val="0A51342A"/>
    <w:rsid w:val="0A8B68D1"/>
    <w:rsid w:val="0A9652E1"/>
    <w:rsid w:val="0AA277E2"/>
    <w:rsid w:val="0AB063A2"/>
    <w:rsid w:val="0AB21F41"/>
    <w:rsid w:val="0AB37C41"/>
    <w:rsid w:val="0AB87005"/>
    <w:rsid w:val="0ABA0FCF"/>
    <w:rsid w:val="0ACF0E24"/>
    <w:rsid w:val="0AD83203"/>
    <w:rsid w:val="0AE73F54"/>
    <w:rsid w:val="0AED734F"/>
    <w:rsid w:val="0AF049F1"/>
    <w:rsid w:val="0AF54A38"/>
    <w:rsid w:val="0B1B1342"/>
    <w:rsid w:val="0B3C2236"/>
    <w:rsid w:val="0B48567B"/>
    <w:rsid w:val="0B4D7D2D"/>
    <w:rsid w:val="0B5F1B77"/>
    <w:rsid w:val="0B6E3B68"/>
    <w:rsid w:val="0B725406"/>
    <w:rsid w:val="0B8B296C"/>
    <w:rsid w:val="0BAF2319"/>
    <w:rsid w:val="0BB70639"/>
    <w:rsid w:val="0BCB0FBA"/>
    <w:rsid w:val="0BD54A82"/>
    <w:rsid w:val="0BD93E0F"/>
    <w:rsid w:val="0BD95485"/>
    <w:rsid w:val="0BF978D5"/>
    <w:rsid w:val="0C047862"/>
    <w:rsid w:val="0C3952B8"/>
    <w:rsid w:val="0C3F46FB"/>
    <w:rsid w:val="0C4A1EDF"/>
    <w:rsid w:val="0C7927C4"/>
    <w:rsid w:val="0C7B29E0"/>
    <w:rsid w:val="0CBB3104"/>
    <w:rsid w:val="0CCC4FEA"/>
    <w:rsid w:val="0CCD4209"/>
    <w:rsid w:val="0CE20369"/>
    <w:rsid w:val="0CEA0AED"/>
    <w:rsid w:val="0CEC2F96"/>
    <w:rsid w:val="0CF34325"/>
    <w:rsid w:val="0D3606B5"/>
    <w:rsid w:val="0D58687D"/>
    <w:rsid w:val="0DAF0B93"/>
    <w:rsid w:val="0DB4420C"/>
    <w:rsid w:val="0DCB6F7B"/>
    <w:rsid w:val="0DD34156"/>
    <w:rsid w:val="0DDC74AE"/>
    <w:rsid w:val="0DE60C74"/>
    <w:rsid w:val="0DF2282E"/>
    <w:rsid w:val="0DF748F5"/>
    <w:rsid w:val="0E0173C4"/>
    <w:rsid w:val="0E19425F"/>
    <w:rsid w:val="0E2C3F86"/>
    <w:rsid w:val="0E3C7F4D"/>
    <w:rsid w:val="0E6408AC"/>
    <w:rsid w:val="0E774FF5"/>
    <w:rsid w:val="0EEF6D6E"/>
    <w:rsid w:val="0EF645A0"/>
    <w:rsid w:val="0F00541F"/>
    <w:rsid w:val="0F037F40"/>
    <w:rsid w:val="0F111074"/>
    <w:rsid w:val="0F241091"/>
    <w:rsid w:val="0F2561EC"/>
    <w:rsid w:val="0F256C33"/>
    <w:rsid w:val="0F370844"/>
    <w:rsid w:val="0F482829"/>
    <w:rsid w:val="0F600838"/>
    <w:rsid w:val="0F697A75"/>
    <w:rsid w:val="0F7D081D"/>
    <w:rsid w:val="0F9230D3"/>
    <w:rsid w:val="0FD536FB"/>
    <w:rsid w:val="0FD83CA6"/>
    <w:rsid w:val="0FE06513"/>
    <w:rsid w:val="0FE102BB"/>
    <w:rsid w:val="0FFF7484"/>
    <w:rsid w:val="100F50BE"/>
    <w:rsid w:val="10152804"/>
    <w:rsid w:val="10230FB4"/>
    <w:rsid w:val="1038336E"/>
    <w:rsid w:val="104F3F68"/>
    <w:rsid w:val="10541CD1"/>
    <w:rsid w:val="107F43C2"/>
    <w:rsid w:val="108C58F8"/>
    <w:rsid w:val="10AB4F16"/>
    <w:rsid w:val="10AF0EAA"/>
    <w:rsid w:val="10B143B6"/>
    <w:rsid w:val="10B72B6A"/>
    <w:rsid w:val="10BC03C7"/>
    <w:rsid w:val="10FB40F0"/>
    <w:rsid w:val="11094EF4"/>
    <w:rsid w:val="11124F95"/>
    <w:rsid w:val="1115531E"/>
    <w:rsid w:val="11163E6D"/>
    <w:rsid w:val="112C42A9"/>
    <w:rsid w:val="11366ED6"/>
    <w:rsid w:val="114B4E6D"/>
    <w:rsid w:val="11537A88"/>
    <w:rsid w:val="115D26B4"/>
    <w:rsid w:val="116E2B13"/>
    <w:rsid w:val="11764E4D"/>
    <w:rsid w:val="11851182"/>
    <w:rsid w:val="1192379E"/>
    <w:rsid w:val="11CF7AC1"/>
    <w:rsid w:val="11F81CDD"/>
    <w:rsid w:val="1208099D"/>
    <w:rsid w:val="1215360D"/>
    <w:rsid w:val="123B0020"/>
    <w:rsid w:val="12503FC7"/>
    <w:rsid w:val="125A58DF"/>
    <w:rsid w:val="12704669"/>
    <w:rsid w:val="12707F05"/>
    <w:rsid w:val="12744A2E"/>
    <w:rsid w:val="12B46E52"/>
    <w:rsid w:val="12C22B33"/>
    <w:rsid w:val="12CB4495"/>
    <w:rsid w:val="12DD1CFF"/>
    <w:rsid w:val="12E32EDE"/>
    <w:rsid w:val="12E77F91"/>
    <w:rsid w:val="130F4A87"/>
    <w:rsid w:val="13223BB5"/>
    <w:rsid w:val="133228BF"/>
    <w:rsid w:val="134F427F"/>
    <w:rsid w:val="135C5B6F"/>
    <w:rsid w:val="13985790"/>
    <w:rsid w:val="13AB15E9"/>
    <w:rsid w:val="13C407C9"/>
    <w:rsid w:val="13D16BDB"/>
    <w:rsid w:val="13F85AEA"/>
    <w:rsid w:val="141259D8"/>
    <w:rsid w:val="141C0B09"/>
    <w:rsid w:val="14237C67"/>
    <w:rsid w:val="14361A0C"/>
    <w:rsid w:val="143C0BC9"/>
    <w:rsid w:val="1441006B"/>
    <w:rsid w:val="14583A0A"/>
    <w:rsid w:val="147B0D2E"/>
    <w:rsid w:val="147C72F5"/>
    <w:rsid w:val="14A625C4"/>
    <w:rsid w:val="14CE14CC"/>
    <w:rsid w:val="150F3DBE"/>
    <w:rsid w:val="153732D2"/>
    <w:rsid w:val="154107F7"/>
    <w:rsid w:val="155142DE"/>
    <w:rsid w:val="156B79B3"/>
    <w:rsid w:val="15747FCD"/>
    <w:rsid w:val="15820CF9"/>
    <w:rsid w:val="158A77F0"/>
    <w:rsid w:val="15A13C38"/>
    <w:rsid w:val="15CC1BB7"/>
    <w:rsid w:val="15E12BB1"/>
    <w:rsid w:val="160012BD"/>
    <w:rsid w:val="16005D04"/>
    <w:rsid w:val="16047038"/>
    <w:rsid w:val="161E3E86"/>
    <w:rsid w:val="16225C7A"/>
    <w:rsid w:val="162E65C0"/>
    <w:rsid w:val="163D1C9C"/>
    <w:rsid w:val="16527416"/>
    <w:rsid w:val="168A3C51"/>
    <w:rsid w:val="168B10C2"/>
    <w:rsid w:val="169C2BB4"/>
    <w:rsid w:val="16B60189"/>
    <w:rsid w:val="16BF171B"/>
    <w:rsid w:val="16C115CB"/>
    <w:rsid w:val="16C22C0A"/>
    <w:rsid w:val="16CF5E02"/>
    <w:rsid w:val="16DC622B"/>
    <w:rsid w:val="16E6367E"/>
    <w:rsid w:val="16F92E7F"/>
    <w:rsid w:val="1706559C"/>
    <w:rsid w:val="170B2BB3"/>
    <w:rsid w:val="1718218B"/>
    <w:rsid w:val="171A2056"/>
    <w:rsid w:val="174D4F79"/>
    <w:rsid w:val="174E374F"/>
    <w:rsid w:val="175956CC"/>
    <w:rsid w:val="1762630D"/>
    <w:rsid w:val="176C0D57"/>
    <w:rsid w:val="17793FC0"/>
    <w:rsid w:val="177E4989"/>
    <w:rsid w:val="17887D5F"/>
    <w:rsid w:val="17A54DB5"/>
    <w:rsid w:val="17A60180"/>
    <w:rsid w:val="17A821AF"/>
    <w:rsid w:val="17C01E56"/>
    <w:rsid w:val="17C86449"/>
    <w:rsid w:val="17E01765"/>
    <w:rsid w:val="182745FA"/>
    <w:rsid w:val="182E4DAB"/>
    <w:rsid w:val="18376899"/>
    <w:rsid w:val="183F0D66"/>
    <w:rsid w:val="18450EF1"/>
    <w:rsid w:val="18523F0C"/>
    <w:rsid w:val="18606EA6"/>
    <w:rsid w:val="18934C0E"/>
    <w:rsid w:val="18A474FD"/>
    <w:rsid w:val="18AA7CC9"/>
    <w:rsid w:val="18D72CE8"/>
    <w:rsid w:val="18DA45EA"/>
    <w:rsid w:val="196F11D7"/>
    <w:rsid w:val="19C05ED6"/>
    <w:rsid w:val="19E464FC"/>
    <w:rsid w:val="19FB2A6A"/>
    <w:rsid w:val="1A010EDF"/>
    <w:rsid w:val="1A0632C8"/>
    <w:rsid w:val="1A6913D5"/>
    <w:rsid w:val="1A6920CA"/>
    <w:rsid w:val="1A7B457A"/>
    <w:rsid w:val="1A8E1B30"/>
    <w:rsid w:val="1AB07CF9"/>
    <w:rsid w:val="1AB64BE3"/>
    <w:rsid w:val="1AD559B1"/>
    <w:rsid w:val="1ADD7A62"/>
    <w:rsid w:val="1AE34571"/>
    <w:rsid w:val="1AF33BC0"/>
    <w:rsid w:val="1AFC2F3E"/>
    <w:rsid w:val="1B0940FF"/>
    <w:rsid w:val="1B291859"/>
    <w:rsid w:val="1B46240B"/>
    <w:rsid w:val="1B667448"/>
    <w:rsid w:val="1B6805D3"/>
    <w:rsid w:val="1B7A6F29"/>
    <w:rsid w:val="1B972C67"/>
    <w:rsid w:val="1BB84D32"/>
    <w:rsid w:val="1BBC2705"/>
    <w:rsid w:val="1BD9502D"/>
    <w:rsid w:val="1BDB6FF7"/>
    <w:rsid w:val="1BEE10DD"/>
    <w:rsid w:val="1BF105C9"/>
    <w:rsid w:val="1C2756DA"/>
    <w:rsid w:val="1C281B11"/>
    <w:rsid w:val="1C2A3ADB"/>
    <w:rsid w:val="1C3B7A96"/>
    <w:rsid w:val="1C4526C3"/>
    <w:rsid w:val="1C7A0F4E"/>
    <w:rsid w:val="1C7C1ACE"/>
    <w:rsid w:val="1CA05B4B"/>
    <w:rsid w:val="1CA53161"/>
    <w:rsid w:val="1CBA2D9A"/>
    <w:rsid w:val="1CBD66FD"/>
    <w:rsid w:val="1CE011DA"/>
    <w:rsid w:val="1CED5B5F"/>
    <w:rsid w:val="1CF814E3"/>
    <w:rsid w:val="1D074B06"/>
    <w:rsid w:val="1D083E1C"/>
    <w:rsid w:val="1D0F6AF4"/>
    <w:rsid w:val="1D16347D"/>
    <w:rsid w:val="1D19047B"/>
    <w:rsid w:val="1D4A4B12"/>
    <w:rsid w:val="1D594678"/>
    <w:rsid w:val="1D641DA6"/>
    <w:rsid w:val="1D735846"/>
    <w:rsid w:val="1D990F18"/>
    <w:rsid w:val="1DB56F1F"/>
    <w:rsid w:val="1DB62E2E"/>
    <w:rsid w:val="1DBA2C3C"/>
    <w:rsid w:val="1E1D38F7"/>
    <w:rsid w:val="1E3B4C5D"/>
    <w:rsid w:val="1E753AFD"/>
    <w:rsid w:val="1E892D3B"/>
    <w:rsid w:val="1E967206"/>
    <w:rsid w:val="1EAA4A5F"/>
    <w:rsid w:val="1EC614F4"/>
    <w:rsid w:val="1EE00481"/>
    <w:rsid w:val="1EE22C65"/>
    <w:rsid w:val="1F282391"/>
    <w:rsid w:val="1F282554"/>
    <w:rsid w:val="1F5A46D7"/>
    <w:rsid w:val="1F5C3FAB"/>
    <w:rsid w:val="1F6F0182"/>
    <w:rsid w:val="1F6F787D"/>
    <w:rsid w:val="1F7F5EEC"/>
    <w:rsid w:val="1F8E612F"/>
    <w:rsid w:val="1FA30D6D"/>
    <w:rsid w:val="1FB3125E"/>
    <w:rsid w:val="1FCB2EDF"/>
    <w:rsid w:val="1FEA5A5B"/>
    <w:rsid w:val="20141E2D"/>
    <w:rsid w:val="2021069F"/>
    <w:rsid w:val="2035390D"/>
    <w:rsid w:val="20574252"/>
    <w:rsid w:val="20756A8B"/>
    <w:rsid w:val="207A1985"/>
    <w:rsid w:val="20880DD0"/>
    <w:rsid w:val="20B75F78"/>
    <w:rsid w:val="20C77B4A"/>
    <w:rsid w:val="20D64231"/>
    <w:rsid w:val="20DF4E94"/>
    <w:rsid w:val="20FD356C"/>
    <w:rsid w:val="211B1C44"/>
    <w:rsid w:val="21226569"/>
    <w:rsid w:val="2125070E"/>
    <w:rsid w:val="2164183D"/>
    <w:rsid w:val="2173566C"/>
    <w:rsid w:val="21810AF0"/>
    <w:rsid w:val="21FA7AAB"/>
    <w:rsid w:val="22055633"/>
    <w:rsid w:val="2221772E"/>
    <w:rsid w:val="22252D7A"/>
    <w:rsid w:val="222907BE"/>
    <w:rsid w:val="223E0DB0"/>
    <w:rsid w:val="22602008"/>
    <w:rsid w:val="227036B8"/>
    <w:rsid w:val="22941AC6"/>
    <w:rsid w:val="229B303C"/>
    <w:rsid w:val="22A85012"/>
    <w:rsid w:val="22AD273C"/>
    <w:rsid w:val="22C62CF4"/>
    <w:rsid w:val="22DA559F"/>
    <w:rsid w:val="22E20C6B"/>
    <w:rsid w:val="22FA4207"/>
    <w:rsid w:val="231A6657"/>
    <w:rsid w:val="237F64BA"/>
    <w:rsid w:val="2392443F"/>
    <w:rsid w:val="23A06120"/>
    <w:rsid w:val="23AC3ABD"/>
    <w:rsid w:val="23B525E1"/>
    <w:rsid w:val="23D1648D"/>
    <w:rsid w:val="23F21382"/>
    <w:rsid w:val="23F8385E"/>
    <w:rsid w:val="24155071"/>
    <w:rsid w:val="242B2EF0"/>
    <w:rsid w:val="243433D0"/>
    <w:rsid w:val="245060A9"/>
    <w:rsid w:val="245607C7"/>
    <w:rsid w:val="24575689"/>
    <w:rsid w:val="246B437F"/>
    <w:rsid w:val="2489157A"/>
    <w:rsid w:val="24AD3DD7"/>
    <w:rsid w:val="24B30B11"/>
    <w:rsid w:val="24BE08F2"/>
    <w:rsid w:val="24DA4DCD"/>
    <w:rsid w:val="24DC16EA"/>
    <w:rsid w:val="24F07339"/>
    <w:rsid w:val="25070D37"/>
    <w:rsid w:val="250A3135"/>
    <w:rsid w:val="250A44A9"/>
    <w:rsid w:val="25127EC9"/>
    <w:rsid w:val="25315EDA"/>
    <w:rsid w:val="25341526"/>
    <w:rsid w:val="254774AC"/>
    <w:rsid w:val="254C0545"/>
    <w:rsid w:val="2563786A"/>
    <w:rsid w:val="2580651A"/>
    <w:rsid w:val="25873916"/>
    <w:rsid w:val="25941224"/>
    <w:rsid w:val="25AC7E93"/>
    <w:rsid w:val="25B763DF"/>
    <w:rsid w:val="25BF34E6"/>
    <w:rsid w:val="25C43228"/>
    <w:rsid w:val="25CC50FC"/>
    <w:rsid w:val="25E13C00"/>
    <w:rsid w:val="25E257F4"/>
    <w:rsid w:val="25FA2770"/>
    <w:rsid w:val="26022290"/>
    <w:rsid w:val="261455E0"/>
    <w:rsid w:val="26242340"/>
    <w:rsid w:val="26362DF6"/>
    <w:rsid w:val="26385E8A"/>
    <w:rsid w:val="265577FD"/>
    <w:rsid w:val="26563E71"/>
    <w:rsid w:val="26630315"/>
    <w:rsid w:val="2668592C"/>
    <w:rsid w:val="26695200"/>
    <w:rsid w:val="266B71CA"/>
    <w:rsid w:val="268564DD"/>
    <w:rsid w:val="2698203F"/>
    <w:rsid w:val="26C81630"/>
    <w:rsid w:val="26DA2DED"/>
    <w:rsid w:val="271D64CE"/>
    <w:rsid w:val="27271343"/>
    <w:rsid w:val="27653C19"/>
    <w:rsid w:val="276E6F72"/>
    <w:rsid w:val="27AF30E6"/>
    <w:rsid w:val="27B02F57"/>
    <w:rsid w:val="27D112AE"/>
    <w:rsid w:val="27DF5779"/>
    <w:rsid w:val="27E1545A"/>
    <w:rsid w:val="27E234C8"/>
    <w:rsid w:val="27EB2370"/>
    <w:rsid w:val="28093668"/>
    <w:rsid w:val="28100029"/>
    <w:rsid w:val="28273C9B"/>
    <w:rsid w:val="284A2EB1"/>
    <w:rsid w:val="284B0D66"/>
    <w:rsid w:val="28616AD6"/>
    <w:rsid w:val="286D408E"/>
    <w:rsid w:val="286E02B3"/>
    <w:rsid w:val="28814A83"/>
    <w:rsid w:val="288F719F"/>
    <w:rsid w:val="289018A6"/>
    <w:rsid w:val="28AC24C6"/>
    <w:rsid w:val="28B704A4"/>
    <w:rsid w:val="28C11323"/>
    <w:rsid w:val="28CD7B64"/>
    <w:rsid w:val="28DA090C"/>
    <w:rsid w:val="28DA73F5"/>
    <w:rsid w:val="28DE0127"/>
    <w:rsid w:val="28EB309B"/>
    <w:rsid w:val="291565C9"/>
    <w:rsid w:val="2940493E"/>
    <w:rsid w:val="297939AC"/>
    <w:rsid w:val="297B3849"/>
    <w:rsid w:val="298001BF"/>
    <w:rsid w:val="29A73870"/>
    <w:rsid w:val="29A8113A"/>
    <w:rsid w:val="29AE37C6"/>
    <w:rsid w:val="29AE6B2F"/>
    <w:rsid w:val="29CE1F49"/>
    <w:rsid w:val="29FF1A3E"/>
    <w:rsid w:val="29FF65A7"/>
    <w:rsid w:val="2A35784B"/>
    <w:rsid w:val="2A4276AF"/>
    <w:rsid w:val="2A570191"/>
    <w:rsid w:val="2A947DE8"/>
    <w:rsid w:val="2A9E4307"/>
    <w:rsid w:val="2ACF41CB"/>
    <w:rsid w:val="2ACF7D27"/>
    <w:rsid w:val="2AD359D3"/>
    <w:rsid w:val="2AEA2DB3"/>
    <w:rsid w:val="2B163BA8"/>
    <w:rsid w:val="2B4F0E68"/>
    <w:rsid w:val="2B5E4C51"/>
    <w:rsid w:val="2B857895"/>
    <w:rsid w:val="2B954300"/>
    <w:rsid w:val="2BBD2276"/>
    <w:rsid w:val="2BC90C1A"/>
    <w:rsid w:val="2BD155F1"/>
    <w:rsid w:val="2BFE33E2"/>
    <w:rsid w:val="2BFF6902"/>
    <w:rsid w:val="2C4955AF"/>
    <w:rsid w:val="2C4B4159"/>
    <w:rsid w:val="2C5B40ED"/>
    <w:rsid w:val="2C892158"/>
    <w:rsid w:val="2C8E3C12"/>
    <w:rsid w:val="2CA43D05"/>
    <w:rsid w:val="2CAB6572"/>
    <w:rsid w:val="2CB35427"/>
    <w:rsid w:val="2CB73169"/>
    <w:rsid w:val="2CBF2FC2"/>
    <w:rsid w:val="2CFC2BFE"/>
    <w:rsid w:val="2D2500D2"/>
    <w:rsid w:val="2D4F50B7"/>
    <w:rsid w:val="2D6B6464"/>
    <w:rsid w:val="2D6F57F1"/>
    <w:rsid w:val="2D720E3E"/>
    <w:rsid w:val="2D7739CD"/>
    <w:rsid w:val="2D89631C"/>
    <w:rsid w:val="2DA82AB1"/>
    <w:rsid w:val="2DA94474"/>
    <w:rsid w:val="2DAB3432"/>
    <w:rsid w:val="2DCA74C7"/>
    <w:rsid w:val="2DD41AF8"/>
    <w:rsid w:val="2DDB1DA3"/>
    <w:rsid w:val="2DF46565"/>
    <w:rsid w:val="2DF53F49"/>
    <w:rsid w:val="2DFB239F"/>
    <w:rsid w:val="2E0418D3"/>
    <w:rsid w:val="2E0B6E95"/>
    <w:rsid w:val="2E2F6C9B"/>
    <w:rsid w:val="2E497DF1"/>
    <w:rsid w:val="2E685ADF"/>
    <w:rsid w:val="2E6A4501"/>
    <w:rsid w:val="2E6B420B"/>
    <w:rsid w:val="2E6E5AA9"/>
    <w:rsid w:val="2E964AB2"/>
    <w:rsid w:val="2EBD59CF"/>
    <w:rsid w:val="2ED7364E"/>
    <w:rsid w:val="2EDE4A7E"/>
    <w:rsid w:val="2F053142"/>
    <w:rsid w:val="2F071B18"/>
    <w:rsid w:val="2F0A5595"/>
    <w:rsid w:val="2F171C9D"/>
    <w:rsid w:val="2F253528"/>
    <w:rsid w:val="2F4607D4"/>
    <w:rsid w:val="2F5A49A3"/>
    <w:rsid w:val="2F633134"/>
    <w:rsid w:val="2F646705"/>
    <w:rsid w:val="2F665DA3"/>
    <w:rsid w:val="2F8512FC"/>
    <w:rsid w:val="2FAD0A9E"/>
    <w:rsid w:val="2FBB4D1E"/>
    <w:rsid w:val="2FBE3786"/>
    <w:rsid w:val="2FC54CF8"/>
    <w:rsid w:val="2FD175EB"/>
    <w:rsid w:val="2FF41FDE"/>
    <w:rsid w:val="30006BD5"/>
    <w:rsid w:val="301164E2"/>
    <w:rsid w:val="30300457"/>
    <w:rsid w:val="305807BF"/>
    <w:rsid w:val="30610B38"/>
    <w:rsid w:val="30795312"/>
    <w:rsid w:val="307F7AFA"/>
    <w:rsid w:val="308C66BA"/>
    <w:rsid w:val="309415AE"/>
    <w:rsid w:val="30AB47A7"/>
    <w:rsid w:val="30B31147"/>
    <w:rsid w:val="30C2376F"/>
    <w:rsid w:val="30DB5272"/>
    <w:rsid w:val="30DC319E"/>
    <w:rsid w:val="30DF7CE7"/>
    <w:rsid w:val="30ED4FC8"/>
    <w:rsid w:val="30F009F7"/>
    <w:rsid w:val="30FB5744"/>
    <w:rsid w:val="30FD40AA"/>
    <w:rsid w:val="31267AAE"/>
    <w:rsid w:val="31444881"/>
    <w:rsid w:val="314D028A"/>
    <w:rsid w:val="31551F9A"/>
    <w:rsid w:val="31873720"/>
    <w:rsid w:val="319C037F"/>
    <w:rsid w:val="31E3208C"/>
    <w:rsid w:val="31E676C8"/>
    <w:rsid w:val="31EB11BF"/>
    <w:rsid w:val="3202189B"/>
    <w:rsid w:val="320329AC"/>
    <w:rsid w:val="320A66A5"/>
    <w:rsid w:val="320F4EAD"/>
    <w:rsid w:val="322F554F"/>
    <w:rsid w:val="32935ADE"/>
    <w:rsid w:val="329A50BF"/>
    <w:rsid w:val="32A93BC9"/>
    <w:rsid w:val="32CE2FBA"/>
    <w:rsid w:val="332B3F69"/>
    <w:rsid w:val="334C1F0A"/>
    <w:rsid w:val="3352710A"/>
    <w:rsid w:val="33A1247D"/>
    <w:rsid w:val="33B915C6"/>
    <w:rsid w:val="34086433"/>
    <w:rsid w:val="340A4D28"/>
    <w:rsid w:val="34237336"/>
    <w:rsid w:val="34266DEB"/>
    <w:rsid w:val="343A2AB0"/>
    <w:rsid w:val="344B7676"/>
    <w:rsid w:val="345E2859"/>
    <w:rsid w:val="348A3678"/>
    <w:rsid w:val="34A46A8E"/>
    <w:rsid w:val="34AC627E"/>
    <w:rsid w:val="34B32468"/>
    <w:rsid w:val="34C226AB"/>
    <w:rsid w:val="34DE113B"/>
    <w:rsid w:val="34E95E89"/>
    <w:rsid w:val="34F12F90"/>
    <w:rsid w:val="350C59BF"/>
    <w:rsid w:val="352805DA"/>
    <w:rsid w:val="353E35D3"/>
    <w:rsid w:val="35492F45"/>
    <w:rsid w:val="355530AA"/>
    <w:rsid w:val="355D42FC"/>
    <w:rsid w:val="355E7835"/>
    <w:rsid w:val="3566572C"/>
    <w:rsid w:val="35750372"/>
    <w:rsid w:val="3581411C"/>
    <w:rsid w:val="358228B6"/>
    <w:rsid w:val="358A17B9"/>
    <w:rsid w:val="35C12962"/>
    <w:rsid w:val="360016DD"/>
    <w:rsid w:val="361000EE"/>
    <w:rsid w:val="36111833"/>
    <w:rsid w:val="3623361D"/>
    <w:rsid w:val="364631D7"/>
    <w:rsid w:val="36517105"/>
    <w:rsid w:val="36534661"/>
    <w:rsid w:val="36877708"/>
    <w:rsid w:val="36890EF7"/>
    <w:rsid w:val="368928C2"/>
    <w:rsid w:val="369342FF"/>
    <w:rsid w:val="36C546D4"/>
    <w:rsid w:val="36C86BF9"/>
    <w:rsid w:val="36DB257F"/>
    <w:rsid w:val="36E0506A"/>
    <w:rsid w:val="36EF3793"/>
    <w:rsid w:val="36F447D1"/>
    <w:rsid w:val="36FA3F13"/>
    <w:rsid w:val="36FB1EA4"/>
    <w:rsid w:val="37032422"/>
    <w:rsid w:val="37225683"/>
    <w:rsid w:val="37272C99"/>
    <w:rsid w:val="373D070E"/>
    <w:rsid w:val="374D1701"/>
    <w:rsid w:val="37710455"/>
    <w:rsid w:val="3783321D"/>
    <w:rsid w:val="37850378"/>
    <w:rsid w:val="378B147A"/>
    <w:rsid w:val="37920A5A"/>
    <w:rsid w:val="379876F3"/>
    <w:rsid w:val="379E11AD"/>
    <w:rsid w:val="37BE1EBE"/>
    <w:rsid w:val="37C77816"/>
    <w:rsid w:val="37D51F88"/>
    <w:rsid w:val="37E82428"/>
    <w:rsid w:val="38065969"/>
    <w:rsid w:val="380E11B5"/>
    <w:rsid w:val="381B0A50"/>
    <w:rsid w:val="38224438"/>
    <w:rsid w:val="38283D5A"/>
    <w:rsid w:val="38392F81"/>
    <w:rsid w:val="383E029A"/>
    <w:rsid w:val="385578DD"/>
    <w:rsid w:val="38587D11"/>
    <w:rsid w:val="38877E93"/>
    <w:rsid w:val="389E4A58"/>
    <w:rsid w:val="38BD5663"/>
    <w:rsid w:val="38CA6DC7"/>
    <w:rsid w:val="38E76B84"/>
    <w:rsid w:val="38F00B77"/>
    <w:rsid w:val="3914549F"/>
    <w:rsid w:val="3953268C"/>
    <w:rsid w:val="39A34800"/>
    <w:rsid w:val="39B57C6A"/>
    <w:rsid w:val="39D013C6"/>
    <w:rsid w:val="39DF350D"/>
    <w:rsid w:val="3A00614F"/>
    <w:rsid w:val="3A025137"/>
    <w:rsid w:val="3A0D3672"/>
    <w:rsid w:val="3A1B46F9"/>
    <w:rsid w:val="3A1F5ED9"/>
    <w:rsid w:val="3A304DCE"/>
    <w:rsid w:val="3A3C6A5B"/>
    <w:rsid w:val="3A437DEA"/>
    <w:rsid w:val="3A614714"/>
    <w:rsid w:val="3A830B2E"/>
    <w:rsid w:val="3A887993"/>
    <w:rsid w:val="3A940645"/>
    <w:rsid w:val="3AA34D2C"/>
    <w:rsid w:val="3AA77E3B"/>
    <w:rsid w:val="3AB24F6F"/>
    <w:rsid w:val="3AB42A96"/>
    <w:rsid w:val="3AC86541"/>
    <w:rsid w:val="3AD153B9"/>
    <w:rsid w:val="3AD969A0"/>
    <w:rsid w:val="3ADA6DD8"/>
    <w:rsid w:val="3AF92B9E"/>
    <w:rsid w:val="3B0C28D2"/>
    <w:rsid w:val="3B11613A"/>
    <w:rsid w:val="3B1B48C3"/>
    <w:rsid w:val="3B1F29B6"/>
    <w:rsid w:val="3B443718"/>
    <w:rsid w:val="3B516536"/>
    <w:rsid w:val="3B5C320A"/>
    <w:rsid w:val="3BA62F34"/>
    <w:rsid w:val="3BA71F2B"/>
    <w:rsid w:val="3BAE0282"/>
    <w:rsid w:val="3BD258C9"/>
    <w:rsid w:val="3BE23632"/>
    <w:rsid w:val="3BF839C6"/>
    <w:rsid w:val="3C015802"/>
    <w:rsid w:val="3C2327E1"/>
    <w:rsid w:val="3C236125"/>
    <w:rsid w:val="3C336DD6"/>
    <w:rsid w:val="3C3420E0"/>
    <w:rsid w:val="3C4B11D8"/>
    <w:rsid w:val="3C5502A8"/>
    <w:rsid w:val="3C633344"/>
    <w:rsid w:val="3C737430"/>
    <w:rsid w:val="3C756255"/>
    <w:rsid w:val="3C8A7F52"/>
    <w:rsid w:val="3C950D47"/>
    <w:rsid w:val="3C9C5234"/>
    <w:rsid w:val="3CCA02B2"/>
    <w:rsid w:val="3CDE204C"/>
    <w:rsid w:val="3D060D95"/>
    <w:rsid w:val="3D0A0DDD"/>
    <w:rsid w:val="3D246484"/>
    <w:rsid w:val="3D604F23"/>
    <w:rsid w:val="3D7B3D3F"/>
    <w:rsid w:val="3D7D3613"/>
    <w:rsid w:val="3D803103"/>
    <w:rsid w:val="3D8A5D30"/>
    <w:rsid w:val="3D99367E"/>
    <w:rsid w:val="3DBA6D6D"/>
    <w:rsid w:val="3E375EB7"/>
    <w:rsid w:val="3E5E1696"/>
    <w:rsid w:val="3E6A57A1"/>
    <w:rsid w:val="3E6B4F1A"/>
    <w:rsid w:val="3E8A3B75"/>
    <w:rsid w:val="3E9B4320"/>
    <w:rsid w:val="3EBA2645"/>
    <w:rsid w:val="3EBC016B"/>
    <w:rsid w:val="3EC6723B"/>
    <w:rsid w:val="3EDE4585"/>
    <w:rsid w:val="3EE81C36"/>
    <w:rsid w:val="3EEF22EE"/>
    <w:rsid w:val="3EF83BC6"/>
    <w:rsid w:val="3F33629E"/>
    <w:rsid w:val="3F3F34F1"/>
    <w:rsid w:val="3F5262EB"/>
    <w:rsid w:val="3F5B255F"/>
    <w:rsid w:val="3F6F1E30"/>
    <w:rsid w:val="3F8213B4"/>
    <w:rsid w:val="3FB72902"/>
    <w:rsid w:val="3FCB1F18"/>
    <w:rsid w:val="3FEB0C06"/>
    <w:rsid w:val="40366BA2"/>
    <w:rsid w:val="4081243F"/>
    <w:rsid w:val="40B41A41"/>
    <w:rsid w:val="40DC5A18"/>
    <w:rsid w:val="40FE2CBD"/>
    <w:rsid w:val="41332EE9"/>
    <w:rsid w:val="41410D52"/>
    <w:rsid w:val="41502960"/>
    <w:rsid w:val="415305A0"/>
    <w:rsid w:val="4183060E"/>
    <w:rsid w:val="41A55516"/>
    <w:rsid w:val="41AA69A0"/>
    <w:rsid w:val="41B36666"/>
    <w:rsid w:val="41CA0DF1"/>
    <w:rsid w:val="41F4275B"/>
    <w:rsid w:val="42083B1B"/>
    <w:rsid w:val="421F2EEA"/>
    <w:rsid w:val="422C1AAB"/>
    <w:rsid w:val="424F13FD"/>
    <w:rsid w:val="425132C0"/>
    <w:rsid w:val="425B5621"/>
    <w:rsid w:val="42711C2E"/>
    <w:rsid w:val="428D254A"/>
    <w:rsid w:val="42980EEF"/>
    <w:rsid w:val="429B493D"/>
    <w:rsid w:val="42BC0B52"/>
    <w:rsid w:val="42CE4911"/>
    <w:rsid w:val="42E13E74"/>
    <w:rsid w:val="42E6560B"/>
    <w:rsid w:val="42F00D2B"/>
    <w:rsid w:val="432602A9"/>
    <w:rsid w:val="43346353"/>
    <w:rsid w:val="433F4264"/>
    <w:rsid w:val="438C45B0"/>
    <w:rsid w:val="439E42E3"/>
    <w:rsid w:val="43B50E83"/>
    <w:rsid w:val="43D45F57"/>
    <w:rsid w:val="44110F59"/>
    <w:rsid w:val="4427252A"/>
    <w:rsid w:val="4462484A"/>
    <w:rsid w:val="4464546A"/>
    <w:rsid w:val="446472DA"/>
    <w:rsid w:val="4482063F"/>
    <w:rsid w:val="448A37C0"/>
    <w:rsid w:val="44A27BED"/>
    <w:rsid w:val="44C77AAC"/>
    <w:rsid w:val="451E1B7F"/>
    <w:rsid w:val="452F4FBA"/>
    <w:rsid w:val="456C22D6"/>
    <w:rsid w:val="45790387"/>
    <w:rsid w:val="458A0FC3"/>
    <w:rsid w:val="45943BEF"/>
    <w:rsid w:val="459D251C"/>
    <w:rsid w:val="45BD5635"/>
    <w:rsid w:val="45C11C13"/>
    <w:rsid w:val="45EC0586"/>
    <w:rsid w:val="460320FD"/>
    <w:rsid w:val="46261816"/>
    <w:rsid w:val="462B18D7"/>
    <w:rsid w:val="4687710A"/>
    <w:rsid w:val="468E6891"/>
    <w:rsid w:val="46BF2EEE"/>
    <w:rsid w:val="46DC3AA0"/>
    <w:rsid w:val="46E22723"/>
    <w:rsid w:val="470A55FB"/>
    <w:rsid w:val="47113B27"/>
    <w:rsid w:val="472003D7"/>
    <w:rsid w:val="472965B9"/>
    <w:rsid w:val="472E597E"/>
    <w:rsid w:val="4734568A"/>
    <w:rsid w:val="47394A4E"/>
    <w:rsid w:val="473B751F"/>
    <w:rsid w:val="474E3196"/>
    <w:rsid w:val="475573AE"/>
    <w:rsid w:val="476F0470"/>
    <w:rsid w:val="478101A3"/>
    <w:rsid w:val="47975C19"/>
    <w:rsid w:val="47A0012E"/>
    <w:rsid w:val="47B656EC"/>
    <w:rsid w:val="47D13163"/>
    <w:rsid w:val="47E95008"/>
    <w:rsid w:val="48401E0D"/>
    <w:rsid w:val="484216E1"/>
    <w:rsid w:val="485853A8"/>
    <w:rsid w:val="48BB76E5"/>
    <w:rsid w:val="48D6451F"/>
    <w:rsid w:val="48EC035B"/>
    <w:rsid w:val="4901448D"/>
    <w:rsid w:val="490715C7"/>
    <w:rsid w:val="49172B6D"/>
    <w:rsid w:val="49221512"/>
    <w:rsid w:val="492576C3"/>
    <w:rsid w:val="492E0DFE"/>
    <w:rsid w:val="4931445C"/>
    <w:rsid w:val="494476DB"/>
    <w:rsid w:val="49514A8C"/>
    <w:rsid w:val="496F29A9"/>
    <w:rsid w:val="498118A6"/>
    <w:rsid w:val="49900B72"/>
    <w:rsid w:val="49A11F60"/>
    <w:rsid w:val="49AF724A"/>
    <w:rsid w:val="49C82B23"/>
    <w:rsid w:val="49E60792"/>
    <w:rsid w:val="49E92558"/>
    <w:rsid w:val="4A010F2E"/>
    <w:rsid w:val="4A1A5044"/>
    <w:rsid w:val="4A1D59A5"/>
    <w:rsid w:val="4A224AAB"/>
    <w:rsid w:val="4A3E05CE"/>
    <w:rsid w:val="4A8C1339"/>
    <w:rsid w:val="4A9401EE"/>
    <w:rsid w:val="4A977611"/>
    <w:rsid w:val="4AA93C99"/>
    <w:rsid w:val="4AB553CA"/>
    <w:rsid w:val="4AC578F8"/>
    <w:rsid w:val="4ACF1226"/>
    <w:rsid w:val="4AE7656F"/>
    <w:rsid w:val="4B0F2D01"/>
    <w:rsid w:val="4B1A3A4B"/>
    <w:rsid w:val="4B200250"/>
    <w:rsid w:val="4B444CDC"/>
    <w:rsid w:val="4B574B09"/>
    <w:rsid w:val="4B5D4EE5"/>
    <w:rsid w:val="4B641F01"/>
    <w:rsid w:val="4B9304A5"/>
    <w:rsid w:val="4BB01057"/>
    <w:rsid w:val="4BBB3648"/>
    <w:rsid w:val="4BC8467F"/>
    <w:rsid w:val="4BF70A34"/>
    <w:rsid w:val="4C07336D"/>
    <w:rsid w:val="4C0D2006"/>
    <w:rsid w:val="4C207F8B"/>
    <w:rsid w:val="4C4579F1"/>
    <w:rsid w:val="4C940979"/>
    <w:rsid w:val="4CCE2A6C"/>
    <w:rsid w:val="4CCF375F"/>
    <w:rsid w:val="4CD15729"/>
    <w:rsid w:val="4CD3072A"/>
    <w:rsid w:val="4CD945DE"/>
    <w:rsid w:val="4CE52F83"/>
    <w:rsid w:val="4CF2528D"/>
    <w:rsid w:val="4CFB049C"/>
    <w:rsid w:val="4CFE53E3"/>
    <w:rsid w:val="4D023BDA"/>
    <w:rsid w:val="4D06388C"/>
    <w:rsid w:val="4D267823"/>
    <w:rsid w:val="4D317F76"/>
    <w:rsid w:val="4D7471F9"/>
    <w:rsid w:val="4D7B6BE9"/>
    <w:rsid w:val="4D8052E4"/>
    <w:rsid w:val="4D9228C7"/>
    <w:rsid w:val="4D9D6E87"/>
    <w:rsid w:val="4DB265CD"/>
    <w:rsid w:val="4DC25072"/>
    <w:rsid w:val="4DDB393D"/>
    <w:rsid w:val="4DF0398D"/>
    <w:rsid w:val="4DFD4457"/>
    <w:rsid w:val="4E125654"/>
    <w:rsid w:val="4E233D62"/>
    <w:rsid w:val="4E3B5550"/>
    <w:rsid w:val="4E3E0B9C"/>
    <w:rsid w:val="4E4C336A"/>
    <w:rsid w:val="4E6011B1"/>
    <w:rsid w:val="4E6B5986"/>
    <w:rsid w:val="4E7740AE"/>
    <w:rsid w:val="4E8924B7"/>
    <w:rsid w:val="4EA84268"/>
    <w:rsid w:val="4EC459CB"/>
    <w:rsid w:val="4ED82D9F"/>
    <w:rsid w:val="4ED92673"/>
    <w:rsid w:val="4EEA2AD2"/>
    <w:rsid w:val="4EEF1E97"/>
    <w:rsid w:val="4F0A4599"/>
    <w:rsid w:val="4F177B13"/>
    <w:rsid w:val="4F1813ED"/>
    <w:rsid w:val="4F1B4F8F"/>
    <w:rsid w:val="4F385501"/>
    <w:rsid w:val="4F581B68"/>
    <w:rsid w:val="4F5C39D0"/>
    <w:rsid w:val="4F5D32A4"/>
    <w:rsid w:val="4F7B1E3E"/>
    <w:rsid w:val="4F87699C"/>
    <w:rsid w:val="4F8847C5"/>
    <w:rsid w:val="4F8A5A98"/>
    <w:rsid w:val="4F9662AF"/>
    <w:rsid w:val="4FCE62AB"/>
    <w:rsid w:val="4FE17411"/>
    <w:rsid w:val="4FE63648"/>
    <w:rsid w:val="4FE6773D"/>
    <w:rsid w:val="4FF954B0"/>
    <w:rsid w:val="501036E9"/>
    <w:rsid w:val="50175B49"/>
    <w:rsid w:val="50212524"/>
    <w:rsid w:val="50235A38"/>
    <w:rsid w:val="503B1D58"/>
    <w:rsid w:val="506B19F1"/>
    <w:rsid w:val="50700DB5"/>
    <w:rsid w:val="508D7BB9"/>
    <w:rsid w:val="509568B0"/>
    <w:rsid w:val="50970A38"/>
    <w:rsid w:val="50DC339C"/>
    <w:rsid w:val="50EF6964"/>
    <w:rsid w:val="50F47C38"/>
    <w:rsid w:val="5105515C"/>
    <w:rsid w:val="511D2CEB"/>
    <w:rsid w:val="511E6BD5"/>
    <w:rsid w:val="512A47D7"/>
    <w:rsid w:val="51303983"/>
    <w:rsid w:val="514C7451"/>
    <w:rsid w:val="514E10F6"/>
    <w:rsid w:val="515D7E0E"/>
    <w:rsid w:val="51656440"/>
    <w:rsid w:val="516C0D75"/>
    <w:rsid w:val="51850890"/>
    <w:rsid w:val="51C13FBE"/>
    <w:rsid w:val="51C15D6C"/>
    <w:rsid w:val="51DD7ACF"/>
    <w:rsid w:val="51E25CE3"/>
    <w:rsid w:val="51FC2152"/>
    <w:rsid w:val="52120376"/>
    <w:rsid w:val="5213407A"/>
    <w:rsid w:val="521C5892"/>
    <w:rsid w:val="522956BF"/>
    <w:rsid w:val="528B5F99"/>
    <w:rsid w:val="529C0587"/>
    <w:rsid w:val="529E3BED"/>
    <w:rsid w:val="52A059C3"/>
    <w:rsid w:val="52A511EA"/>
    <w:rsid w:val="52C360E1"/>
    <w:rsid w:val="52D65847"/>
    <w:rsid w:val="52F368EA"/>
    <w:rsid w:val="5314221C"/>
    <w:rsid w:val="53165C44"/>
    <w:rsid w:val="532F2D81"/>
    <w:rsid w:val="533407C0"/>
    <w:rsid w:val="53624CAE"/>
    <w:rsid w:val="538C05FC"/>
    <w:rsid w:val="538D389C"/>
    <w:rsid w:val="53C51418"/>
    <w:rsid w:val="53CE7CE3"/>
    <w:rsid w:val="53E27730"/>
    <w:rsid w:val="53EF448B"/>
    <w:rsid w:val="53F8359B"/>
    <w:rsid w:val="54196C13"/>
    <w:rsid w:val="541B174F"/>
    <w:rsid w:val="543E21F2"/>
    <w:rsid w:val="544113E6"/>
    <w:rsid w:val="54436F0C"/>
    <w:rsid w:val="54615848"/>
    <w:rsid w:val="546926EB"/>
    <w:rsid w:val="547215A0"/>
    <w:rsid w:val="548B08B3"/>
    <w:rsid w:val="54C55B73"/>
    <w:rsid w:val="54D47B64"/>
    <w:rsid w:val="54E104D3"/>
    <w:rsid w:val="54F06565"/>
    <w:rsid w:val="55461CD0"/>
    <w:rsid w:val="554C3D45"/>
    <w:rsid w:val="55562C6F"/>
    <w:rsid w:val="559A0800"/>
    <w:rsid w:val="55BD2CEE"/>
    <w:rsid w:val="55C93441"/>
    <w:rsid w:val="55E62245"/>
    <w:rsid w:val="55EA33B8"/>
    <w:rsid w:val="56164AC2"/>
    <w:rsid w:val="562C4293"/>
    <w:rsid w:val="56497832"/>
    <w:rsid w:val="564B32F4"/>
    <w:rsid w:val="567012E7"/>
    <w:rsid w:val="56876E58"/>
    <w:rsid w:val="568D0277"/>
    <w:rsid w:val="56925F29"/>
    <w:rsid w:val="56B37004"/>
    <w:rsid w:val="56DF5AB8"/>
    <w:rsid w:val="56E878F7"/>
    <w:rsid w:val="56F51BCF"/>
    <w:rsid w:val="57392849"/>
    <w:rsid w:val="576A47B0"/>
    <w:rsid w:val="576E05F8"/>
    <w:rsid w:val="577C4928"/>
    <w:rsid w:val="578E3178"/>
    <w:rsid w:val="57BC6165"/>
    <w:rsid w:val="57C739B1"/>
    <w:rsid w:val="57D91936"/>
    <w:rsid w:val="57DD4F82"/>
    <w:rsid w:val="57DF519E"/>
    <w:rsid w:val="57F14ED1"/>
    <w:rsid w:val="580469B3"/>
    <w:rsid w:val="580659AE"/>
    <w:rsid w:val="581379D1"/>
    <w:rsid w:val="581F4E77"/>
    <w:rsid w:val="585C2CC6"/>
    <w:rsid w:val="58726012"/>
    <w:rsid w:val="588D77A9"/>
    <w:rsid w:val="58931AE5"/>
    <w:rsid w:val="589477E8"/>
    <w:rsid w:val="589C308F"/>
    <w:rsid w:val="58AA73E6"/>
    <w:rsid w:val="58AB7467"/>
    <w:rsid w:val="58AE2DC2"/>
    <w:rsid w:val="58D565A1"/>
    <w:rsid w:val="58E95BA9"/>
    <w:rsid w:val="59004CD5"/>
    <w:rsid w:val="5915699E"/>
    <w:rsid w:val="59367EC7"/>
    <w:rsid w:val="59590F80"/>
    <w:rsid w:val="595A2602"/>
    <w:rsid w:val="59633BAD"/>
    <w:rsid w:val="59736E80"/>
    <w:rsid w:val="5996188C"/>
    <w:rsid w:val="5999312B"/>
    <w:rsid w:val="599B6EA3"/>
    <w:rsid w:val="59A3044D"/>
    <w:rsid w:val="59AF1E23"/>
    <w:rsid w:val="59B83EF9"/>
    <w:rsid w:val="59CF0B59"/>
    <w:rsid w:val="59D979CB"/>
    <w:rsid w:val="59E96214"/>
    <w:rsid w:val="59EB7934"/>
    <w:rsid w:val="59FB128F"/>
    <w:rsid w:val="5A0B7CD0"/>
    <w:rsid w:val="5A33357F"/>
    <w:rsid w:val="5A3C13EA"/>
    <w:rsid w:val="5A4C2893"/>
    <w:rsid w:val="5A6220B6"/>
    <w:rsid w:val="5A8E6A07"/>
    <w:rsid w:val="5A92249C"/>
    <w:rsid w:val="5AA72721"/>
    <w:rsid w:val="5AB5486F"/>
    <w:rsid w:val="5AB864BE"/>
    <w:rsid w:val="5ACB5DBE"/>
    <w:rsid w:val="5ACD5782"/>
    <w:rsid w:val="5AE60011"/>
    <w:rsid w:val="5AFB3D67"/>
    <w:rsid w:val="5B0D4C1C"/>
    <w:rsid w:val="5B116A47"/>
    <w:rsid w:val="5B157129"/>
    <w:rsid w:val="5B1909C7"/>
    <w:rsid w:val="5B272254"/>
    <w:rsid w:val="5B37709F"/>
    <w:rsid w:val="5B4377F2"/>
    <w:rsid w:val="5B810FCA"/>
    <w:rsid w:val="5B8A1279"/>
    <w:rsid w:val="5BB0235D"/>
    <w:rsid w:val="5BBD45C1"/>
    <w:rsid w:val="5BC30933"/>
    <w:rsid w:val="5BE12FA3"/>
    <w:rsid w:val="5BE37C7D"/>
    <w:rsid w:val="5BE508A9"/>
    <w:rsid w:val="5C1D5966"/>
    <w:rsid w:val="5C2E23E0"/>
    <w:rsid w:val="5C4D6613"/>
    <w:rsid w:val="5C623166"/>
    <w:rsid w:val="5C917C8F"/>
    <w:rsid w:val="5C936557"/>
    <w:rsid w:val="5C965734"/>
    <w:rsid w:val="5CAA564F"/>
    <w:rsid w:val="5CE90D0B"/>
    <w:rsid w:val="5CEB0141"/>
    <w:rsid w:val="5CED3EB9"/>
    <w:rsid w:val="5CF91B4D"/>
    <w:rsid w:val="5D203A78"/>
    <w:rsid w:val="5D255365"/>
    <w:rsid w:val="5D267B09"/>
    <w:rsid w:val="5D355860"/>
    <w:rsid w:val="5D504448"/>
    <w:rsid w:val="5D52369F"/>
    <w:rsid w:val="5D7E63B0"/>
    <w:rsid w:val="5D8866EC"/>
    <w:rsid w:val="5D967CCA"/>
    <w:rsid w:val="5D9B2DBB"/>
    <w:rsid w:val="5DAA13C6"/>
    <w:rsid w:val="5DAB37DD"/>
    <w:rsid w:val="5DAE1741"/>
    <w:rsid w:val="5DB04EE7"/>
    <w:rsid w:val="5DB9023F"/>
    <w:rsid w:val="5DC32E6C"/>
    <w:rsid w:val="5DD0554B"/>
    <w:rsid w:val="5DED7EE9"/>
    <w:rsid w:val="5E282CCF"/>
    <w:rsid w:val="5E3D55EE"/>
    <w:rsid w:val="5E3E0B9A"/>
    <w:rsid w:val="5E407C0D"/>
    <w:rsid w:val="5EBA601D"/>
    <w:rsid w:val="5EBF421E"/>
    <w:rsid w:val="5EDA66BF"/>
    <w:rsid w:val="5F067C9B"/>
    <w:rsid w:val="5F096FA4"/>
    <w:rsid w:val="5F1F40D2"/>
    <w:rsid w:val="5F27742B"/>
    <w:rsid w:val="5F555D46"/>
    <w:rsid w:val="5F7A57AC"/>
    <w:rsid w:val="5F922AF6"/>
    <w:rsid w:val="5F9745B0"/>
    <w:rsid w:val="5FBD4249"/>
    <w:rsid w:val="5FBE7697"/>
    <w:rsid w:val="5FE73417"/>
    <w:rsid w:val="60011A2A"/>
    <w:rsid w:val="60017C7C"/>
    <w:rsid w:val="600E5712"/>
    <w:rsid w:val="605B6755"/>
    <w:rsid w:val="607246D5"/>
    <w:rsid w:val="607C7302"/>
    <w:rsid w:val="608F64D8"/>
    <w:rsid w:val="60974DF7"/>
    <w:rsid w:val="60BC2888"/>
    <w:rsid w:val="60F8107F"/>
    <w:rsid w:val="60F95222"/>
    <w:rsid w:val="61377DF9"/>
    <w:rsid w:val="613D1187"/>
    <w:rsid w:val="61436338"/>
    <w:rsid w:val="61C807BC"/>
    <w:rsid w:val="61ED495B"/>
    <w:rsid w:val="61FE3AF3"/>
    <w:rsid w:val="6219690E"/>
    <w:rsid w:val="62297FF7"/>
    <w:rsid w:val="62575399"/>
    <w:rsid w:val="62606EDB"/>
    <w:rsid w:val="62716746"/>
    <w:rsid w:val="62911344"/>
    <w:rsid w:val="629E63D3"/>
    <w:rsid w:val="62B13874"/>
    <w:rsid w:val="62C57A58"/>
    <w:rsid w:val="62D00E29"/>
    <w:rsid w:val="62E01E19"/>
    <w:rsid w:val="62E418BB"/>
    <w:rsid w:val="62EE098B"/>
    <w:rsid w:val="62F647CF"/>
    <w:rsid w:val="62FA30B9"/>
    <w:rsid w:val="63350368"/>
    <w:rsid w:val="63356EA3"/>
    <w:rsid w:val="63377F11"/>
    <w:rsid w:val="635A1B7D"/>
    <w:rsid w:val="63672753"/>
    <w:rsid w:val="6372336A"/>
    <w:rsid w:val="638E0D2F"/>
    <w:rsid w:val="63984453"/>
    <w:rsid w:val="63A578CC"/>
    <w:rsid w:val="63A6324E"/>
    <w:rsid w:val="63AD0583"/>
    <w:rsid w:val="64041AE8"/>
    <w:rsid w:val="6405151E"/>
    <w:rsid w:val="64562060"/>
    <w:rsid w:val="64632CB3"/>
    <w:rsid w:val="64786EB7"/>
    <w:rsid w:val="647C1FC7"/>
    <w:rsid w:val="64975011"/>
    <w:rsid w:val="64A010A4"/>
    <w:rsid w:val="64BE25DF"/>
    <w:rsid w:val="64D651F4"/>
    <w:rsid w:val="64E25599"/>
    <w:rsid w:val="64E71F99"/>
    <w:rsid w:val="64F06881"/>
    <w:rsid w:val="651313E3"/>
    <w:rsid w:val="6531690D"/>
    <w:rsid w:val="653A1C66"/>
    <w:rsid w:val="653B5B23"/>
    <w:rsid w:val="65756D15"/>
    <w:rsid w:val="657607C4"/>
    <w:rsid w:val="657D7201"/>
    <w:rsid w:val="65876E75"/>
    <w:rsid w:val="65C5353E"/>
    <w:rsid w:val="65C9123C"/>
    <w:rsid w:val="65D42AD5"/>
    <w:rsid w:val="65E62E7A"/>
    <w:rsid w:val="6651045E"/>
    <w:rsid w:val="669F1C55"/>
    <w:rsid w:val="66D460EA"/>
    <w:rsid w:val="66E71979"/>
    <w:rsid w:val="66EC7F6C"/>
    <w:rsid w:val="66F2338B"/>
    <w:rsid w:val="67402739"/>
    <w:rsid w:val="676905E0"/>
    <w:rsid w:val="67BB5990"/>
    <w:rsid w:val="67C63C85"/>
    <w:rsid w:val="67CE2B39"/>
    <w:rsid w:val="681A3036"/>
    <w:rsid w:val="682B3AE8"/>
    <w:rsid w:val="683C7AA3"/>
    <w:rsid w:val="683E1A6D"/>
    <w:rsid w:val="684150B9"/>
    <w:rsid w:val="68590B4D"/>
    <w:rsid w:val="6861575B"/>
    <w:rsid w:val="68662D72"/>
    <w:rsid w:val="687E10BD"/>
    <w:rsid w:val="689E250C"/>
    <w:rsid w:val="68DB72BC"/>
    <w:rsid w:val="68DC3034"/>
    <w:rsid w:val="68DD3D60"/>
    <w:rsid w:val="68F13272"/>
    <w:rsid w:val="690A5DF3"/>
    <w:rsid w:val="691E27F7"/>
    <w:rsid w:val="69270753"/>
    <w:rsid w:val="6929771A"/>
    <w:rsid w:val="695760A3"/>
    <w:rsid w:val="69586B5E"/>
    <w:rsid w:val="69683870"/>
    <w:rsid w:val="69910C09"/>
    <w:rsid w:val="699110D7"/>
    <w:rsid w:val="69951B60"/>
    <w:rsid w:val="69961C32"/>
    <w:rsid w:val="69A27DD9"/>
    <w:rsid w:val="69D361E5"/>
    <w:rsid w:val="69E00902"/>
    <w:rsid w:val="69EC5DE8"/>
    <w:rsid w:val="69EE3E46"/>
    <w:rsid w:val="69F452BC"/>
    <w:rsid w:val="69F74334"/>
    <w:rsid w:val="69F85BB3"/>
    <w:rsid w:val="6A0960AB"/>
    <w:rsid w:val="6A210462"/>
    <w:rsid w:val="6A241D9D"/>
    <w:rsid w:val="6A260A0B"/>
    <w:rsid w:val="6A386990"/>
    <w:rsid w:val="6A3F1189"/>
    <w:rsid w:val="6A4439F6"/>
    <w:rsid w:val="6A4E3ABD"/>
    <w:rsid w:val="6A5512F0"/>
    <w:rsid w:val="6A987F77"/>
    <w:rsid w:val="6AAD178D"/>
    <w:rsid w:val="6AB46016"/>
    <w:rsid w:val="6AB73874"/>
    <w:rsid w:val="6AC87B01"/>
    <w:rsid w:val="6ADE4353"/>
    <w:rsid w:val="6AF44665"/>
    <w:rsid w:val="6B02365C"/>
    <w:rsid w:val="6B234F4A"/>
    <w:rsid w:val="6B2519DB"/>
    <w:rsid w:val="6B2C02A3"/>
    <w:rsid w:val="6B6047D5"/>
    <w:rsid w:val="6B863082"/>
    <w:rsid w:val="6BA14108"/>
    <w:rsid w:val="6BDC0AE0"/>
    <w:rsid w:val="6BEC0D1C"/>
    <w:rsid w:val="6BF40694"/>
    <w:rsid w:val="6C12075B"/>
    <w:rsid w:val="6C33653A"/>
    <w:rsid w:val="6C4D14AC"/>
    <w:rsid w:val="6C567ACE"/>
    <w:rsid w:val="6C5D1BA3"/>
    <w:rsid w:val="6C762F3B"/>
    <w:rsid w:val="6CAD0F6F"/>
    <w:rsid w:val="6CAD71C1"/>
    <w:rsid w:val="6CAE5D0C"/>
    <w:rsid w:val="6CC649E7"/>
    <w:rsid w:val="6CCE7137"/>
    <w:rsid w:val="6CD7423E"/>
    <w:rsid w:val="6CEB7CE9"/>
    <w:rsid w:val="6D051D77"/>
    <w:rsid w:val="6D0B19EF"/>
    <w:rsid w:val="6D27431E"/>
    <w:rsid w:val="6D3C22F3"/>
    <w:rsid w:val="6D4A2C62"/>
    <w:rsid w:val="6D593B65"/>
    <w:rsid w:val="6D7F339F"/>
    <w:rsid w:val="6D8D7FAB"/>
    <w:rsid w:val="6DB8406F"/>
    <w:rsid w:val="6DC2298A"/>
    <w:rsid w:val="6DDA5CDD"/>
    <w:rsid w:val="6DF826BE"/>
    <w:rsid w:val="6E082ADC"/>
    <w:rsid w:val="6E296D1B"/>
    <w:rsid w:val="6E4109C5"/>
    <w:rsid w:val="6E4E6782"/>
    <w:rsid w:val="6E661C4B"/>
    <w:rsid w:val="6E6E2980"/>
    <w:rsid w:val="6E737F96"/>
    <w:rsid w:val="6E7855AD"/>
    <w:rsid w:val="6EB570F1"/>
    <w:rsid w:val="6EC6456A"/>
    <w:rsid w:val="6ED053E9"/>
    <w:rsid w:val="6EEF2659"/>
    <w:rsid w:val="6EFE4BF0"/>
    <w:rsid w:val="6F174DC6"/>
    <w:rsid w:val="6F176B74"/>
    <w:rsid w:val="6F4B2CC1"/>
    <w:rsid w:val="6F537846"/>
    <w:rsid w:val="6F5F71DE"/>
    <w:rsid w:val="6F77163A"/>
    <w:rsid w:val="6F984159"/>
    <w:rsid w:val="6FBE2549"/>
    <w:rsid w:val="6FC4095F"/>
    <w:rsid w:val="6FFD4727"/>
    <w:rsid w:val="70025A76"/>
    <w:rsid w:val="7008009B"/>
    <w:rsid w:val="70090454"/>
    <w:rsid w:val="702E0619"/>
    <w:rsid w:val="70441BEA"/>
    <w:rsid w:val="70553DF8"/>
    <w:rsid w:val="70773BBF"/>
    <w:rsid w:val="70A66401"/>
    <w:rsid w:val="70C943AC"/>
    <w:rsid w:val="70CB5E68"/>
    <w:rsid w:val="70D6480D"/>
    <w:rsid w:val="70D70CB1"/>
    <w:rsid w:val="70F45895"/>
    <w:rsid w:val="71107458"/>
    <w:rsid w:val="711D41EA"/>
    <w:rsid w:val="712B2DAA"/>
    <w:rsid w:val="713741DD"/>
    <w:rsid w:val="713A4D9B"/>
    <w:rsid w:val="713B2DF3"/>
    <w:rsid w:val="717958C4"/>
    <w:rsid w:val="719A3A8C"/>
    <w:rsid w:val="71A8531C"/>
    <w:rsid w:val="71BB2380"/>
    <w:rsid w:val="71EF23D9"/>
    <w:rsid w:val="71FC7EA5"/>
    <w:rsid w:val="724A45D8"/>
    <w:rsid w:val="72603664"/>
    <w:rsid w:val="728313C6"/>
    <w:rsid w:val="72874010"/>
    <w:rsid w:val="728F7281"/>
    <w:rsid w:val="72AE77EF"/>
    <w:rsid w:val="72D548F7"/>
    <w:rsid w:val="73085109"/>
    <w:rsid w:val="732B0E40"/>
    <w:rsid w:val="7330600F"/>
    <w:rsid w:val="73597B32"/>
    <w:rsid w:val="7362231C"/>
    <w:rsid w:val="7390793D"/>
    <w:rsid w:val="73941822"/>
    <w:rsid w:val="73966C01"/>
    <w:rsid w:val="739E7864"/>
    <w:rsid w:val="739F526D"/>
    <w:rsid w:val="73A409FB"/>
    <w:rsid w:val="73A66718"/>
    <w:rsid w:val="73B60478"/>
    <w:rsid w:val="74031DBD"/>
    <w:rsid w:val="74177616"/>
    <w:rsid w:val="742F670E"/>
    <w:rsid w:val="74342003"/>
    <w:rsid w:val="74424693"/>
    <w:rsid w:val="745028BB"/>
    <w:rsid w:val="7463285B"/>
    <w:rsid w:val="746334D8"/>
    <w:rsid w:val="74650381"/>
    <w:rsid w:val="74825555"/>
    <w:rsid w:val="74B3733F"/>
    <w:rsid w:val="750648B2"/>
    <w:rsid w:val="751D3132"/>
    <w:rsid w:val="7521439B"/>
    <w:rsid w:val="754E376C"/>
    <w:rsid w:val="75693463"/>
    <w:rsid w:val="75695C4F"/>
    <w:rsid w:val="75A629FF"/>
    <w:rsid w:val="75A90742"/>
    <w:rsid w:val="75B01AD0"/>
    <w:rsid w:val="75C8506C"/>
    <w:rsid w:val="75CF1E94"/>
    <w:rsid w:val="75D63645"/>
    <w:rsid w:val="75D7705D"/>
    <w:rsid w:val="75F95225"/>
    <w:rsid w:val="764C5C54"/>
    <w:rsid w:val="764E578E"/>
    <w:rsid w:val="76503BB8"/>
    <w:rsid w:val="76544B8E"/>
    <w:rsid w:val="76806160"/>
    <w:rsid w:val="76B146A9"/>
    <w:rsid w:val="76B37127"/>
    <w:rsid w:val="76B51797"/>
    <w:rsid w:val="76B949B4"/>
    <w:rsid w:val="76BE02EA"/>
    <w:rsid w:val="76D14890"/>
    <w:rsid w:val="76D50D6E"/>
    <w:rsid w:val="76DD06A3"/>
    <w:rsid w:val="77067BF3"/>
    <w:rsid w:val="771147F0"/>
    <w:rsid w:val="771F0CBB"/>
    <w:rsid w:val="77281627"/>
    <w:rsid w:val="77493F8A"/>
    <w:rsid w:val="776B2153"/>
    <w:rsid w:val="776C645E"/>
    <w:rsid w:val="777C610E"/>
    <w:rsid w:val="77A2369A"/>
    <w:rsid w:val="77A318EC"/>
    <w:rsid w:val="77AF4036"/>
    <w:rsid w:val="77D6190A"/>
    <w:rsid w:val="77E617D9"/>
    <w:rsid w:val="77E90D1D"/>
    <w:rsid w:val="77FA5285"/>
    <w:rsid w:val="78106856"/>
    <w:rsid w:val="781446B6"/>
    <w:rsid w:val="7819395D"/>
    <w:rsid w:val="782D565A"/>
    <w:rsid w:val="78393FFF"/>
    <w:rsid w:val="783B7DD5"/>
    <w:rsid w:val="784309DA"/>
    <w:rsid w:val="7855070D"/>
    <w:rsid w:val="788B412F"/>
    <w:rsid w:val="78930E2C"/>
    <w:rsid w:val="78A60180"/>
    <w:rsid w:val="78B94D42"/>
    <w:rsid w:val="78C22246"/>
    <w:rsid w:val="78C4316C"/>
    <w:rsid w:val="78E53565"/>
    <w:rsid w:val="78E902A2"/>
    <w:rsid w:val="78FD1E3E"/>
    <w:rsid w:val="79060E41"/>
    <w:rsid w:val="790D22C6"/>
    <w:rsid w:val="792D7A1C"/>
    <w:rsid w:val="79424A4D"/>
    <w:rsid w:val="79426EE3"/>
    <w:rsid w:val="796A6496"/>
    <w:rsid w:val="796C6890"/>
    <w:rsid w:val="797D43BF"/>
    <w:rsid w:val="797E3990"/>
    <w:rsid w:val="798E2128"/>
    <w:rsid w:val="79922EF3"/>
    <w:rsid w:val="79BA0EC5"/>
    <w:rsid w:val="79C478F8"/>
    <w:rsid w:val="79F44E2E"/>
    <w:rsid w:val="79FE1940"/>
    <w:rsid w:val="7A087E4F"/>
    <w:rsid w:val="7A0B19CB"/>
    <w:rsid w:val="7A287E87"/>
    <w:rsid w:val="7A2F68BA"/>
    <w:rsid w:val="7A4831E2"/>
    <w:rsid w:val="7A583B2A"/>
    <w:rsid w:val="7A5E1AFB"/>
    <w:rsid w:val="7A5F5873"/>
    <w:rsid w:val="7A6D4434"/>
    <w:rsid w:val="7A6D7F90"/>
    <w:rsid w:val="7A9E1A5F"/>
    <w:rsid w:val="7AB83901"/>
    <w:rsid w:val="7AC1208A"/>
    <w:rsid w:val="7ACF0C4A"/>
    <w:rsid w:val="7AD03BFA"/>
    <w:rsid w:val="7AD41DBD"/>
    <w:rsid w:val="7ADD216B"/>
    <w:rsid w:val="7AE40AEA"/>
    <w:rsid w:val="7AEC35AA"/>
    <w:rsid w:val="7AF47D88"/>
    <w:rsid w:val="7B05641A"/>
    <w:rsid w:val="7B2F16E9"/>
    <w:rsid w:val="7B367B0A"/>
    <w:rsid w:val="7B4B72CE"/>
    <w:rsid w:val="7B705F89"/>
    <w:rsid w:val="7B8F3F36"/>
    <w:rsid w:val="7BAE21AE"/>
    <w:rsid w:val="7BD008BB"/>
    <w:rsid w:val="7BD06A28"/>
    <w:rsid w:val="7BD83B2F"/>
    <w:rsid w:val="7C093CE8"/>
    <w:rsid w:val="7C2E19A1"/>
    <w:rsid w:val="7C52568F"/>
    <w:rsid w:val="7C5807CC"/>
    <w:rsid w:val="7C6668FD"/>
    <w:rsid w:val="7C69271F"/>
    <w:rsid w:val="7C765821"/>
    <w:rsid w:val="7C7F6AF7"/>
    <w:rsid w:val="7C9931A2"/>
    <w:rsid w:val="7C9932BE"/>
    <w:rsid w:val="7CA0289E"/>
    <w:rsid w:val="7CA825BD"/>
    <w:rsid w:val="7CAC1243"/>
    <w:rsid w:val="7CC04CEF"/>
    <w:rsid w:val="7CE35C60"/>
    <w:rsid w:val="7CE7709B"/>
    <w:rsid w:val="7CF80587"/>
    <w:rsid w:val="7D052D9F"/>
    <w:rsid w:val="7D151580"/>
    <w:rsid w:val="7D630A43"/>
    <w:rsid w:val="7D6457E7"/>
    <w:rsid w:val="7D6733BC"/>
    <w:rsid w:val="7D9121E7"/>
    <w:rsid w:val="7D990506"/>
    <w:rsid w:val="7DDF73F6"/>
    <w:rsid w:val="7DFD5ACF"/>
    <w:rsid w:val="7E11273F"/>
    <w:rsid w:val="7E115CBB"/>
    <w:rsid w:val="7E3736CB"/>
    <w:rsid w:val="7E4E1E86"/>
    <w:rsid w:val="7E573DE4"/>
    <w:rsid w:val="7E5E5106"/>
    <w:rsid w:val="7E707427"/>
    <w:rsid w:val="7E747B3F"/>
    <w:rsid w:val="7EB75C7D"/>
    <w:rsid w:val="7EE25F1D"/>
    <w:rsid w:val="7EF36664"/>
    <w:rsid w:val="7EFB200E"/>
    <w:rsid w:val="7F0D3AEF"/>
    <w:rsid w:val="7F4968B4"/>
    <w:rsid w:val="7F73429A"/>
    <w:rsid w:val="7F8861CA"/>
    <w:rsid w:val="7F985AAF"/>
    <w:rsid w:val="7FC65A5D"/>
    <w:rsid w:val="7FDC3CAB"/>
    <w:rsid w:val="7FE27B5E"/>
    <w:rsid w:val="7FF92A9F"/>
    <w:rsid w:val="7FFF02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qFormat="1"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99" w:name="Document Map"/>
    <w:lsdException w:qFormat="1" w:unhideWhenUsed="0" w:uiPriority="0" w:semiHidden="0" w:name="Plain Text"/>
    <w:lsdException w:qFormat="1" w:unhideWhenUsed="0" w:uiPriority="99" w:semiHidden="0"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1"/>
    <w:autoRedefine/>
    <w:qFormat/>
    <w:uiPriority w:val="9"/>
    <w:pPr>
      <w:autoSpaceDE w:val="0"/>
      <w:autoSpaceDN w:val="0"/>
      <w:adjustRightInd w:val="0"/>
      <w:jc w:val="left"/>
      <w:outlineLvl w:val="0"/>
    </w:pPr>
    <w:rPr>
      <w:rFonts w:ascii="宋体" w:hAnsi="Calibri" w:eastAsia="宋体" w:cs="Times New Roman"/>
      <w:kern w:val="0"/>
      <w:sz w:val="24"/>
      <w:szCs w:val="24"/>
    </w:rPr>
  </w:style>
  <w:style w:type="paragraph" w:styleId="4">
    <w:name w:val="heading 2"/>
    <w:basedOn w:val="1"/>
    <w:next w:val="1"/>
    <w:link w:val="69"/>
    <w:autoRedefine/>
    <w:qFormat/>
    <w:uiPriority w:val="0"/>
    <w:pPr>
      <w:autoSpaceDE w:val="0"/>
      <w:autoSpaceDN w:val="0"/>
      <w:adjustRightInd w:val="0"/>
      <w:jc w:val="left"/>
      <w:outlineLvl w:val="1"/>
    </w:pPr>
    <w:rPr>
      <w:rFonts w:ascii="宋体" w:hAnsi="Calibri" w:eastAsia="宋体" w:cs="Times New Roman"/>
      <w:kern w:val="0"/>
      <w:sz w:val="24"/>
      <w:szCs w:val="24"/>
    </w:rPr>
  </w:style>
  <w:style w:type="paragraph" w:styleId="5">
    <w:name w:val="heading 3"/>
    <w:basedOn w:val="1"/>
    <w:next w:val="1"/>
    <w:link w:val="165"/>
    <w:autoRedefine/>
    <w:qFormat/>
    <w:uiPriority w:val="0"/>
    <w:pPr>
      <w:autoSpaceDE w:val="0"/>
      <w:autoSpaceDN w:val="0"/>
      <w:adjustRightInd w:val="0"/>
      <w:jc w:val="left"/>
      <w:outlineLvl w:val="2"/>
    </w:pPr>
    <w:rPr>
      <w:rFonts w:ascii="宋体" w:hAnsi="Calibri" w:eastAsia="宋体" w:cs="Times New Roman"/>
      <w:kern w:val="0"/>
      <w:sz w:val="24"/>
      <w:szCs w:val="24"/>
    </w:rPr>
  </w:style>
  <w:style w:type="paragraph" w:styleId="6">
    <w:name w:val="heading 4"/>
    <w:basedOn w:val="1"/>
    <w:next w:val="1"/>
    <w:link w:val="71"/>
    <w:autoRedefine/>
    <w:qFormat/>
    <w:uiPriority w:val="9"/>
    <w:pPr>
      <w:keepNext/>
      <w:keepLines/>
      <w:autoSpaceDE w:val="0"/>
      <w:autoSpaceDN w:val="0"/>
      <w:adjustRightInd w:val="0"/>
      <w:spacing w:before="280" w:after="290" w:line="376" w:lineRule="auto"/>
      <w:jc w:val="left"/>
      <w:outlineLvl w:val="3"/>
    </w:pPr>
    <w:rPr>
      <w:rFonts w:ascii="Arial" w:hAnsi="Arial" w:eastAsia="黑体" w:cs="Times New Roman"/>
      <w:b/>
      <w:bCs/>
      <w:kern w:val="0"/>
      <w:sz w:val="28"/>
      <w:szCs w:val="28"/>
    </w:rPr>
  </w:style>
  <w:style w:type="paragraph" w:styleId="7">
    <w:name w:val="heading 5"/>
    <w:basedOn w:val="1"/>
    <w:next w:val="1"/>
    <w:link w:val="153"/>
    <w:autoRedefine/>
    <w:qFormat/>
    <w:uiPriority w:val="9"/>
    <w:pPr>
      <w:keepNext/>
      <w:keepLines/>
      <w:autoSpaceDE w:val="0"/>
      <w:autoSpaceDN w:val="0"/>
      <w:adjustRightInd w:val="0"/>
      <w:spacing w:before="280" w:after="290" w:line="376" w:lineRule="auto"/>
      <w:jc w:val="left"/>
      <w:outlineLvl w:val="4"/>
    </w:pPr>
    <w:rPr>
      <w:rFonts w:ascii="宋体" w:hAnsi="Calibri" w:eastAsia="宋体" w:cs="Times New Roman"/>
      <w:b/>
      <w:bCs/>
      <w:kern w:val="0"/>
      <w:sz w:val="28"/>
      <w:szCs w:val="28"/>
    </w:rPr>
  </w:style>
  <w:style w:type="paragraph" w:styleId="8">
    <w:name w:val="heading 6"/>
    <w:basedOn w:val="1"/>
    <w:next w:val="9"/>
    <w:link w:val="163"/>
    <w:autoRedefine/>
    <w:qFormat/>
    <w:uiPriority w:val="9"/>
    <w:pPr>
      <w:keepLines/>
      <w:tabs>
        <w:tab w:val="left" w:pos="1152"/>
      </w:tabs>
      <w:adjustRightInd w:val="0"/>
      <w:snapToGrid w:val="0"/>
      <w:spacing w:beforeLines="50" w:line="360" w:lineRule="auto"/>
      <w:ind w:left="1152" w:hanging="1152"/>
      <w:jc w:val="left"/>
      <w:textAlignment w:val="baseline"/>
      <w:outlineLvl w:val="5"/>
    </w:pPr>
    <w:rPr>
      <w:rFonts w:ascii="Times New Roman" w:hAnsi="Calibri" w:eastAsia="黑体" w:cs="Times New Roman"/>
      <w:b/>
      <w:bCs/>
      <w:kern w:val="0"/>
      <w:sz w:val="28"/>
      <w:szCs w:val="24"/>
    </w:rPr>
  </w:style>
  <w:style w:type="paragraph" w:styleId="10">
    <w:name w:val="heading 7"/>
    <w:basedOn w:val="1"/>
    <w:next w:val="9"/>
    <w:link w:val="74"/>
    <w:autoRedefine/>
    <w:qFormat/>
    <w:uiPriority w:val="9"/>
    <w:pPr>
      <w:keepNext/>
      <w:keepLines/>
      <w:tabs>
        <w:tab w:val="left" w:pos="1296"/>
      </w:tabs>
      <w:adjustRightInd w:val="0"/>
      <w:snapToGrid w:val="0"/>
      <w:spacing w:before="240" w:after="120"/>
      <w:ind w:left="1296" w:hanging="1296"/>
      <w:textAlignment w:val="baseline"/>
      <w:outlineLvl w:val="6"/>
    </w:pPr>
    <w:rPr>
      <w:rFonts w:ascii="Times New Roman" w:hAnsi="Calibri" w:eastAsia="黑体" w:cs="Times New Roman"/>
      <w:b/>
      <w:bCs/>
      <w:kern w:val="0"/>
      <w:sz w:val="28"/>
      <w:szCs w:val="24"/>
    </w:rPr>
  </w:style>
  <w:style w:type="paragraph" w:styleId="11">
    <w:name w:val="heading 8"/>
    <w:basedOn w:val="1"/>
    <w:next w:val="9"/>
    <w:link w:val="75"/>
    <w:autoRedefine/>
    <w:qFormat/>
    <w:uiPriority w:val="9"/>
    <w:pPr>
      <w:keepNext/>
      <w:keepLines/>
      <w:tabs>
        <w:tab w:val="left" w:pos="1440"/>
      </w:tabs>
      <w:snapToGrid w:val="0"/>
      <w:spacing w:before="240" w:after="120"/>
      <w:ind w:left="1440" w:hanging="1440"/>
      <w:outlineLvl w:val="7"/>
    </w:pPr>
    <w:rPr>
      <w:rFonts w:ascii="Times New Roman" w:hAnsi="Calibri" w:eastAsia="黑体" w:cs="Times New Roman"/>
      <w:b/>
      <w:kern w:val="0"/>
      <w:sz w:val="28"/>
      <w:szCs w:val="24"/>
    </w:rPr>
  </w:style>
  <w:style w:type="paragraph" w:styleId="12">
    <w:name w:val="heading 9"/>
    <w:basedOn w:val="1"/>
    <w:next w:val="9"/>
    <w:link w:val="76"/>
    <w:autoRedefine/>
    <w:qFormat/>
    <w:uiPriority w:val="9"/>
    <w:pPr>
      <w:keepNext/>
      <w:keepLines/>
      <w:tabs>
        <w:tab w:val="left" w:pos="1584"/>
      </w:tabs>
      <w:snapToGrid w:val="0"/>
      <w:spacing w:before="240" w:after="120"/>
      <w:ind w:left="1584" w:hanging="1584"/>
      <w:outlineLvl w:val="8"/>
    </w:pPr>
    <w:rPr>
      <w:rFonts w:ascii="Times New Roman" w:hAnsi="Calibri" w:eastAsia="黑体" w:cs="Times New Roman"/>
      <w:b/>
      <w:kern w:val="0"/>
      <w:sz w:val="28"/>
      <w:szCs w:val="24"/>
    </w:rPr>
  </w:style>
  <w:style w:type="character" w:default="1" w:styleId="54">
    <w:name w:val="Default Paragraph Font"/>
    <w:semiHidden/>
    <w:unhideWhenUsed/>
    <w:qFormat/>
    <w:uiPriority w:val="1"/>
  </w:style>
  <w:style w:type="table" w:default="1" w:styleId="52">
    <w:name w:val="Normal Table"/>
    <w:autoRedefine/>
    <w:semiHidden/>
    <w:unhideWhenUsed/>
    <w:qFormat/>
    <w:uiPriority w:val="99"/>
    <w:tblPr>
      <w:tblCellMar>
        <w:top w:w="0" w:type="dxa"/>
        <w:left w:w="108" w:type="dxa"/>
        <w:bottom w:w="0" w:type="dxa"/>
        <w:right w:w="108" w:type="dxa"/>
      </w:tblCellMar>
    </w:tblPr>
  </w:style>
  <w:style w:type="paragraph" w:styleId="2">
    <w:name w:val="toa heading"/>
    <w:basedOn w:val="1"/>
    <w:next w:val="1"/>
    <w:autoRedefine/>
    <w:qFormat/>
    <w:uiPriority w:val="0"/>
    <w:pPr>
      <w:autoSpaceDE w:val="0"/>
      <w:autoSpaceDN w:val="0"/>
      <w:adjustRightInd w:val="0"/>
      <w:snapToGrid w:val="0"/>
      <w:spacing w:before="120" w:line="360" w:lineRule="auto"/>
    </w:pPr>
    <w:rPr>
      <w:rFonts w:ascii="Arial" w:hAnsi="Arial"/>
      <w:snapToGrid w:val="0"/>
      <w:color w:val="000000"/>
      <w:kern w:val="0"/>
      <w:szCs w:val="20"/>
    </w:rPr>
  </w:style>
  <w:style w:type="paragraph" w:customStyle="1" w:styleId="9">
    <w:name w:val="模板正文"/>
    <w:basedOn w:val="1"/>
    <w:link w:val="115"/>
    <w:autoRedefine/>
    <w:qFormat/>
    <w:uiPriority w:val="0"/>
    <w:pPr>
      <w:wordWrap w:val="0"/>
      <w:autoSpaceDE w:val="0"/>
      <w:autoSpaceDN w:val="0"/>
      <w:adjustRightInd w:val="0"/>
      <w:spacing w:beforeLines="50" w:line="360" w:lineRule="auto"/>
      <w:ind w:firstLine="200" w:firstLineChars="200"/>
      <w:jc w:val="left"/>
    </w:pPr>
    <w:rPr>
      <w:rFonts w:ascii="宋体" w:eastAsia="仿宋"/>
      <w:sz w:val="24"/>
      <w:szCs w:val="21"/>
    </w:rPr>
  </w:style>
  <w:style w:type="paragraph" w:styleId="13">
    <w:name w:val="toc 7"/>
    <w:basedOn w:val="1"/>
    <w:next w:val="1"/>
    <w:autoRedefine/>
    <w:unhideWhenUsed/>
    <w:qFormat/>
    <w:uiPriority w:val="39"/>
    <w:pPr>
      <w:ind w:left="2520" w:leftChars="1200"/>
    </w:pPr>
  </w:style>
  <w:style w:type="paragraph" w:styleId="14">
    <w:name w:val="E-mail Signature"/>
    <w:basedOn w:val="1"/>
    <w:next w:val="15"/>
    <w:autoRedefine/>
    <w:qFormat/>
    <w:uiPriority w:val="99"/>
    <w:rPr>
      <w:lang w:bidi="th-TH"/>
    </w:rPr>
  </w:style>
  <w:style w:type="paragraph" w:customStyle="1" w:styleId="15">
    <w:name w:val="文章"/>
    <w:basedOn w:val="16"/>
    <w:next w:val="18"/>
    <w:autoRedefine/>
    <w:qFormat/>
    <w:uiPriority w:val="0"/>
    <w:pPr>
      <w:widowControl/>
      <w:spacing w:line="300" w:lineRule="auto"/>
      <w:ind w:firstLine="200" w:firstLineChars="200"/>
      <w:jc w:val="left"/>
    </w:pPr>
    <w:rPr>
      <w:rFonts w:ascii="宋体" w:hAnsi="宋体" w:cs="宋体"/>
      <w:kern w:val="0"/>
      <w:sz w:val="24"/>
    </w:rPr>
  </w:style>
  <w:style w:type="paragraph" w:styleId="16">
    <w:name w:val="Body Text Indent"/>
    <w:basedOn w:val="1"/>
    <w:next w:val="17"/>
    <w:link w:val="113"/>
    <w:autoRedefine/>
    <w:qFormat/>
    <w:uiPriority w:val="0"/>
    <w:pPr>
      <w:ind w:left="567" w:leftChars="270"/>
    </w:pPr>
    <w:rPr>
      <w:rFonts w:ascii="Times New Roman" w:hAnsi="Times New Roman" w:eastAsia="宋体" w:cs="Times New Roman"/>
      <w:szCs w:val="20"/>
    </w:rPr>
  </w:style>
  <w:style w:type="paragraph" w:styleId="17">
    <w:name w:val="Body Text"/>
    <w:basedOn w:val="1"/>
    <w:link w:val="139"/>
    <w:autoRedefine/>
    <w:qFormat/>
    <w:uiPriority w:val="99"/>
    <w:pPr>
      <w:autoSpaceDE w:val="0"/>
      <w:autoSpaceDN w:val="0"/>
      <w:adjustRightInd w:val="0"/>
      <w:ind w:right="-26"/>
      <w:jc w:val="center"/>
    </w:pPr>
    <w:rPr>
      <w:rFonts w:ascii="宋体" w:eastAsia="宋体"/>
      <w:b/>
      <w:bCs/>
      <w:sz w:val="84"/>
      <w:szCs w:val="84"/>
      <w:lang w:val="zh-CN"/>
    </w:rPr>
  </w:style>
  <w:style w:type="paragraph" w:styleId="18">
    <w:name w:val="List"/>
    <w:basedOn w:val="1"/>
    <w:next w:val="19"/>
    <w:autoRedefine/>
    <w:unhideWhenUsed/>
    <w:qFormat/>
    <w:uiPriority w:val="0"/>
    <w:pPr>
      <w:autoSpaceDE w:val="0"/>
      <w:autoSpaceDN w:val="0"/>
      <w:adjustRightInd w:val="0"/>
      <w:ind w:left="200" w:hanging="200" w:hangingChars="200"/>
      <w:contextualSpacing/>
      <w:jc w:val="left"/>
    </w:pPr>
    <w:rPr>
      <w:rFonts w:ascii="宋体" w:hAnsi="Calibri" w:eastAsia="宋体" w:cs="Times New Roman"/>
      <w:kern w:val="0"/>
      <w:sz w:val="24"/>
      <w:szCs w:val="24"/>
    </w:rPr>
  </w:style>
  <w:style w:type="paragraph" w:styleId="19">
    <w:name w:val="List Bullet 2"/>
    <w:basedOn w:val="1"/>
    <w:next w:val="20"/>
    <w:semiHidden/>
    <w:unhideWhenUsed/>
    <w:qFormat/>
    <w:uiPriority w:val="99"/>
    <w:pPr>
      <w:numPr>
        <w:ilvl w:val="0"/>
        <w:numId w:val="1"/>
      </w:numPr>
    </w:pPr>
  </w:style>
  <w:style w:type="paragraph" w:customStyle="1" w:styleId="20">
    <w:name w:val="xl70"/>
    <w:basedOn w:val="1"/>
    <w:next w:val="21"/>
    <w:autoRedefine/>
    <w:qFormat/>
    <w:uiPriority w:val="0"/>
    <w:pPr>
      <w:widowControl/>
      <w:pBdr>
        <w:left w:val="single" w:color="auto" w:sz="4" w:space="0"/>
        <w:right w:val="single" w:color="auto" w:sz="4" w:space="0"/>
      </w:pBdr>
      <w:spacing w:before="100" w:beforeAutospacing="1" w:after="100" w:afterAutospacing="1"/>
      <w:jc w:val="center"/>
      <w:textAlignment w:val="top"/>
    </w:pPr>
    <w:rPr>
      <w:rFonts w:ascii="Arial Unicode MS" w:hAnsi="Arial Unicode MS" w:eastAsia="Arial Unicode MS" w:cs="Arial Unicode MS"/>
      <w:b/>
      <w:bCs/>
      <w:color w:val="000000"/>
      <w:kern w:val="0"/>
      <w:sz w:val="18"/>
      <w:szCs w:val="18"/>
    </w:rPr>
  </w:style>
  <w:style w:type="paragraph" w:customStyle="1" w:styleId="21">
    <w:name w:val="正文缩进1"/>
    <w:basedOn w:val="1"/>
    <w:next w:val="22"/>
    <w:autoRedefine/>
    <w:qFormat/>
    <w:uiPriority w:val="0"/>
    <w:pPr>
      <w:adjustRightInd w:val="0"/>
      <w:ind w:firstLine="420" w:firstLineChars="200"/>
      <w:textAlignment w:val="baseline"/>
    </w:pPr>
    <w:rPr>
      <w:kern w:val="0"/>
      <w:sz w:val="24"/>
    </w:rPr>
  </w:style>
  <w:style w:type="paragraph" w:customStyle="1" w:styleId="22">
    <w:name w:val="td1"/>
    <w:basedOn w:val="1"/>
    <w:next w:val="1"/>
    <w:autoRedefine/>
    <w:qFormat/>
    <w:uiPriority w:val="0"/>
    <w:pPr>
      <w:widowControl/>
      <w:spacing w:before="100" w:beforeAutospacing="1" w:after="100" w:afterAutospacing="1"/>
      <w:jc w:val="center"/>
    </w:pPr>
    <w:rPr>
      <w:rFonts w:ascii="宋体" w:hAnsi="宋体"/>
      <w:b/>
      <w:bCs/>
      <w:color w:val="0000FF"/>
      <w:kern w:val="0"/>
      <w:sz w:val="28"/>
      <w:szCs w:val="28"/>
      <w:u w:val="single"/>
    </w:rPr>
  </w:style>
  <w:style w:type="paragraph" w:styleId="23">
    <w:name w:val="Normal Indent"/>
    <w:basedOn w:val="1"/>
    <w:next w:val="24"/>
    <w:autoRedefine/>
    <w:qFormat/>
    <w:uiPriority w:val="0"/>
    <w:pPr>
      <w:widowControl/>
      <w:autoSpaceDE w:val="0"/>
      <w:autoSpaceDN w:val="0"/>
      <w:adjustRightInd w:val="0"/>
      <w:ind w:firstLine="420" w:firstLineChars="200"/>
      <w:jc w:val="left"/>
    </w:pPr>
    <w:rPr>
      <w:rFonts w:ascii="宋体" w:hAnsi="Calibri" w:eastAsia="宋体" w:cs="Times New Roman"/>
      <w:kern w:val="0"/>
      <w:sz w:val="20"/>
      <w:szCs w:val="20"/>
    </w:rPr>
  </w:style>
  <w:style w:type="paragraph" w:customStyle="1" w:styleId="24">
    <w:name w:val="Default"/>
    <w:basedOn w:val="25"/>
    <w:autoRedefine/>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25">
    <w:name w:val="纯文本1"/>
    <w:basedOn w:val="1"/>
    <w:next w:val="1"/>
    <w:autoRedefine/>
    <w:qFormat/>
    <w:uiPriority w:val="0"/>
    <w:pPr>
      <w:adjustRightInd w:val="0"/>
      <w:textAlignment w:val="baseline"/>
    </w:pPr>
    <w:rPr>
      <w:rFonts w:ascii="宋体" w:hAnsi="Courier New"/>
      <w:sz w:val="24"/>
      <w:szCs w:val="20"/>
    </w:rPr>
  </w:style>
  <w:style w:type="paragraph" w:styleId="26">
    <w:name w:val="caption"/>
    <w:basedOn w:val="1"/>
    <w:next w:val="1"/>
    <w:link w:val="104"/>
    <w:autoRedefine/>
    <w:qFormat/>
    <w:uiPriority w:val="0"/>
    <w:pPr>
      <w:autoSpaceDE w:val="0"/>
      <w:autoSpaceDN w:val="0"/>
      <w:adjustRightInd w:val="0"/>
      <w:spacing w:before="152" w:after="160"/>
      <w:jc w:val="left"/>
    </w:pPr>
    <w:rPr>
      <w:rFonts w:ascii="Arial" w:hAnsi="Arial" w:eastAsia="黑体" w:cs="Arial"/>
    </w:rPr>
  </w:style>
  <w:style w:type="paragraph" w:styleId="27">
    <w:name w:val="Document Map"/>
    <w:basedOn w:val="1"/>
    <w:link w:val="137"/>
    <w:autoRedefine/>
    <w:semiHidden/>
    <w:qFormat/>
    <w:uiPriority w:val="99"/>
    <w:pPr>
      <w:shd w:val="clear" w:color="auto" w:fill="000080"/>
      <w:autoSpaceDE w:val="0"/>
      <w:autoSpaceDN w:val="0"/>
      <w:adjustRightInd w:val="0"/>
      <w:jc w:val="left"/>
    </w:pPr>
    <w:rPr>
      <w:rFonts w:ascii="宋体" w:hAnsi="Times New Roman" w:eastAsia="宋体" w:cs="Times New Roman"/>
      <w:kern w:val="0"/>
      <w:sz w:val="24"/>
      <w:szCs w:val="24"/>
    </w:rPr>
  </w:style>
  <w:style w:type="paragraph" w:styleId="28">
    <w:name w:val="annotation text"/>
    <w:basedOn w:val="1"/>
    <w:link w:val="184"/>
    <w:autoRedefine/>
    <w:unhideWhenUsed/>
    <w:qFormat/>
    <w:uiPriority w:val="99"/>
    <w:pPr>
      <w:jc w:val="left"/>
    </w:pPr>
    <w:rPr>
      <w:rFonts w:hint="eastAsia" w:ascii="等线" w:hAnsi="等线" w:eastAsia="等线" w:cs="Times New Roman"/>
    </w:rPr>
  </w:style>
  <w:style w:type="paragraph" w:styleId="29">
    <w:name w:val="Body Text 3"/>
    <w:basedOn w:val="1"/>
    <w:link w:val="177"/>
    <w:autoRedefine/>
    <w:qFormat/>
    <w:uiPriority w:val="0"/>
    <w:pPr>
      <w:autoSpaceDE w:val="0"/>
      <w:autoSpaceDN w:val="0"/>
      <w:adjustRightInd w:val="0"/>
      <w:ind w:right="-26"/>
      <w:jc w:val="center"/>
    </w:pPr>
    <w:rPr>
      <w:rFonts w:ascii="宋体" w:hAnsi="Times New Roman" w:eastAsia="宋体" w:cs="Times New Roman"/>
      <w:b/>
      <w:bCs/>
      <w:color w:val="3366FF"/>
      <w:sz w:val="52"/>
      <w:szCs w:val="52"/>
      <w:lang w:val="zh-CN"/>
    </w:rPr>
  </w:style>
  <w:style w:type="paragraph" w:styleId="30">
    <w:name w:val="toc 5"/>
    <w:basedOn w:val="1"/>
    <w:next w:val="1"/>
    <w:autoRedefine/>
    <w:unhideWhenUsed/>
    <w:qFormat/>
    <w:uiPriority w:val="39"/>
    <w:pPr>
      <w:ind w:left="1680" w:leftChars="800"/>
    </w:pPr>
  </w:style>
  <w:style w:type="paragraph" w:styleId="31">
    <w:name w:val="toc 3"/>
    <w:basedOn w:val="1"/>
    <w:next w:val="1"/>
    <w:autoRedefine/>
    <w:unhideWhenUsed/>
    <w:qFormat/>
    <w:uiPriority w:val="39"/>
    <w:pPr>
      <w:tabs>
        <w:tab w:val="right" w:leader="dot" w:pos="10144"/>
      </w:tabs>
      <w:ind w:left="840" w:leftChars="400"/>
    </w:pPr>
  </w:style>
  <w:style w:type="paragraph" w:styleId="32">
    <w:name w:val="Plain Text"/>
    <w:basedOn w:val="1"/>
    <w:link w:val="121"/>
    <w:autoRedefine/>
    <w:qFormat/>
    <w:uiPriority w:val="0"/>
    <w:rPr>
      <w:rFonts w:ascii="宋体" w:hAnsi="Courier New" w:eastAsia="宋体"/>
    </w:rPr>
  </w:style>
  <w:style w:type="paragraph" w:styleId="33">
    <w:name w:val="toc 8"/>
    <w:basedOn w:val="1"/>
    <w:next w:val="1"/>
    <w:autoRedefine/>
    <w:unhideWhenUsed/>
    <w:qFormat/>
    <w:uiPriority w:val="39"/>
    <w:pPr>
      <w:ind w:left="2940" w:leftChars="1400"/>
    </w:pPr>
  </w:style>
  <w:style w:type="paragraph" w:styleId="34">
    <w:name w:val="Date"/>
    <w:basedOn w:val="1"/>
    <w:next w:val="1"/>
    <w:link w:val="129"/>
    <w:autoRedefine/>
    <w:qFormat/>
    <w:uiPriority w:val="99"/>
    <w:pPr>
      <w:autoSpaceDE w:val="0"/>
      <w:autoSpaceDN w:val="0"/>
      <w:adjustRightInd w:val="0"/>
      <w:ind w:left="100" w:leftChars="2500"/>
      <w:jc w:val="left"/>
    </w:pPr>
    <w:rPr>
      <w:rFonts w:ascii="宋体" w:hAnsi="Times New Roman" w:eastAsia="宋体" w:cs="Times New Roman"/>
      <w:b/>
      <w:bCs/>
      <w:szCs w:val="21"/>
      <w:lang w:val="zh-CN"/>
    </w:rPr>
  </w:style>
  <w:style w:type="paragraph" w:styleId="35">
    <w:name w:val="Body Text Indent 2"/>
    <w:basedOn w:val="1"/>
    <w:link w:val="122"/>
    <w:autoRedefine/>
    <w:qFormat/>
    <w:uiPriority w:val="0"/>
    <w:pPr>
      <w:tabs>
        <w:tab w:val="left" w:pos="8640"/>
      </w:tabs>
      <w:ind w:left="1260"/>
    </w:pPr>
    <w:rPr>
      <w:rFonts w:ascii="宋体" w:hAnsi="Times New Roman" w:eastAsia="宋体" w:cs="Times New Roman"/>
      <w:szCs w:val="20"/>
    </w:rPr>
  </w:style>
  <w:style w:type="paragraph" w:styleId="36">
    <w:name w:val="Balloon Text"/>
    <w:basedOn w:val="1"/>
    <w:link w:val="95"/>
    <w:autoRedefine/>
    <w:qFormat/>
    <w:uiPriority w:val="0"/>
    <w:rPr>
      <w:rFonts w:ascii="Times New Roman" w:hAnsi="Times New Roman" w:eastAsia="宋体" w:cs="Times New Roman"/>
      <w:sz w:val="18"/>
      <w:szCs w:val="18"/>
    </w:rPr>
  </w:style>
  <w:style w:type="paragraph" w:styleId="37">
    <w:name w:val="footer"/>
    <w:basedOn w:val="1"/>
    <w:link w:val="223"/>
    <w:autoRedefine/>
    <w:qFormat/>
    <w:uiPriority w:val="99"/>
    <w:pPr>
      <w:tabs>
        <w:tab w:val="center" w:pos="4153"/>
        <w:tab w:val="right" w:pos="8306"/>
      </w:tabs>
      <w:autoSpaceDE w:val="0"/>
      <w:autoSpaceDN w:val="0"/>
      <w:adjustRightInd w:val="0"/>
      <w:snapToGrid w:val="0"/>
      <w:jc w:val="left"/>
    </w:pPr>
    <w:rPr>
      <w:rFonts w:ascii="宋体" w:eastAsia="宋体"/>
      <w:sz w:val="18"/>
      <w:szCs w:val="18"/>
    </w:rPr>
  </w:style>
  <w:style w:type="paragraph" w:styleId="38">
    <w:name w:val="header"/>
    <w:basedOn w:val="1"/>
    <w:link w:val="141"/>
    <w:autoRedefine/>
    <w:qFormat/>
    <w:uiPriority w:val="99"/>
    <w:pPr>
      <w:pBdr>
        <w:bottom w:val="single" w:color="auto" w:sz="6" w:space="1"/>
      </w:pBdr>
      <w:tabs>
        <w:tab w:val="center" w:pos="4153"/>
        <w:tab w:val="right" w:pos="8306"/>
      </w:tabs>
      <w:autoSpaceDE w:val="0"/>
      <w:autoSpaceDN w:val="0"/>
      <w:adjustRightInd w:val="0"/>
      <w:snapToGrid w:val="0"/>
      <w:jc w:val="center"/>
    </w:pPr>
    <w:rPr>
      <w:rFonts w:ascii="宋体" w:eastAsia="宋体"/>
      <w:sz w:val="18"/>
      <w:szCs w:val="18"/>
    </w:rPr>
  </w:style>
  <w:style w:type="paragraph" w:styleId="39">
    <w:name w:val="toc 1"/>
    <w:basedOn w:val="1"/>
    <w:next w:val="1"/>
    <w:autoRedefine/>
    <w:unhideWhenUsed/>
    <w:qFormat/>
    <w:uiPriority w:val="39"/>
  </w:style>
  <w:style w:type="paragraph" w:styleId="40">
    <w:name w:val="toc 4"/>
    <w:basedOn w:val="1"/>
    <w:next w:val="1"/>
    <w:autoRedefine/>
    <w:unhideWhenUsed/>
    <w:qFormat/>
    <w:uiPriority w:val="39"/>
    <w:pPr>
      <w:ind w:left="1260" w:leftChars="600"/>
    </w:pPr>
  </w:style>
  <w:style w:type="paragraph" w:styleId="41">
    <w:name w:val="toc 6"/>
    <w:basedOn w:val="1"/>
    <w:next w:val="1"/>
    <w:autoRedefine/>
    <w:unhideWhenUsed/>
    <w:qFormat/>
    <w:uiPriority w:val="39"/>
    <w:pPr>
      <w:ind w:left="2100" w:leftChars="1000"/>
    </w:pPr>
  </w:style>
  <w:style w:type="paragraph" w:styleId="42">
    <w:name w:val="Body Text Indent 3"/>
    <w:basedOn w:val="1"/>
    <w:link w:val="175"/>
    <w:autoRedefine/>
    <w:qFormat/>
    <w:uiPriority w:val="0"/>
    <w:pPr>
      <w:autoSpaceDE w:val="0"/>
      <w:autoSpaceDN w:val="0"/>
      <w:adjustRightInd w:val="0"/>
      <w:spacing w:line="360" w:lineRule="auto"/>
      <w:ind w:firstLine="480" w:firstLineChars="200"/>
      <w:jc w:val="left"/>
    </w:pPr>
    <w:rPr>
      <w:rFonts w:ascii="宋体" w:hAnsi="Times New Roman" w:eastAsia="宋体" w:cs="Times New Roman"/>
      <w:kern w:val="0"/>
      <w:sz w:val="24"/>
      <w:szCs w:val="24"/>
    </w:rPr>
  </w:style>
  <w:style w:type="paragraph" w:styleId="43">
    <w:name w:val="toc 2"/>
    <w:basedOn w:val="1"/>
    <w:next w:val="14"/>
    <w:autoRedefine/>
    <w:unhideWhenUsed/>
    <w:qFormat/>
    <w:uiPriority w:val="39"/>
    <w:pPr>
      <w:ind w:left="420" w:leftChars="200"/>
    </w:pPr>
  </w:style>
  <w:style w:type="paragraph" w:styleId="44">
    <w:name w:val="toc 9"/>
    <w:basedOn w:val="1"/>
    <w:next w:val="1"/>
    <w:autoRedefine/>
    <w:unhideWhenUsed/>
    <w:qFormat/>
    <w:uiPriority w:val="39"/>
    <w:pPr>
      <w:ind w:left="3360" w:leftChars="1600"/>
    </w:pPr>
  </w:style>
  <w:style w:type="paragraph" w:styleId="45">
    <w:name w:val="Body Text 2"/>
    <w:basedOn w:val="1"/>
    <w:link w:val="164"/>
    <w:autoRedefine/>
    <w:qFormat/>
    <w:uiPriority w:val="0"/>
    <w:pPr>
      <w:tabs>
        <w:tab w:val="left" w:pos="0"/>
      </w:tabs>
      <w:spacing w:line="400" w:lineRule="atLeast"/>
    </w:pPr>
    <w:rPr>
      <w:rFonts w:ascii="Arial" w:hAnsi="Arial" w:eastAsia="宋体" w:cs="Times New Roman"/>
      <w:color w:val="000000"/>
      <w:szCs w:val="24"/>
    </w:rPr>
  </w:style>
  <w:style w:type="paragraph" w:styleId="46">
    <w:name w:val="HTML Preformatted"/>
    <w:basedOn w:val="1"/>
    <w:link w:val="107"/>
    <w:autoRedefine/>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eastAsia="宋体" w:cs="Arial"/>
      <w:szCs w:val="21"/>
    </w:rPr>
  </w:style>
  <w:style w:type="paragraph" w:styleId="47">
    <w:name w:val="Normal (Web)"/>
    <w:basedOn w:val="1"/>
    <w:link w:val="114"/>
    <w:autoRedefine/>
    <w:qFormat/>
    <w:uiPriority w:val="0"/>
    <w:pPr>
      <w:widowControl/>
      <w:spacing w:before="100" w:beforeAutospacing="1" w:after="100" w:afterAutospacing="1"/>
      <w:jc w:val="left"/>
    </w:pPr>
    <w:rPr>
      <w:rFonts w:ascii="宋体" w:hAnsi="宋体"/>
      <w:sz w:val="15"/>
      <w:szCs w:val="15"/>
    </w:rPr>
  </w:style>
  <w:style w:type="paragraph" w:styleId="48">
    <w:name w:val="Title"/>
    <w:basedOn w:val="1"/>
    <w:next w:val="1"/>
    <w:link w:val="79"/>
    <w:autoRedefine/>
    <w:qFormat/>
    <w:uiPriority w:val="10"/>
    <w:pPr>
      <w:spacing w:before="120" w:after="60" w:line="300" w:lineRule="auto"/>
      <w:jc w:val="left"/>
      <w:outlineLvl w:val="0"/>
    </w:pPr>
    <w:rPr>
      <w:rFonts w:ascii="等线 Light" w:hAnsi="等线 Light" w:eastAsia="仿宋"/>
      <w:b/>
      <w:bCs/>
      <w:sz w:val="28"/>
      <w:szCs w:val="32"/>
    </w:rPr>
  </w:style>
  <w:style w:type="paragraph" w:styleId="49">
    <w:name w:val="annotation subject"/>
    <w:basedOn w:val="28"/>
    <w:next w:val="28"/>
    <w:link w:val="131"/>
    <w:autoRedefine/>
    <w:qFormat/>
    <w:uiPriority w:val="99"/>
    <w:pPr>
      <w:autoSpaceDE w:val="0"/>
      <w:autoSpaceDN w:val="0"/>
      <w:adjustRightInd w:val="0"/>
    </w:pPr>
    <w:rPr>
      <w:rFonts w:ascii="宋体" w:hAnsi="Times New Roman" w:eastAsia="宋体"/>
      <w:b/>
      <w:bCs/>
      <w:kern w:val="0"/>
      <w:sz w:val="24"/>
      <w:szCs w:val="24"/>
    </w:rPr>
  </w:style>
  <w:style w:type="paragraph" w:styleId="50">
    <w:name w:val="Body Text First Indent"/>
    <w:basedOn w:val="17"/>
    <w:link w:val="221"/>
    <w:autoRedefine/>
    <w:semiHidden/>
    <w:unhideWhenUsed/>
    <w:qFormat/>
    <w:uiPriority w:val="99"/>
    <w:pPr>
      <w:autoSpaceDE/>
      <w:autoSpaceDN/>
      <w:adjustRightInd/>
      <w:spacing w:after="120"/>
      <w:ind w:right="0" w:firstLine="420" w:firstLineChars="100"/>
      <w:jc w:val="both"/>
    </w:pPr>
    <w:rPr>
      <w:rFonts w:asciiTheme="minorHAnsi" w:eastAsiaTheme="minorEastAsia"/>
      <w:b w:val="0"/>
      <w:bCs w:val="0"/>
      <w:sz w:val="21"/>
      <w:szCs w:val="22"/>
      <w:lang w:val="en-US"/>
    </w:rPr>
  </w:style>
  <w:style w:type="paragraph" w:styleId="51">
    <w:name w:val="Body Text First Indent 2"/>
    <w:autoRedefine/>
    <w:qFormat/>
    <w:uiPriority w:val="0"/>
    <w:pPr>
      <w:widowControl w:val="0"/>
      <w:tabs>
        <w:tab w:val="left" w:pos="1218"/>
        <w:tab w:val="left" w:pos="3544"/>
      </w:tabs>
      <w:adjustRightInd w:val="0"/>
      <w:snapToGrid w:val="0"/>
      <w:spacing w:line="300" w:lineRule="auto"/>
      <w:ind w:left="567" w:leftChars="270" w:firstLine="420"/>
      <w:jc w:val="both"/>
    </w:pPr>
    <w:rPr>
      <w:rFonts w:ascii="Times New Roman" w:hAnsi="Times New Roman" w:eastAsia="宋体" w:cs="Times New Roman"/>
      <w:kern w:val="2"/>
      <w:sz w:val="21"/>
      <w:szCs w:val="28"/>
      <w:lang w:val="en-US" w:eastAsia="zh-CN" w:bidi="ar-SA"/>
    </w:rPr>
  </w:style>
  <w:style w:type="table" w:styleId="53">
    <w:name w:val="Table Grid"/>
    <w:basedOn w:val="52"/>
    <w:autoRedefine/>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5">
    <w:name w:val="Strong"/>
    <w:autoRedefine/>
    <w:qFormat/>
    <w:uiPriority w:val="0"/>
    <w:rPr>
      <w:b/>
      <w:bCs/>
    </w:rPr>
  </w:style>
  <w:style w:type="character" w:styleId="56">
    <w:name w:val="FollowedHyperlink"/>
    <w:autoRedefine/>
    <w:unhideWhenUsed/>
    <w:qFormat/>
    <w:uiPriority w:val="99"/>
    <w:rPr>
      <w:color w:val="954F72"/>
      <w:u w:val="single"/>
    </w:rPr>
  </w:style>
  <w:style w:type="character" w:styleId="57">
    <w:name w:val="Emphasis"/>
    <w:autoRedefine/>
    <w:qFormat/>
    <w:uiPriority w:val="0"/>
    <w:rPr>
      <w:i/>
      <w:iCs/>
    </w:rPr>
  </w:style>
  <w:style w:type="character" w:styleId="58">
    <w:name w:val="Hyperlink"/>
    <w:autoRedefine/>
    <w:qFormat/>
    <w:uiPriority w:val="99"/>
    <w:rPr>
      <w:rFonts w:hint="default" w:ascii="Arial" w:hAnsi="Arial" w:cs="Arial"/>
      <w:color w:val="000000"/>
      <w:sz w:val="20"/>
      <w:szCs w:val="20"/>
      <w:u w:val="none"/>
    </w:rPr>
  </w:style>
  <w:style w:type="character" w:styleId="59">
    <w:name w:val="annotation reference"/>
    <w:basedOn w:val="54"/>
    <w:autoRedefine/>
    <w:qFormat/>
    <w:uiPriority w:val="99"/>
    <w:rPr>
      <w:sz w:val="21"/>
      <w:szCs w:val="21"/>
    </w:rPr>
  </w:style>
  <w:style w:type="paragraph" w:customStyle="1" w:styleId="60">
    <w:name w:val="样式35"/>
    <w:basedOn w:val="61"/>
    <w:next w:val="66"/>
    <w:autoRedefine/>
    <w:qFormat/>
    <w:uiPriority w:val="0"/>
    <w:pPr>
      <w:widowControl w:val="0"/>
      <w:tabs>
        <w:tab w:val="left" w:pos="0"/>
        <w:tab w:val="left" w:pos="360"/>
        <w:tab w:val="left" w:pos="480"/>
        <w:tab w:val="left" w:pos="495"/>
        <w:tab w:val="left" w:pos="540"/>
        <w:tab w:val="left" w:pos="567"/>
        <w:tab w:val="left" w:pos="720"/>
        <w:tab w:val="left" w:pos="4140"/>
      </w:tabs>
      <w:spacing w:line="312" w:lineRule="auto"/>
      <w:ind w:firstLine="567"/>
      <w:jc w:val="both"/>
    </w:pPr>
    <w:rPr>
      <w:rFonts w:ascii="宋体" w:hAnsi="Calibri" w:eastAsia="宋体" w:cs="Times New Roman"/>
      <w:kern w:val="2"/>
      <w:sz w:val="21"/>
      <w:szCs w:val="22"/>
      <w:lang w:val="en-US" w:eastAsia="zh-CN" w:bidi="ar-SA"/>
    </w:rPr>
  </w:style>
  <w:style w:type="paragraph" w:customStyle="1" w:styleId="61">
    <w:name w:val="样式26"/>
    <w:basedOn w:val="62"/>
    <w:autoRedefine/>
    <w:qFormat/>
    <w:uiPriority w:val="0"/>
    <w:pPr>
      <w:tabs>
        <w:tab w:val="left" w:pos="0"/>
        <w:tab w:val="left" w:pos="360"/>
        <w:tab w:val="left" w:pos="480"/>
        <w:tab w:val="left" w:pos="495"/>
        <w:tab w:val="left" w:pos="540"/>
        <w:tab w:val="left" w:pos="567"/>
        <w:tab w:val="left" w:pos="720"/>
        <w:tab w:val="left" w:pos="4140"/>
      </w:tabs>
    </w:pPr>
  </w:style>
  <w:style w:type="paragraph" w:customStyle="1" w:styleId="62">
    <w:name w:val="样式21"/>
    <w:basedOn w:val="63"/>
    <w:autoRedefine/>
    <w:qFormat/>
    <w:uiPriority w:val="0"/>
    <w:pPr>
      <w:widowControl/>
      <w:numPr>
        <w:ilvl w:val="0"/>
        <w:numId w:val="0"/>
      </w:numPr>
      <w:tabs>
        <w:tab w:val="left" w:pos="0"/>
        <w:tab w:val="left" w:pos="495"/>
        <w:tab w:val="left" w:pos="567"/>
        <w:tab w:val="left" w:pos="4140"/>
      </w:tabs>
      <w:adjustRightInd w:val="0"/>
      <w:spacing w:before="40" w:after="80"/>
      <w:textAlignment w:val="baseline"/>
    </w:pPr>
    <w:rPr>
      <w:rFonts w:ascii="Arial" w:cs="宋体"/>
      <w:kern w:val="0"/>
      <w:sz w:val="24"/>
      <w:szCs w:val="20"/>
    </w:rPr>
  </w:style>
  <w:style w:type="paragraph" w:customStyle="1" w:styleId="63">
    <w:name w:val="样式5"/>
    <w:basedOn w:val="64"/>
    <w:autoRedefine/>
    <w:qFormat/>
    <w:uiPriority w:val="0"/>
    <w:pPr>
      <w:numPr>
        <w:ilvl w:val="0"/>
        <w:numId w:val="0"/>
      </w:numPr>
      <w:tabs>
        <w:tab w:val="left" w:pos="0"/>
        <w:tab w:val="left" w:pos="495"/>
        <w:tab w:val="left" w:pos="567"/>
        <w:tab w:val="left" w:pos="4140"/>
      </w:tabs>
      <w:spacing w:before="260" w:after="80" w:line="416" w:lineRule="auto"/>
      <w:jc w:val="both"/>
    </w:pPr>
    <w:rPr>
      <w:rFonts w:ascii="黑体" w:hAnsi="Times" w:eastAsia="黑体"/>
      <w:kern w:val="0"/>
      <w:sz w:val="32"/>
      <w:szCs w:val="32"/>
    </w:rPr>
  </w:style>
  <w:style w:type="paragraph" w:customStyle="1" w:styleId="64">
    <w:name w:val="样式12"/>
    <w:basedOn w:val="65"/>
    <w:autoRedefine/>
    <w:qFormat/>
    <w:uiPriority w:val="0"/>
    <w:pPr>
      <w:keepLines w:val="0"/>
      <w:numPr>
        <w:ilvl w:val="0"/>
        <w:numId w:val="0"/>
      </w:numPr>
      <w:tabs>
        <w:tab w:val="left" w:pos="495"/>
        <w:tab w:val="left" w:pos="4140"/>
      </w:tabs>
      <w:spacing w:before="80" w:after="80" w:line="240" w:lineRule="auto"/>
      <w:ind w:left="495" w:hanging="375"/>
      <w:jc w:val="both"/>
    </w:pPr>
    <w:rPr>
      <w:rFonts w:ascii="黑体" w:eastAsia="黑体"/>
      <w:color w:val="000000"/>
      <w:kern w:val="2"/>
      <w:sz w:val="28"/>
      <w:szCs w:val="28"/>
      <w:lang w:val="zh-CN"/>
    </w:rPr>
  </w:style>
  <w:style w:type="paragraph" w:customStyle="1" w:styleId="65">
    <w:name w:val="样式 标题 3标题 3 Char标题3H3h33rd level第二层条三级标题ReHead 3 WSA头..."/>
    <w:basedOn w:val="5"/>
    <w:autoRedefine/>
    <w:qFormat/>
    <w:uiPriority w:val="0"/>
    <w:pPr>
      <w:tabs>
        <w:tab w:val="left" w:pos="4140"/>
      </w:tabs>
      <w:spacing w:before="260" w:after="260" w:line="416" w:lineRule="auto"/>
      <w:ind w:left="4140" w:hanging="720"/>
    </w:pPr>
    <w:rPr>
      <w:rFonts w:eastAsia="黑体"/>
      <w:color w:val="FF0000"/>
    </w:rPr>
  </w:style>
  <w:style w:type="paragraph" w:customStyle="1" w:styleId="66">
    <w:name w:val="font6"/>
    <w:basedOn w:val="1"/>
    <w:next w:val="43"/>
    <w:autoRedefine/>
    <w:qFormat/>
    <w:uiPriority w:val="0"/>
    <w:pPr>
      <w:widowControl/>
      <w:spacing w:before="100" w:beforeAutospacing="1" w:after="100" w:afterAutospacing="1"/>
      <w:jc w:val="left"/>
    </w:pPr>
    <w:rPr>
      <w:rFonts w:ascii="仿宋_GB2312" w:hAnsi="宋体" w:eastAsia="仿宋_GB2312" w:cs="宋体"/>
      <w:kern w:val="0"/>
      <w:sz w:val="20"/>
      <w:szCs w:val="20"/>
    </w:rPr>
  </w:style>
  <w:style w:type="paragraph" w:customStyle="1" w:styleId="67">
    <w:name w:val="首行缩进"/>
    <w:basedOn w:val="1"/>
    <w:autoRedefine/>
    <w:qFormat/>
    <w:uiPriority w:val="0"/>
    <w:pPr>
      <w:ind w:firstLine="480" w:firstLineChars="200"/>
    </w:pPr>
    <w:rPr>
      <w:lang w:val="zh-CN"/>
    </w:rPr>
  </w:style>
  <w:style w:type="character" w:customStyle="1" w:styleId="68">
    <w:name w:val="标题 1 字符"/>
    <w:basedOn w:val="54"/>
    <w:autoRedefine/>
    <w:qFormat/>
    <w:uiPriority w:val="0"/>
    <w:rPr>
      <w:b/>
      <w:bCs/>
      <w:kern w:val="44"/>
      <w:sz w:val="44"/>
      <w:szCs w:val="44"/>
    </w:rPr>
  </w:style>
  <w:style w:type="character" w:customStyle="1" w:styleId="69">
    <w:name w:val="标题 2 字符"/>
    <w:basedOn w:val="54"/>
    <w:link w:val="4"/>
    <w:autoRedefine/>
    <w:qFormat/>
    <w:uiPriority w:val="0"/>
    <w:rPr>
      <w:rFonts w:ascii="宋体" w:hAnsi="Calibri" w:eastAsia="宋体" w:cs="Times New Roman"/>
      <w:kern w:val="0"/>
      <w:sz w:val="24"/>
      <w:szCs w:val="24"/>
    </w:rPr>
  </w:style>
  <w:style w:type="character" w:customStyle="1" w:styleId="70">
    <w:name w:val="标题 3 字符"/>
    <w:basedOn w:val="54"/>
    <w:autoRedefine/>
    <w:qFormat/>
    <w:uiPriority w:val="0"/>
    <w:rPr>
      <w:b/>
      <w:bCs/>
      <w:sz w:val="32"/>
      <w:szCs w:val="32"/>
    </w:rPr>
  </w:style>
  <w:style w:type="character" w:customStyle="1" w:styleId="71">
    <w:name w:val="标题 4 字符"/>
    <w:basedOn w:val="54"/>
    <w:link w:val="6"/>
    <w:autoRedefine/>
    <w:qFormat/>
    <w:uiPriority w:val="9"/>
    <w:rPr>
      <w:rFonts w:ascii="Arial" w:hAnsi="Arial" w:eastAsia="黑体" w:cs="Times New Roman"/>
      <w:b/>
      <w:bCs/>
      <w:kern w:val="0"/>
      <w:sz w:val="28"/>
      <w:szCs w:val="28"/>
    </w:rPr>
  </w:style>
  <w:style w:type="character" w:customStyle="1" w:styleId="72">
    <w:name w:val="标题 5 字符"/>
    <w:basedOn w:val="54"/>
    <w:autoRedefine/>
    <w:qFormat/>
    <w:uiPriority w:val="9"/>
    <w:rPr>
      <w:b/>
      <w:bCs/>
      <w:sz w:val="28"/>
      <w:szCs w:val="28"/>
    </w:rPr>
  </w:style>
  <w:style w:type="character" w:customStyle="1" w:styleId="73">
    <w:name w:val="标题 6 字符"/>
    <w:basedOn w:val="54"/>
    <w:autoRedefine/>
    <w:qFormat/>
    <w:uiPriority w:val="0"/>
    <w:rPr>
      <w:rFonts w:asciiTheme="majorHAnsi" w:hAnsiTheme="majorHAnsi" w:eastAsiaTheme="majorEastAsia" w:cstheme="majorBidi"/>
      <w:b/>
      <w:bCs/>
      <w:sz w:val="24"/>
      <w:szCs w:val="24"/>
    </w:rPr>
  </w:style>
  <w:style w:type="character" w:customStyle="1" w:styleId="74">
    <w:name w:val="标题 7 字符"/>
    <w:basedOn w:val="54"/>
    <w:link w:val="10"/>
    <w:autoRedefine/>
    <w:qFormat/>
    <w:uiPriority w:val="9"/>
    <w:rPr>
      <w:rFonts w:ascii="Times New Roman" w:hAnsi="Calibri" w:eastAsia="黑体" w:cs="Times New Roman"/>
      <w:b/>
      <w:bCs/>
      <w:kern w:val="0"/>
      <w:sz w:val="28"/>
      <w:szCs w:val="24"/>
    </w:rPr>
  </w:style>
  <w:style w:type="character" w:customStyle="1" w:styleId="75">
    <w:name w:val="标题 8 字符"/>
    <w:basedOn w:val="54"/>
    <w:link w:val="11"/>
    <w:autoRedefine/>
    <w:qFormat/>
    <w:uiPriority w:val="9"/>
    <w:rPr>
      <w:rFonts w:ascii="Times New Roman" w:hAnsi="Calibri" w:eastAsia="黑体" w:cs="Times New Roman"/>
      <w:b/>
      <w:kern w:val="0"/>
      <w:sz w:val="28"/>
      <w:szCs w:val="24"/>
    </w:rPr>
  </w:style>
  <w:style w:type="character" w:customStyle="1" w:styleId="76">
    <w:name w:val="标题 9 字符"/>
    <w:basedOn w:val="54"/>
    <w:link w:val="12"/>
    <w:autoRedefine/>
    <w:qFormat/>
    <w:uiPriority w:val="9"/>
    <w:rPr>
      <w:rFonts w:ascii="Times New Roman" w:hAnsi="Calibri" w:eastAsia="黑体" w:cs="Times New Roman"/>
      <w:b/>
      <w:kern w:val="0"/>
      <w:sz w:val="28"/>
      <w:szCs w:val="24"/>
    </w:rPr>
  </w:style>
  <w:style w:type="character" w:customStyle="1" w:styleId="77">
    <w:name w:val="正文文本缩进 字符"/>
    <w:autoRedefine/>
    <w:qFormat/>
    <w:uiPriority w:val="0"/>
    <w:rPr>
      <w:rFonts w:ascii="Times New Roman" w:hAnsi="Times New Roman" w:eastAsia="宋体" w:cs="Times New Roman"/>
      <w:szCs w:val="20"/>
    </w:rPr>
  </w:style>
  <w:style w:type="character" w:customStyle="1" w:styleId="78">
    <w:name w:val="普通(网站) Char"/>
    <w:autoRedefine/>
    <w:qFormat/>
    <w:locked/>
    <w:uiPriority w:val="0"/>
    <w:rPr>
      <w:rFonts w:ascii="宋体" w:hAnsi="宋体"/>
      <w:sz w:val="15"/>
      <w:szCs w:val="15"/>
    </w:rPr>
  </w:style>
  <w:style w:type="character" w:customStyle="1" w:styleId="79">
    <w:name w:val="标题 字符1"/>
    <w:link w:val="48"/>
    <w:autoRedefine/>
    <w:qFormat/>
    <w:uiPriority w:val="10"/>
    <w:rPr>
      <w:rFonts w:ascii="等线 Light" w:hAnsi="等线 Light" w:eastAsia="仿宋"/>
      <w:b/>
      <w:bCs/>
      <w:sz w:val="28"/>
      <w:szCs w:val="32"/>
    </w:rPr>
  </w:style>
  <w:style w:type="character" w:customStyle="1" w:styleId="80">
    <w:name w:val="日期 Char"/>
    <w:autoRedefine/>
    <w:semiHidden/>
    <w:qFormat/>
    <w:uiPriority w:val="99"/>
    <w:rPr>
      <w:kern w:val="2"/>
      <w:sz w:val="21"/>
    </w:rPr>
  </w:style>
  <w:style w:type="character" w:customStyle="1" w:styleId="81">
    <w:name w:val="文档结构图 字符1"/>
    <w:autoRedefine/>
    <w:semiHidden/>
    <w:qFormat/>
    <w:uiPriority w:val="99"/>
    <w:rPr>
      <w:rFonts w:ascii="Microsoft YaHei UI" w:hAnsi="Calibri" w:eastAsia="Microsoft YaHei UI" w:cs="Times New Roman"/>
      <w:kern w:val="0"/>
      <w:sz w:val="18"/>
      <w:szCs w:val="18"/>
    </w:rPr>
  </w:style>
  <w:style w:type="character" w:customStyle="1" w:styleId="82">
    <w:name w:val="批注文字 Char"/>
    <w:autoRedefine/>
    <w:semiHidden/>
    <w:qFormat/>
    <w:uiPriority w:val="99"/>
    <w:rPr>
      <w:kern w:val="2"/>
      <w:sz w:val="21"/>
    </w:rPr>
  </w:style>
  <w:style w:type="character" w:customStyle="1" w:styleId="83">
    <w:name w:val="正文缩进2格 Char"/>
    <w:link w:val="84"/>
    <w:autoRedefine/>
    <w:qFormat/>
    <w:uiPriority w:val="0"/>
    <w:rPr>
      <w:rFonts w:ascii="仿宋_GB2312" w:hAnsi="宋体" w:eastAsia="仿宋_GB2312"/>
      <w:sz w:val="31"/>
      <w:szCs w:val="28"/>
    </w:rPr>
  </w:style>
  <w:style w:type="paragraph" w:customStyle="1" w:styleId="84">
    <w:name w:val="正文缩进2格"/>
    <w:basedOn w:val="1"/>
    <w:link w:val="83"/>
    <w:autoRedefine/>
    <w:qFormat/>
    <w:uiPriority w:val="0"/>
    <w:pPr>
      <w:spacing w:line="600" w:lineRule="exact"/>
      <w:ind w:firstLine="639" w:firstLineChars="206"/>
    </w:pPr>
    <w:rPr>
      <w:rFonts w:ascii="仿宋_GB2312" w:hAnsi="宋体" w:eastAsia="仿宋_GB2312"/>
      <w:sz w:val="31"/>
      <w:szCs w:val="28"/>
    </w:rPr>
  </w:style>
  <w:style w:type="character" w:customStyle="1" w:styleId="85">
    <w:name w:val="批注文字 字符"/>
    <w:autoRedefine/>
    <w:semiHidden/>
    <w:qFormat/>
    <w:uiPriority w:val="99"/>
    <w:rPr>
      <w:rFonts w:ascii="Times New Roman" w:hAnsi="Times New Roman"/>
      <w:kern w:val="2"/>
      <w:sz w:val="24"/>
      <w:szCs w:val="24"/>
    </w:rPr>
  </w:style>
  <w:style w:type="character" w:customStyle="1" w:styleId="86">
    <w:name w:val="正文文本缩进 Char"/>
    <w:autoRedefine/>
    <w:qFormat/>
    <w:uiPriority w:val="0"/>
    <w:rPr>
      <w:rFonts w:ascii="Times New Roman" w:hAnsi="Times New Roman" w:eastAsia="宋体" w:cs="Times New Roman"/>
      <w:szCs w:val="20"/>
      <w:lang w:val="en-US" w:eastAsia="zh-CN"/>
    </w:rPr>
  </w:style>
  <w:style w:type="character" w:customStyle="1" w:styleId="87">
    <w:name w:val="批注框文本 字符1"/>
    <w:autoRedefine/>
    <w:semiHidden/>
    <w:qFormat/>
    <w:uiPriority w:val="99"/>
    <w:rPr>
      <w:rFonts w:ascii="宋体" w:hAnsi="Calibri" w:eastAsia="宋体" w:cs="Times New Roman"/>
      <w:kern w:val="0"/>
      <w:sz w:val="18"/>
      <w:szCs w:val="18"/>
    </w:rPr>
  </w:style>
  <w:style w:type="character" w:customStyle="1" w:styleId="88">
    <w:name w:val="List Paragraph Char"/>
    <w:link w:val="89"/>
    <w:autoRedefine/>
    <w:qFormat/>
    <w:uiPriority w:val="34"/>
    <w:rPr>
      <w:rFonts w:ascii="Calibri" w:hAnsi="Calibri"/>
    </w:rPr>
  </w:style>
  <w:style w:type="paragraph" w:customStyle="1" w:styleId="89">
    <w:name w:val="列出段落1"/>
    <w:basedOn w:val="1"/>
    <w:link w:val="88"/>
    <w:autoRedefine/>
    <w:qFormat/>
    <w:uiPriority w:val="34"/>
    <w:pPr>
      <w:ind w:firstLine="420" w:firstLineChars="200"/>
    </w:pPr>
    <w:rPr>
      <w:rFonts w:ascii="Calibri" w:hAnsi="Calibri"/>
    </w:rPr>
  </w:style>
  <w:style w:type="character" w:customStyle="1" w:styleId="90">
    <w:name w:val="标书正文 字符"/>
    <w:link w:val="91"/>
    <w:autoRedefine/>
    <w:qFormat/>
    <w:uiPriority w:val="0"/>
    <w:rPr>
      <w:rFonts w:ascii="Calibri" w:hAnsi="Calibri" w:eastAsia="仿宋"/>
      <w:sz w:val="24"/>
      <w:szCs w:val="21"/>
    </w:rPr>
  </w:style>
  <w:style w:type="paragraph" w:customStyle="1" w:styleId="91">
    <w:name w:val="标书正文"/>
    <w:basedOn w:val="1"/>
    <w:link w:val="90"/>
    <w:autoRedefine/>
    <w:qFormat/>
    <w:uiPriority w:val="0"/>
    <w:pPr>
      <w:adjustRightInd w:val="0"/>
      <w:snapToGrid w:val="0"/>
      <w:spacing w:beforeLines="50" w:line="360" w:lineRule="auto"/>
      <w:ind w:firstLine="200" w:firstLineChars="200"/>
    </w:pPr>
    <w:rPr>
      <w:rFonts w:ascii="Calibri" w:hAnsi="Calibri" w:eastAsia="仿宋"/>
      <w:sz w:val="24"/>
      <w:szCs w:val="21"/>
    </w:rPr>
  </w:style>
  <w:style w:type="character" w:customStyle="1" w:styleId="92">
    <w:name w:val="正文文本 字符"/>
    <w:autoRedefine/>
    <w:semiHidden/>
    <w:qFormat/>
    <w:uiPriority w:val="99"/>
    <w:rPr>
      <w:rFonts w:ascii="Times New Roman" w:hAnsi="Times New Roman"/>
      <w:kern w:val="2"/>
      <w:sz w:val="24"/>
      <w:szCs w:val="24"/>
    </w:rPr>
  </w:style>
  <w:style w:type="character" w:customStyle="1" w:styleId="93">
    <w:name w:val="页脚 Char"/>
    <w:autoRedefine/>
    <w:qFormat/>
    <w:uiPriority w:val="0"/>
    <w:rPr>
      <w:kern w:val="2"/>
      <w:sz w:val="18"/>
      <w:szCs w:val="18"/>
    </w:rPr>
  </w:style>
  <w:style w:type="character" w:customStyle="1" w:styleId="94">
    <w:name w:val="neir1"/>
    <w:autoRedefine/>
    <w:qFormat/>
    <w:uiPriority w:val="0"/>
    <w:rPr>
      <w:rFonts w:hint="default" w:ascii="ˎ̥" w:hAnsi="ˎ̥"/>
      <w:color w:val="333333"/>
      <w:sz w:val="21"/>
      <w:szCs w:val="21"/>
      <w:u w:val="none"/>
    </w:rPr>
  </w:style>
  <w:style w:type="character" w:customStyle="1" w:styleId="95">
    <w:name w:val="批注框文本 字符"/>
    <w:link w:val="36"/>
    <w:autoRedefine/>
    <w:qFormat/>
    <w:uiPriority w:val="0"/>
    <w:rPr>
      <w:rFonts w:ascii="Times New Roman" w:hAnsi="Times New Roman" w:eastAsia="宋体" w:cs="Times New Roman"/>
      <w:sz w:val="18"/>
      <w:szCs w:val="18"/>
    </w:rPr>
  </w:style>
  <w:style w:type="character" w:customStyle="1" w:styleId="96">
    <w:name w:val="正文文本 3 字符1"/>
    <w:autoRedefine/>
    <w:semiHidden/>
    <w:qFormat/>
    <w:uiPriority w:val="99"/>
    <w:rPr>
      <w:rFonts w:ascii="宋体" w:hAnsi="Calibri" w:eastAsia="宋体" w:cs="Times New Roman"/>
      <w:kern w:val="0"/>
      <w:sz w:val="16"/>
      <w:szCs w:val="16"/>
    </w:rPr>
  </w:style>
  <w:style w:type="character" w:customStyle="1" w:styleId="97">
    <w:name w:val="正文文本 字符3"/>
    <w:autoRedefine/>
    <w:semiHidden/>
    <w:qFormat/>
    <w:uiPriority w:val="99"/>
    <w:rPr>
      <w:rFonts w:ascii="宋体" w:hAnsi="Calibri" w:eastAsia="宋体" w:cs="Times New Roman"/>
      <w:kern w:val="0"/>
      <w:sz w:val="24"/>
      <w:szCs w:val="24"/>
    </w:rPr>
  </w:style>
  <w:style w:type="character" w:customStyle="1" w:styleId="98">
    <w:name w:val="日期 字符1"/>
    <w:autoRedefine/>
    <w:semiHidden/>
    <w:qFormat/>
    <w:uiPriority w:val="99"/>
    <w:rPr>
      <w:rFonts w:ascii="宋体" w:hAnsi="Calibri" w:eastAsia="宋体" w:cs="Times New Roman"/>
      <w:kern w:val="0"/>
      <w:sz w:val="24"/>
      <w:szCs w:val="24"/>
    </w:rPr>
  </w:style>
  <w:style w:type="character" w:customStyle="1" w:styleId="99">
    <w:name w:val="页脚 Char2"/>
    <w:autoRedefine/>
    <w:qFormat/>
    <w:uiPriority w:val="99"/>
    <w:rPr>
      <w:rFonts w:ascii="宋体" w:eastAsia="宋体"/>
      <w:sz w:val="18"/>
      <w:szCs w:val="18"/>
    </w:rPr>
  </w:style>
  <w:style w:type="character" w:customStyle="1" w:styleId="100">
    <w:name w:val="吉奥正文 Char"/>
    <w:link w:val="101"/>
    <w:autoRedefine/>
    <w:qFormat/>
    <w:locked/>
    <w:uiPriority w:val="0"/>
    <w:rPr>
      <w:rFonts w:eastAsia="仿宋_GB2312"/>
      <w:sz w:val="28"/>
    </w:rPr>
  </w:style>
  <w:style w:type="paragraph" w:customStyle="1" w:styleId="101">
    <w:name w:val="吉奥正文"/>
    <w:basedOn w:val="1"/>
    <w:link w:val="100"/>
    <w:autoRedefine/>
    <w:qFormat/>
    <w:uiPriority w:val="0"/>
    <w:pPr>
      <w:adjustRightInd w:val="0"/>
      <w:snapToGrid w:val="0"/>
      <w:spacing w:before="120" w:line="360" w:lineRule="auto"/>
      <w:ind w:firstLine="200" w:firstLineChars="200"/>
      <w:textAlignment w:val="baseline"/>
    </w:pPr>
    <w:rPr>
      <w:rFonts w:eastAsia="仿宋_GB2312"/>
      <w:sz w:val="28"/>
    </w:rPr>
  </w:style>
  <w:style w:type="character" w:customStyle="1" w:styleId="102">
    <w:name w:val="页脚 Char1"/>
    <w:autoRedefine/>
    <w:qFormat/>
    <w:uiPriority w:val="99"/>
    <w:rPr>
      <w:rFonts w:ascii="宋体" w:hAnsi="Times New Roman" w:eastAsia="宋体" w:cs="Times New Roman"/>
      <w:kern w:val="0"/>
      <w:sz w:val="18"/>
      <w:szCs w:val="18"/>
    </w:rPr>
  </w:style>
  <w:style w:type="character" w:customStyle="1" w:styleId="103">
    <w:name w:val="标题 字符"/>
    <w:autoRedefine/>
    <w:qFormat/>
    <w:uiPriority w:val="10"/>
    <w:rPr>
      <w:rFonts w:ascii="Cambria" w:hAnsi="Cambria" w:eastAsia="宋体" w:cs="Times New Roman"/>
      <w:b/>
      <w:bCs/>
      <w:kern w:val="0"/>
      <w:sz w:val="32"/>
      <w:szCs w:val="32"/>
      <w:lang w:val="en-US" w:eastAsia="zh-CN"/>
    </w:rPr>
  </w:style>
  <w:style w:type="character" w:customStyle="1" w:styleId="104">
    <w:name w:val="题注 字符1"/>
    <w:link w:val="26"/>
    <w:autoRedefine/>
    <w:qFormat/>
    <w:uiPriority w:val="0"/>
    <w:rPr>
      <w:rFonts w:ascii="Arial" w:hAnsi="Arial" w:eastAsia="黑体" w:cs="Arial"/>
    </w:rPr>
  </w:style>
  <w:style w:type="character" w:customStyle="1" w:styleId="105">
    <w:name w:val="批注文字 字符2"/>
    <w:autoRedefine/>
    <w:qFormat/>
    <w:uiPriority w:val="99"/>
    <w:rPr>
      <w:rFonts w:ascii="宋体" w:hAnsi="Times New Roman" w:eastAsia="宋体" w:cs="Times New Roman"/>
      <w:kern w:val="0"/>
      <w:sz w:val="24"/>
      <w:szCs w:val="24"/>
    </w:rPr>
  </w:style>
  <w:style w:type="character" w:customStyle="1" w:styleId="106">
    <w:name w:val="批注主题 字符1"/>
    <w:autoRedefine/>
    <w:semiHidden/>
    <w:qFormat/>
    <w:uiPriority w:val="99"/>
    <w:rPr>
      <w:rFonts w:ascii="宋体" w:hAnsi="Calibri" w:eastAsia="宋体" w:cs="Times New Roman"/>
      <w:b/>
      <w:bCs/>
      <w:kern w:val="0"/>
      <w:sz w:val="24"/>
      <w:szCs w:val="24"/>
    </w:rPr>
  </w:style>
  <w:style w:type="character" w:customStyle="1" w:styleId="107">
    <w:name w:val="HTML 预设格式 字符"/>
    <w:link w:val="46"/>
    <w:autoRedefine/>
    <w:qFormat/>
    <w:uiPriority w:val="99"/>
    <w:rPr>
      <w:rFonts w:ascii="Arial" w:hAnsi="Arial" w:eastAsia="宋体" w:cs="Arial"/>
      <w:szCs w:val="21"/>
    </w:rPr>
  </w:style>
  <w:style w:type="character" w:customStyle="1" w:styleId="108">
    <w:name w:val="标题 3.1 Char"/>
    <w:link w:val="109"/>
    <w:autoRedefine/>
    <w:qFormat/>
    <w:uiPriority w:val="0"/>
    <w:rPr>
      <w:rFonts w:ascii="宋体" w:hAnsi="宋体"/>
      <w:b/>
      <w:bCs/>
      <w:sz w:val="32"/>
      <w:szCs w:val="32"/>
    </w:rPr>
  </w:style>
  <w:style w:type="paragraph" w:customStyle="1" w:styleId="109">
    <w:name w:val="标题 3.1"/>
    <w:basedOn w:val="5"/>
    <w:link w:val="108"/>
    <w:autoRedefine/>
    <w:qFormat/>
    <w:uiPriority w:val="0"/>
    <w:pPr>
      <w:keepNext/>
      <w:keepLines/>
      <w:pageBreakBefore/>
      <w:tabs>
        <w:tab w:val="left" w:pos="1440"/>
        <w:tab w:val="left" w:pos="1620"/>
      </w:tabs>
      <w:autoSpaceDE/>
      <w:autoSpaceDN/>
      <w:adjustRightInd/>
      <w:spacing w:before="260" w:after="260" w:line="600" w:lineRule="exact"/>
      <w:jc w:val="both"/>
    </w:pPr>
    <w:rPr>
      <w:rFonts w:hAnsi="宋体" w:eastAsiaTheme="minorEastAsia" w:cstheme="minorBidi"/>
      <w:b/>
      <w:bCs/>
      <w:kern w:val="2"/>
      <w:sz w:val="32"/>
      <w:szCs w:val="32"/>
    </w:rPr>
  </w:style>
  <w:style w:type="character" w:customStyle="1" w:styleId="110">
    <w:name w:val="HTML 预设格式 Char1"/>
    <w:autoRedefine/>
    <w:semiHidden/>
    <w:qFormat/>
    <w:uiPriority w:val="99"/>
    <w:rPr>
      <w:rFonts w:ascii="Courier New" w:hAnsi="Courier New" w:eastAsia="宋体" w:cs="Courier New"/>
      <w:kern w:val="0"/>
      <w:sz w:val="20"/>
      <w:szCs w:val="20"/>
    </w:rPr>
  </w:style>
  <w:style w:type="character" w:customStyle="1" w:styleId="111">
    <w:name w:val="批注文字 字符1"/>
    <w:autoRedefine/>
    <w:qFormat/>
    <w:uiPriority w:val="0"/>
    <w:rPr>
      <w:rFonts w:eastAsia="宋体"/>
      <w:kern w:val="2"/>
      <w:sz w:val="24"/>
      <w:szCs w:val="24"/>
      <w:lang w:val="en-US" w:eastAsia="zh-CN" w:bidi="ar-SA"/>
    </w:rPr>
  </w:style>
  <w:style w:type="character" w:customStyle="1" w:styleId="112">
    <w:name w:val="正文文本缩进 字符2"/>
    <w:autoRedefine/>
    <w:semiHidden/>
    <w:qFormat/>
    <w:uiPriority w:val="99"/>
    <w:rPr>
      <w:rFonts w:ascii="宋体" w:hAnsi="Calibri" w:eastAsia="宋体" w:cs="Times New Roman"/>
      <w:kern w:val="0"/>
      <w:sz w:val="24"/>
      <w:szCs w:val="24"/>
    </w:rPr>
  </w:style>
  <w:style w:type="character" w:customStyle="1" w:styleId="113">
    <w:name w:val="正文文本缩进 字符1"/>
    <w:link w:val="16"/>
    <w:autoRedefine/>
    <w:qFormat/>
    <w:uiPriority w:val="0"/>
    <w:rPr>
      <w:rFonts w:ascii="Times New Roman" w:hAnsi="Times New Roman" w:eastAsia="宋体" w:cs="Times New Roman"/>
      <w:szCs w:val="20"/>
    </w:rPr>
  </w:style>
  <w:style w:type="character" w:customStyle="1" w:styleId="114">
    <w:name w:val="普通(网站) 字符2"/>
    <w:link w:val="47"/>
    <w:autoRedefine/>
    <w:qFormat/>
    <w:locked/>
    <w:uiPriority w:val="0"/>
    <w:rPr>
      <w:rFonts w:ascii="宋体" w:hAnsi="宋体"/>
      <w:sz w:val="15"/>
      <w:szCs w:val="15"/>
    </w:rPr>
  </w:style>
  <w:style w:type="character" w:customStyle="1" w:styleId="115">
    <w:name w:val="模板正文 Char"/>
    <w:link w:val="9"/>
    <w:autoRedefine/>
    <w:qFormat/>
    <w:uiPriority w:val="0"/>
    <w:rPr>
      <w:rFonts w:ascii="宋体" w:eastAsia="仿宋"/>
      <w:sz w:val="24"/>
      <w:szCs w:val="21"/>
    </w:rPr>
  </w:style>
  <w:style w:type="character" w:customStyle="1" w:styleId="116">
    <w:name w:val="批注主题 Char"/>
    <w:autoRedefine/>
    <w:semiHidden/>
    <w:qFormat/>
    <w:uiPriority w:val="99"/>
    <w:rPr>
      <w:b/>
      <w:bCs/>
      <w:kern w:val="2"/>
      <w:sz w:val="21"/>
    </w:rPr>
  </w:style>
  <w:style w:type="character" w:customStyle="1" w:styleId="117">
    <w:name w:val="正文文本 Char1"/>
    <w:autoRedefine/>
    <w:qFormat/>
    <w:uiPriority w:val="0"/>
    <w:rPr>
      <w:rFonts w:ascii="宋体" w:hAnsi="Times New Roman" w:eastAsia="宋体" w:cs="Times New Roman"/>
      <w:kern w:val="0"/>
      <w:sz w:val="24"/>
      <w:szCs w:val="24"/>
    </w:rPr>
  </w:style>
  <w:style w:type="character" w:customStyle="1" w:styleId="118">
    <w:name w:val="正文文本 字符1"/>
    <w:autoRedefine/>
    <w:qFormat/>
    <w:uiPriority w:val="99"/>
    <w:rPr>
      <w:rFonts w:ascii="宋体" w:eastAsia="宋体"/>
      <w:b/>
      <w:bCs/>
      <w:sz w:val="84"/>
      <w:szCs w:val="84"/>
      <w:lang w:val="zh-CN"/>
    </w:rPr>
  </w:style>
  <w:style w:type="character" w:customStyle="1" w:styleId="119">
    <w:name w:val="标题 1 Char"/>
    <w:autoRedefine/>
    <w:qFormat/>
    <w:uiPriority w:val="9"/>
    <w:rPr>
      <w:rFonts w:ascii="宋体" w:hAnsi="Times New Roman" w:eastAsia="宋体" w:cs="Times New Roman"/>
      <w:kern w:val="0"/>
      <w:sz w:val="24"/>
      <w:szCs w:val="24"/>
    </w:rPr>
  </w:style>
  <w:style w:type="character" w:customStyle="1" w:styleId="120">
    <w:name w:val="正文文本 Char2"/>
    <w:autoRedefine/>
    <w:qFormat/>
    <w:uiPriority w:val="99"/>
    <w:rPr>
      <w:rFonts w:ascii="宋体" w:eastAsia="宋体"/>
      <w:b/>
      <w:bCs/>
      <w:sz w:val="84"/>
      <w:szCs w:val="84"/>
      <w:lang w:val="zh-CN"/>
    </w:rPr>
  </w:style>
  <w:style w:type="character" w:customStyle="1" w:styleId="121">
    <w:name w:val="纯文本 字符2"/>
    <w:link w:val="32"/>
    <w:autoRedefine/>
    <w:qFormat/>
    <w:uiPriority w:val="0"/>
    <w:rPr>
      <w:rFonts w:ascii="宋体" w:hAnsi="Courier New" w:eastAsia="宋体"/>
    </w:rPr>
  </w:style>
  <w:style w:type="character" w:customStyle="1" w:styleId="122">
    <w:name w:val="正文文本缩进 2 字符"/>
    <w:link w:val="35"/>
    <w:autoRedefine/>
    <w:qFormat/>
    <w:uiPriority w:val="0"/>
    <w:rPr>
      <w:rFonts w:ascii="宋体" w:hAnsi="Times New Roman" w:eastAsia="宋体" w:cs="Times New Roman"/>
      <w:szCs w:val="20"/>
    </w:rPr>
  </w:style>
  <w:style w:type="character" w:customStyle="1" w:styleId="123">
    <w:name w:val="HTML Markup"/>
    <w:autoRedefine/>
    <w:qFormat/>
    <w:uiPriority w:val="0"/>
    <w:rPr>
      <w:vanish/>
      <w:color w:val="FF0000"/>
    </w:rPr>
  </w:style>
  <w:style w:type="character" w:customStyle="1" w:styleId="124">
    <w:name w:val="页眉 Char1"/>
    <w:autoRedefine/>
    <w:qFormat/>
    <w:uiPriority w:val="0"/>
    <w:rPr>
      <w:rFonts w:ascii="宋体" w:hAnsi="Times New Roman" w:eastAsia="宋体" w:cs="Times New Roman"/>
      <w:kern w:val="0"/>
      <w:sz w:val="18"/>
      <w:szCs w:val="18"/>
    </w:rPr>
  </w:style>
  <w:style w:type="character" w:customStyle="1" w:styleId="125">
    <w:name w:val="font11"/>
    <w:basedOn w:val="54"/>
    <w:autoRedefine/>
    <w:qFormat/>
    <w:uiPriority w:val="0"/>
    <w:rPr>
      <w:rFonts w:hint="eastAsia" w:ascii="宋体" w:hAnsi="宋体" w:eastAsia="宋体" w:cs="宋体"/>
      <w:color w:val="FF0000"/>
      <w:sz w:val="22"/>
      <w:szCs w:val="22"/>
      <w:u w:val="none"/>
    </w:rPr>
  </w:style>
  <w:style w:type="character" w:customStyle="1" w:styleId="126">
    <w:name w:val="style61"/>
    <w:autoRedefine/>
    <w:qFormat/>
    <w:uiPriority w:val="0"/>
    <w:rPr>
      <w:b/>
      <w:bCs/>
    </w:rPr>
  </w:style>
  <w:style w:type="character" w:customStyle="1" w:styleId="127">
    <w:name w:val="表头文字 Char"/>
    <w:link w:val="128"/>
    <w:autoRedefine/>
    <w:qFormat/>
    <w:uiPriority w:val="0"/>
    <w:rPr>
      <w:rFonts w:eastAsia="仿宋_GB2312"/>
      <w:b/>
      <w:sz w:val="28"/>
      <w:szCs w:val="21"/>
    </w:rPr>
  </w:style>
  <w:style w:type="paragraph" w:customStyle="1" w:styleId="128">
    <w:name w:val="表头文字"/>
    <w:basedOn w:val="1"/>
    <w:link w:val="127"/>
    <w:autoRedefine/>
    <w:qFormat/>
    <w:uiPriority w:val="0"/>
    <w:pPr>
      <w:adjustRightInd w:val="0"/>
      <w:snapToGrid w:val="0"/>
      <w:spacing w:before="120" w:line="360" w:lineRule="auto"/>
      <w:jc w:val="center"/>
      <w:textAlignment w:val="baseline"/>
    </w:pPr>
    <w:rPr>
      <w:rFonts w:eastAsia="仿宋_GB2312"/>
      <w:b/>
      <w:sz w:val="28"/>
      <w:szCs w:val="21"/>
    </w:rPr>
  </w:style>
  <w:style w:type="character" w:customStyle="1" w:styleId="129">
    <w:name w:val="日期 字符"/>
    <w:link w:val="34"/>
    <w:autoRedefine/>
    <w:qFormat/>
    <w:uiPriority w:val="99"/>
    <w:rPr>
      <w:rFonts w:ascii="宋体" w:hAnsi="Times New Roman" w:eastAsia="宋体" w:cs="Times New Roman"/>
      <w:b/>
      <w:bCs/>
      <w:szCs w:val="21"/>
      <w:lang w:val="zh-CN"/>
    </w:rPr>
  </w:style>
  <w:style w:type="character" w:customStyle="1" w:styleId="130">
    <w:name w:val="纯文本 Char1"/>
    <w:autoRedefine/>
    <w:qFormat/>
    <w:uiPriority w:val="0"/>
    <w:rPr>
      <w:rFonts w:ascii="宋体" w:hAnsi="Courier New" w:eastAsia="宋体" w:cs="Courier New"/>
      <w:kern w:val="0"/>
      <w:szCs w:val="21"/>
    </w:rPr>
  </w:style>
  <w:style w:type="character" w:customStyle="1" w:styleId="131">
    <w:name w:val="批注主题 字符"/>
    <w:link w:val="49"/>
    <w:autoRedefine/>
    <w:qFormat/>
    <w:uiPriority w:val="99"/>
    <w:rPr>
      <w:rFonts w:ascii="宋体" w:hAnsi="Times New Roman" w:eastAsia="宋体" w:cs="Times New Roman"/>
      <w:b/>
      <w:bCs/>
      <w:kern w:val="0"/>
      <w:sz w:val="24"/>
      <w:szCs w:val="24"/>
    </w:rPr>
  </w:style>
  <w:style w:type="character" w:customStyle="1" w:styleId="132">
    <w:name w:val="纯文本 字符"/>
    <w:autoRedefine/>
    <w:qFormat/>
    <w:uiPriority w:val="99"/>
    <w:rPr>
      <w:rFonts w:ascii="宋体" w:hAnsi="Courier New" w:eastAsia="宋体" w:cs="Times New Roman"/>
      <w:szCs w:val="20"/>
      <w:lang w:val="en-US" w:eastAsia="zh-CN"/>
    </w:rPr>
  </w:style>
  <w:style w:type="character" w:customStyle="1" w:styleId="133">
    <w:name w:val="font71"/>
    <w:autoRedefine/>
    <w:qFormat/>
    <w:uiPriority w:val="0"/>
    <w:rPr>
      <w:rFonts w:hint="eastAsia" w:ascii="宋体" w:hAnsi="宋体" w:eastAsia="宋体" w:cs="宋体"/>
      <w:color w:val="FF0000"/>
      <w:sz w:val="18"/>
      <w:szCs w:val="18"/>
      <w:u w:val="none"/>
    </w:rPr>
  </w:style>
  <w:style w:type="character" w:customStyle="1" w:styleId="134">
    <w:name w:val="font21"/>
    <w:autoRedefine/>
    <w:qFormat/>
    <w:uiPriority w:val="0"/>
    <w:rPr>
      <w:rFonts w:hint="eastAsia" w:ascii="宋体" w:hAnsi="宋体" w:eastAsia="宋体" w:cs="宋体"/>
      <w:b/>
      <w:color w:val="000000"/>
      <w:sz w:val="21"/>
      <w:szCs w:val="21"/>
      <w:u w:val="none"/>
    </w:rPr>
  </w:style>
  <w:style w:type="character" w:customStyle="1" w:styleId="135">
    <w:name w:val="纯文本 字符3"/>
    <w:autoRedefine/>
    <w:semiHidden/>
    <w:qFormat/>
    <w:uiPriority w:val="99"/>
    <w:rPr>
      <w:rFonts w:ascii="等线" w:hAnsi="Courier New" w:cs="Courier New"/>
      <w:kern w:val="0"/>
      <w:sz w:val="24"/>
      <w:szCs w:val="24"/>
    </w:rPr>
  </w:style>
  <w:style w:type="character" w:customStyle="1" w:styleId="136">
    <w:name w:val="font31"/>
    <w:basedOn w:val="54"/>
    <w:autoRedefine/>
    <w:qFormat/>
    <w:uiPriority w:val="0"/>
    <w:rPr>
      <w:rFonts w:hint="eastAsia" w:ascii="宋体" w:hAnsi="宋体" w:eastAsia="宋体" w:cs="宋体"/>
      <w:color w:val="000000"/>
      <w:sz w:val="18"/>
      <w:szCs w:val="18"/>
      <w:u w:val="none"/>
    </w:rPr>
  </w:style>
  <w:style w:type="character" w:customStyle="1" w:styleId="137">
    <w:name w:val="文档结构图 字符"/>
    <w:link w:val="27"/>
    <w:autoRedefine/>
    <w:semiHidden/>
    <w:qFormat/>
    <w:uiPriority w:val="99"/>
    <w:rPr>
      <w:rFonts w:ascii="宋体" w:hAnsi="Times New Roman" w:eastAsia="宋体" w:cs="Times New Roman"/>
      <w:kern w:val="0"/>
      <w:sz w:val="24"/>
      <w:szCs w:val="24"/>
      <w:shd w:val="clear" w:color="auto" w:fill="000080"/>
    </w:rPr>
  </w:style>
  <w:style w:type="character" w:customStyle="1" w:styleId="138">
    <w:name w:val="普通(网站) 字符1"/>
    <w:autoRedefine/>
    <w:qFormat/>
    <w:locked/>
    <w:uiPriority w:val="0"/>
    <w:rPr>
      <w:rFonts w:ascii="宋体" w:hAnsi="宋体"/>
      <w:sz w:val="15"/>
      <w:szCs w:val="15"/>
    </w:rPr>
  </w:style>
  <w:style w:type="character" w:customStyle="1" w:styleId="139">
    <w:name w:val="正文文本 字符2"/>
    <w:link w:val="17"/>
    <w:autoRedefine/>
    <w:qFormat/>
    <w:uiPriority w:val="99"/>
    <w:rPr>
      <w:rFonts w:ascii="宋体" w:eastAsia="宋体"/>
      <w:b/>
      <w:bCs/>
      <w:sz w:val="84"/>
      <w:szCs w:val="84"/>
      <w:lang w:val="zh-CN"/>
    </w:rPr>
  </w:style>
  <w:style w:type="character" w:customStyle="1" w:styleId="140">
    <w:name w:val="标题 5 Char"/>
    <w:autoRedefine/>
    <w:semiHidden/>
    <w:qFormat/>
    <w:uiPriority w:val="9"/>
    <w:rPr>
      <w:b/>
      <w:bCs/>
      <w:kern w:val="2"/>
      <w:sz w:val="28"/>
      <w:szCs w:val="28"/>
    </w:rPr>
  </w:style>
  <w:style w:type="character" w:customStyle="1" w:styleId="141">
    <w:name w:val="页眉 字符"/>
    <w:link w:val="38"/>
    <w:autoRedefine/>
    <w:qFormat/>
    <w:uiPriority w:val="99"/>
    <w:rPr>
      <w:rFonts w:ascii="宋体" w:eastAsia="宋体"/>
      <w:sz w:val="18"/>
      <w:szCs w:val="18"/>
    </w:rPr>
  </w:style>
  <w:style w:type="character" w:customStyle="1" w:styleId="142">
    <w:name w:val="表格文字 Char"/>
    <w:link w:val="143"/>
    <w:autoRedefine/>
    <w:qFormat/>
    <w:uiPriority w:val="0"/>
    <w:rPr>
      <w:rFonts w:eastAsia="仿宋_GB2312"/>
      <w:sz w:val="28"/>
      <w:szCs w:val="24"/>
    </w:rPr>
  </w:style>
  <w:style w:type="paragraph" w:customStyle="1" w:styleId="143">
    <w:name w:val="表格文字"/>
    <w:basedOn w:val="1"/>
    <w:link w:val="142"/>
    <w:autoRedefine/>
    <w:qFormat/>
    <w:uiPriority w:val="0"/>
    <w:rPr>
      <w:rFonts w:eastAsia="仿宋_GB2312"/>
      <w:sz w:val="28"/>
      <w:szCs w:val="24"/>
    </w:rPr>
  </w:style>
  <w:style w:type="character" w:customStyle="1" w:styleId="144">
    <w:name w:val="标题 字符2"/>
    <w:autoRedefine/>
    <w:qFormat/>
    <w:uiPriority w:val="10"/>
    <w:rPr>
      <w:rFonts w:ascii="等线 Light" w:hAnsi="等线 Light" w:eastAsia="等线 Light" w:cs="Times New Roman"/>
      <w:b/>
      <w:bCs/>
      <w:kern w:val="0"/>
      <w:sz w:val="32"/>
      <w:szCs w:val="32"/>
    </w:rPr>
  </w:style>
  <w:style w:type="character" w:customStyle="1" w:styleId="145">
    <w:name w:val="正文缩进2格 Char Char"/>
    <w:autoRedefine/>
    <w:qFormat/>
    <w:uiPriority w:val="0"/>
    <w:rPr>
      <w:rFonts w:ascii="仿宋_GB2312" w:hAnsi="宋体" w:eastAsia="仿宋_GB2312"/>
      <w:kern w:val="2"/>
      <w:sz w:val="31"/>
      <w:szCs w:val="28"/>
      <w:lang w:val="en-US" w:eastAsia="zh-CN" w:bidi="ar-SA"/>
    </w:rPr>
  </w:style>
  <w:style w:type="character" w:customStyle="1" w:styleId="146">
    <w:name w:val="小 Char"/>
    <w:autoRedefine/>
    <w:qFormat/>
    <w:uiPriority w:val="0"/>
    <w:rPr>
      <w:rFonts w:ascii="宋体" w:hAnsi="Courier New" w:eastAsia="宋体"/>
      <w:kern w:val="2"/>
      <w:sz w:val="21"/>
      <w:lang w:val="en-US" w:eastAsia="zh-CN" w:bidi="ar-SA"/>
    </w:rPr>
  </w:style>
  <w:style w:type="character" w:customStyle="1" w:styleId="147">
    <w:name w:val="themebody1"/>
    <w:autoRedefine/>
    <w:qFormat/>
    <w:uiPriority w:val="0"/>
    <w:rPr>
      <w:color w:val="FFFFFF"/>
    </w:rPr>
  </w:style>
  <w:style w:type="character" w:customStyle="1" w:styleId="148">
    <w:name w:val="页脚 字符1"/>
    <w:autoRedefine/>
    <w:semiHidden/>
    <w:qFormat/>
    <w:uiPriority w:val="99"/>
    <w:rPr>
      <w:rFonts w:ascii="宋体" w:hAnsi="Calibri" w:eastAsia="宋体" w:cs="Times New Roman"/>
      <w:kern w:val="0"/>
      <w:sz w:val="18"/>
      <w:szCs w:val="18"/>
    </w:rPr>
  </w:style>
  <w:style w:type="character" w:customStyle="1" w:styleId="149">
    <w:name w:val="列出段落 字符"/>
    <w:link w:val="150"/>
    <w:autoRedefine/>
    <w:qFormat/>
    <w:uiPriority w:val="34"/>
    <w:rPr>
      <w:kern w:val="2"/>
      <w:sz w:val="21"/>
      <w:szCs w:val="22"/>
    </w:rPr>
  </w:style>
  <w:style w:type="paragraph" w:styleId="150">
    <w:name w:val="List Paragraph"/>
    <w:basedOn w:val="1"/>
    <w:link w:val="149"/>
    <w:autoRedefine/>
    <w:qFormat/>
    <w:uiPriority w:val="34"/>
    <w:pPr>
      <w:ind w:firstLine="420" w:firstLineChars="200"/>
    </w:pPr>
  </w:style>
  <w:style w:type="character" w:customStyle="1" w:styleId="151">
    <w:name w:val="正文文本 Char"/>
    <w:autoRedefine/>
    <w:qFormat/>
    <w:uiPriority w:val="99"/>
    <w:rPr>
      <w:rFonts w:ascii="宋体" w:eastAsia="宋体"/>
      <w:b/>
      <w:bCs/>
      <w:sz w:val="84"/>
      <w:szCs w:val="84"/>
      <w:lang w:val="zh-CN"/>
    </w:rPr>
  </w:style>
  <w:style w:type="character" w:customStyle="1" w:styleId="152">
    <w:name w:val="页眉 字符1"/>
    <w:autoRedefine/>
    <w:semiHidden/>
    <w:qFormat/>
    <w:uiPriority w:val="99"/>
    <w:rPr>
      <w:rFonts w:ascii="宋体" w:hAnsi="Calibri" w:eastAsia="宋体" w:cs="Times New Roman"/>
      <w:kern w:val="0"/>
      <w:sz w:val="18"/>
      <w:szCs w:val="18"/>
    </w:rPr>
  </w:style>
  <w:style w:type="character" w:customStyle="1" w:styleId="153">
    <w:name w:val="标题 5 字符1"/>
    <w:link w:val="7"/>
    <w:autoRedefine/>
    <w:qFormat/>
    <w:uiPriority w:val="9"/>
    <w:rPr>
      <w:rFonts w:ascii="宋体" w:hAnsi="Calibri" w:eastAsia="宋体" w:cs="Times New Roman"/>
      <w:b/>
      <w:bCs/>
      <w:kern w:val="0"/>
      <w:sz w:val="28"/>
      <w:szCs w:val="28"/>
    </w:rPr>
  </w:style>
  <w:style w:type="character" w:customStyle="1" w:styleId="154">
    <w:name w:val="keyfeatures1"/>
    <w:autoRedefine/>
    <w:qFormat/>
    <w:uiPriority w:val="0"/>
    <w:rPr>
      <w:rFonts w:hint="default" w:ascii="Arial" w:hAnsi="Arial" w:cs="Arial"/>
      <w:color w:val="003366"/>
      <w:sz w:val="17"/>
      <w:szCs w:val="17"/>
      <w:u w:val="none"/>
    </w:rPr>
  </w:style>
  <w:style w:type="character" w:customStyle="1" w:styleId="155">
    <w:name w:val="题注 字符"/>
    <w:autoRedefine/>
    <w:qFormat/>
    <w:uiPriority w:val="0"/>
    <w:rPr>
      <w:rFonts w:ascii="宋体" w:hAnsi="宋体" w:eastAsia="黑体" w:cs="Times New Roman"/>
      <w:b/>
      <w:szCs w:val="21"/>
    </w:rPr>
  </w:style>
  <w:style w:type="character" w:customStyle="1" w:styleId="156">
    <w:name w:val="标题 4 Char"/>
    <w:autoRedefine/>
    <w:qFormat/>
    <w:uiPriority w:val="0"/>
    <w:rPr>
      <w:rFonts w:ascii="宋体" w:hAnsi="宋体" w:eastAsia="宋体"/>
      <w:b/>
      <w:kern w:val="2"/>
      <w:sz w:val="21"/>
      <w:szCs w:val="24"/>
      <w:lang w:val="en-US" w:eastAsia="zh-CN" w:bidi="ar-SA"/>
    </w:rPr>
  </w:style>
  <w:style w:type="character" w:customStyle="1" w:styleId="157">
    <w:name w:val="批注文字 字符3"/>
    <w:autoRedefine/>
    <w:semiHidden/>
    <w:qFormat/>
    <w:uiPriority w:val="99"/>
    <w:rPr>
      <w:rFonts w:ascii="宋体" w:hAnsi="Calibri" w:eastAsia="宋体" w:cs="Times New Roman"/>
      <w:kern w:val="0"/>
      <w:sz w:val="24"/>
      <w:szCs w:val="24"/>
    </w:rPr>
  </w:style>
  <w:style w:type="character" w:customStyle="1" w:styleId="158">
    <w:name w:val="纯文本 字符1"/>
    <w:autoRedefine/>
    <w:qFormat/>
    <w:uiPriority w:val="0"/>
    <w:rPr>
      <w:rFonts w:ascii="宋体" w:hAnsi="Courier New" w:eastAsia="宋体"/>
      <w:kern w:val="2"/>
      <w:sz w:val="21"/>
      <w:szCs w:val="24"/>
      <w:lang w:val="en-US" w:eastAsia="zh-CN" w:bidi="ar-SA"/>
    </w:rPr>
  </w:style>
  <w:style w:type="character" w:customStyle="1" w:styleId="159">
    <w:name w:val="列出段落 Char1"/>
    <w:autoRedefine/>
    <w:qFormat/>
    <w:uiPriority w:val="34"/>
    <w:rPr>
      <w:rFonts w:ascii="宋体"/>
      <w:sz w:val="24"/>
      <w:szCs w:val="24"/>
    </w:rPr>
  </w:style>
  <w:style w:type="character" w:customStyle="1" w:styleId="160">
    <w:name w:val="彩色列表 - 着色 1 字符"/>
    <w:link w:val="161"/>
    <w:autoRedefine/>
    <w:qFormat/>
    <w:uiPriority w:val="0"/>
    <w:rPr>
      <w:rFonts w:ascii="Calibri" w:hAnsi="Calibri"/>
    </w:rPr>
  </w:style>
  <w:style w:type="paragraph" w:customStyle="1" w:styleId="161">
    <w:name w:val="彩色列表 - 着色 11"/>
    <w:basedOn w:val="1"/>
    <w:link w:val="160"/>
    <w:autoRedefine/>
    <w:qFormat/>
    <w:uiPriority w:val="0"/>
    <w:pPr>
      <w:ind w:firstLine="420" w:firstLineChars="200"/>
    </w:pPr>
    <w:rPr>
      <w:rFonts w:ascii="Calibri" w:hAnsi="Calibri"/>
    </w:rPr>
  </w:style>
  <w:style w:type="character" w:customStyle="1" w:styleId="162">
    <w:name w:val="纯文本 Char"/>
    <w:autoRedefine/>
    <w:qFormat/>
    <w:uiPriority w:val="0"/>
    <w:rPr>
      <w:rFonts w:ascii="宋体" w:hAnsi="Courier New" w:eastAsia="宋体" w:cs="Times New Roman"/>
      <w:szCs w:val="20"/>
    </w:rPr>
  </w:style>
  <w:style w:type="character" w:customStyle="1" w:styleId="163">
    <w:name w:val="标题 6 字符1"/>
    <w:link w:val="8"/>
    <w:autoRedefine/>
    <w:qFormat/>
    <w:uiPriority w:val="9"/>
    <w:rPr>
      <w:rFonts w:ascii="Times New Roman" w:hAnsi="Calibri" w:eastAsia="黑体" w:cs="Times New Roman"/>
      <w:b/>
      <w:bCs/>
      <w:kern w:val="0"/>
      <w:sz w:val="28"/>
      <w:szCs w:val="24"/>
    </w:rPr>
  </w:style>
  <w:style w:type="character" w:customStyle="1" w:styleId="164">
    <w:name w:val="正文文本 2 字符"/>
    <w:link w:val="45"/>
    <w:autoRedefine/>
    <w:qFormat/>
    <w:uiPriority w:val="0"/>
    <w:rPr>
      <w:rFonts w:ascii="Arial" w:hAnsi="Arial" w:eastAsia="宋体" w:cs="Times New Roman"/>
      <w:color w:val="000000"/>
      <w:szCs w:val="24"/>
    </w:rPr>
  </w:style>
  <w:style w:type="character" w:customStyle="1" w:styleId="165">
    <w:name w:val="标题 3 字符1"/>
    <w:link w:val="5"/>
    <w:autoRedefine/>
    <w:qFormat/>
    <w:uiPriority w:val="0"/>
    <w:rPr>
      <w:rFonts w:ascii="宋体" w:hAnsi="Calibri" w:eastAsia="宋体" w:cs="Times New Roman"/>
      <w:kern w:val="0"/>
      <w:sz w:val="24"/>
      <w:szCs w:val="24"/>
    </w:rPr>
  </w:style>
  <w:style w:type="character" w:customStyle="1" w:styleId="166">
    <w:name w:val="正文文本缩进 2 字符1"/>
    <w:autoRedefine/>
    <w:semiHidden/>
    <w:qFormat/>
    <w:uiPriority w:val="99"/>
    <w:rPr>
      <w:rFonts w:ascii="宋体" w:hAnsi="Calibri" w:eastAsia="宋体" w:cs="Times New Roman"/>
      <w:kern w:val="0"/>
      <w:sz w:val="24"/>
      <w:szCs w:val="24"/>
    </w:rPr>
  </w:style>
  <w:style w:type="character" w:customStyle="1" w:styleId="167">
    <w:name w:val="正文文本缩进 3 字符1"/>
    <w:autoRedefine/>
    <w:semiHidden/>
    <w:qFormat/>
    <w:uiPriority w:val="99"/>
    <w:rPr>
      <w:rFonts w:ascii="宋体" w:hAnsi="Calibri" w:eastAsia="宋体" w:cs="Times New Roman"/>
      <w:kern w:val="0"/>
      <w:sz w:val="16"/>
      <w:szCs w:val="16"/>
    </w:rPr>
  </w:style>
  <w:style w:type="character" w:customStyle="1" w:styleId="168">
    <w:name w:val="正文文本 2 字符1"/>
    <w:autoRedefine/>
    <w:semiHidden/>
    <w:qFormat/>
    <w:uiPriority w:val="99"/>
    <w:rPr>
      <w:rFonts w:ascii="宋体" w:hAnsi="Calibri" w:eastAsia="宋体" w:cs="Times New Roman"/>
      <w:kern w:val="0"/>
      <w:sz w:val="24"/>
      <w:szCs w:val="24"/>
    </w:rPr>
  </w:style>
  <w:style w:type="character" w:customStyle="1" w:styleId="169">
    <w:name w:val="eschoolnr"/>
    <w:autoRedefine/>
    <w:qFormat/>
    <w:uiPriority w:val="0"/>
    <w:rPr>
      <w:sz w:val="23"/>
      <w:szCs w:val="23"/>
    </w:rPr>
  </w:style>
  <w:style w:type="character" w:customStyle="1" w:styleId="170">
    <w:name w:val="访问过的超链接1"/>
    <w:autoRedefine/>
    <w:qFormat/>
    <w:uiPriority w:val="0"/>
    <w:rPr>
      <w:rFonts w:ascii="Arial" w:hAnsi="Arial" w:cs="Arial"/>
      <w:color w:val="000000"/>
      <w:sz w:val="20"/>
      <w:szCs w:val="20"/>
      <w:u w:val="none"/>
    </w:rPr>
  </w:style>
  <w:style w:type="character" w:customStyle="1" w:styleId="171">
    <w:name w:val="标题 1 字符1"/>
    <w:link w:val="3"/>
    <w:autoRedefine/>
    <w:qFormat/>
    <w:uiPriority w:val="0"/>
    <w:rPr>
      <w:rFonts w:ascii="宋体" w:hAnsi="Calibri" w:eastAsia="宋体" w:cs="Times New Roman"/>
      <w:kern w:val="0"/>
      <w:sz w:val="24"/>
      <w:szCs w:val="24"/>
    </w:rPr>
  </w:style>
  <w:style w:type="character" w:customStyle="1" w:styleId="172">
    <w:name w:val="批注文字 Char1"/>
    <w:autoRedefine/>
    <w:qFormat/>
    <w:uiPriority w:val="0"/>
    <w:rPr>
      <w:kern w:val="2"/>
      <w:sz w:val="21"/>
      <w:szCs w:val="24"/>
    </w:rPr>
  </w:style>
  <w:style w:type="character" w:customStyle="1" w:styleId="173">
    <w:name w:val="批注框文本 Char"/>
    <w:autoRedefine/>
    <w:semiHidden/>
    <w:qFormat/>
    <w:uiPriority w:val="99"/>
    <w:rPr>
      <w:kern w:val="2"/>
      <w:sz w:val="18"/>
      <w:szCs w:val="18"/>
    </w:rPr>
  </w:style>
  <w:style w:type="character" w:customStyle="1" w:styleId="174">
    <w:name w:val="DAS正文 Char"/>
    <w:autoRedefine/>
    <w:qFormat/>
    <w:uiPriority w:val="0"/>
    <w:rPr>
      <w:rFonts w:ascii="Verdana" w:hAnsi="Verdana" w:eastAsia="宋体"/>
      <w:kern w:val="2"/>
      <w:sz w:val="21"/>
      <w:szCs w:val="21"/>
      <w:lang w:val="en-US" w:eastAsia="zh-CN" w:bidi="ar-SA"/>
    </w:rPr>
  </w:style>
  <w:style w:type="character" w:customStyle="1" w:styleId="175">
    <w:name w:val="正文文本缩进 3 字符"/>
    <w:link w:val="42"/>
    <w:autoRedefine/>
    <w:qFormat/>
    <w:uiPriority w:val="0"/>
    <w:rPr>
      <w:rFonts w:ascii="宋体" w:hAnsi="Times New Roman" w:eastAsia="宋体" w:cs="Times New Roman"/>
      <w:kern w:val="0"/>
      <w:sz w:val="24"/>
      <w:szCs w:val="24"/>
    </w:rPr>
  </w:style>
  <w:style w:type="character" w:customStyle="1" w:styleId="176">
    <w:name w:val="页眉 Char"/>
    <w:autoRedefine/>
    <w:qFormat/>
    <w:uiPriority w:val="99"/>
    <w:rPr>
      <w:kern w:val="2"/>
      <w:sz w:val="18"/>
      <w:szCs w:val="18"/>
    </w:rPr>
  </w:style>
  <w:style w:type="character" w:customStyle="1" w:styleId="177">
    <w:name w:val="正文文本 3 字符"/>
    <w:link w:val="29"/>
    <w:autoRedefine/>
    <w:qFormat/>
    <w:uiPriority w:val="0"/>
    <w:rPr>
      <w:rFonts w:ascii="宋体" w:hAnsi="Times New Roman" w:eastAsia="宋体" w:cs="Times New Roman"/>
      <w:b/>
      <w:bCs/>
      <w:color w:val="3366FF"/>
      <w:sz w:val="52"/>
      <w:szCs w:val="52"/>
      <w:lang w:val="zh-CN"/>
    </w:rPr>
  </w:style>
  <w:style w:type="character" w:customStyle="1" w:styleId="178">
    <w:name w:val="HTML 预设格式 字符1"/>
    <w:autoRedefine/>
    <w:semiHidden/>
    <w:qFormat/>
    <w:uiPriority w:val="99"/>
    <w:rPr>
      <w:rFonts w:ascii="Courier New" w:hAnsi="Courier New" w:eastAsia="宋体" w:cs="Courier New"/>
      <w:kern w:val="0"/>
      <w:sz w:val="20"/>
      <w:szCs w:val="20"/>
    </w:rPr>
  </w:style>
  <w:style w:type="character" w:customStyle="1" w:styleId="179">
    <w:name w:val="彩色列表 - 强调文字颜色 1 Char"/>
    <w:link w:val="180"/>
    <w:autoRedefine/>
    <w:qFormat/>
    <w:uiPriority w:val="0"/>
    <w:rPr>
      <w:rFonts w:ascii="宋体"/>
      <w:sz w:val="24"/>
      <w:szCs w:val="24"/>
    </w:rPr>
  </w:style>
  <w:style w:type="paragraph" w:customStyle="1" w:styleId="180">
    <w:name w:val="彩色列表 - 强调文字颜色 11"/>
    <w:basedOn w:val="1"/>
    <w:link w:val="179"/>
    <w:autoRedefine/>
    <w:qFormat/>
    <w:uiPriority w:val="0"/>
    <w:pPr>
      <w:autoSpaceDE w:val="0"/>
      <w:autoSpaceDN w:val="0"/>
      <w:adjustRightInd w:val="0"/>
      <w:ind w:firstLine="420" w:firstLineChars="200"/>
      <w:jc w:val="left"/>
    </w:pPr>
    <w:rPr>
      <w:rFonts w:ascii="宋体"/>
      <w:sz w:val="24"/>
      <w:szCs w:val="24"/>
    </w:rPr>
  </w:style>
  <w:style w:type="character" w:customStyle="1" w:styleId="181">
    <w:name w:val="普通(网站) 字符"/>
    <w:autoRedefine/>
    <w:qFormat/>
    <w:locked/>
    <w:uiPriority w:val="99"/>
    <w:rPr>
      <w:rFonts w:ascii="宋体" w:hAnsi="宋体" w:eastAsia="宋体" w:cs="Times New Roman"/>
      <w:kern w:val="0"/>
      <w:sz w:val="15"/>
      <w:szCs w:val="15"/>
      <w:lang w:val="en-US" w:eastAsia="zh-CN"/>
    </w:rPr>
  </w:style>
  <w:style w:type="paragraph" w:customStyle="1" w:styleId="182">
    <w:name w:val="_Style 123"/>
    <w:basedOn w:val="1"/>
    <w:next w:val="150"/>
    <w:autoRedefine/>
    <w:qFormat/>
    <w:uiPriority w:val="34"/>
    <w:pPr>
      <w:spacing w:line="360" w:lineRule="auto"/>
      <w:ind w:firstLine="420" w:firstLineChars="200"/>
    </w:pPr>
    <w:rPr>
      <w:rFonts w:ascii="Calibri" w:hAnsi="Calibri" w:eastAsia="宋体" w:cs="Times New Roman"/>
    </w:rPr>
  </w:style>
  <w:style w:type="character" w:customStyle="1" w:styleId="183">
    <w:name w:val="纯文本 字符4"/>
    <w:basedOn w:val="54"/>
    <w:autoRedefine/>
    <w:semiHidden/>
    <w:qFormat/>
    <w:uiPriority w:val="99"/>
    <w:rPr>
      <w:rFonts w:hAnsi="Courier New" w:cs="Courier New" w:asciiTheme="minorEastAsia"/>
    </w:rPr>
  </w:style>
  <w:style w:type="character" w:customStyle="1" w:styleId="184">
    <w:name w:val="批注文字 字符4"/>
    <w:basedOn w:val="54"/>
    <w:link w:val="28"/>
    <w:autoRedefine/>
    <w:semiHidden/>
    <w:qFormat/>
    <w:uiPriority w:val="99"/>
  </w:style>
  <w:style w:type="character" w:customStyle="1" w:styleId="185">
    <w:name w:val="批注主题 字符2"/>
    <w:basedOn w:val="184"/>
    <w:autoRedefine/>
    <w:semiHidden/>
    <w:qFormat/>
    <w:uiPriority w:val="99"/>
    <w:rPr>
      <w:b/>
      <w:bCs/>
    </w:rPr>
  </w:style>
  <w:style w:type="character" w:customStyle="1" w:styleId="186">
    <w:name w:val="标题 字符3"/>
    <w:basedOn w:val="54"/>
    <w:autoRedefine/>
    <w:qFormat/>
    <w:uiPriority w:val="10"/>
    <w:rPr>
      <w:rFonts w:asciiTheme="majorHAnsi" w:hAnsiTheme="majorHAnsi" w:eastAsiaTheme="majorEastAsia" w:cstheme="majorBidi"/>
      <w:b/>
      <w:bCs/>
      <w:sz w:val="32"/>
      <w:szCs w:val="32"/>
    </w:rPr>
  </w:style>
  <w:style w:type="character" w:customStyle="1" w:styleId="187">
    <w:name w:val="正文文本缩进 字符3"/>
    <w:basedOn w:val="54"/>
    <w:autoRedefine/>
    <w:semiHidden/>
    <w:qFormat/>
    <w:uiPriority w:val="99"/>
  </w:style>
  <w:style w:type="character" w:customStyle="1" w:styleId="188">
    <w:name w:val="正文文本 字符4"/>
    <w:basedOn w:val="54"/>
    <w:autoRedefine/>
    <w:semiHidden/>
    <w:qFormat/>
    <w:uiPriority w:val="99"/>
  </w:style>
  <w:style w:type="character" w:customStyle="1" w:styleId="189">
    <w:name w:val="正文文本缩进 3 字符2"/>
    <w:basedOn w:val="54"/>
    <w:autoRedefine/>
    <w:semiHidden/>
    <w:qFormat/>
    <w:uiPriority w:val="99"/>
    <w:rPr>
      <w:sz w:val="16"/>
      <w:szCs w:val="16"/>
    </w:rPr>
  </w:style>
  <w:style w:type="character" w:customStyle="1" w:styleId="190">
    <w:name w:val="页眉 字符2"/>
    <w:basedOn w:val="54"/>
    <w:autoRedefine/>
    <w:semiHidden/>
    <w:qFormat/>
    <w:uiPriority w:val="99"/>
    <w:rPr>
      <w:sz w:val="18"/>
      <w:szCs w:val="18"/>
    </w:rPr>
  </w:style>
  <w:style w:type="character" w:customStyle="1" w:styleId="191">
    <w:name w:val="批注框文本 字符2"/>
    <w:basedOn w:val="54"/>
    <w:autoRedefine/>
    <w:semiHidden/>
    <w:qFormat/>
    <w:uiPriority w:val="99"/>
    <w:rPr>
      <w:sz w:val="18"/>
      <w:szCs w:val="18"/>
    </w:rPr>
  </w:style>
  <w:style w:type="character" w:customStyle="1" w:styleId="192">
    <w:name w:val="HTML 预设格式 字符2"/>
    <w:basedOn w:val="54"/>
    <w:autoRedefine/>
    <w:semiHidden/>
    <w:qFormat/>
    <w:uiPriority w:val="99"/>
    <w:rPr>
      <w:rFonts w:ascii="Courier New" w:hAnsi="Courier New" w:cs="Courier New"/>
      <w:sz w:val="20"/>
      <w:szCs w:val="20"/>
    </w:rPr>
  </w:style>
  <w:style w:type="character" w:customStyle="1" w:styleId="193">
    <w:name w:val="页脚 字符2"/>
    <w:basedOn w:val="54"/>
    <w:autoRedefine/>
    <w:semiHidden/>
    <w:qFormat/>
    <w:uiPriority w:val="99"/>
    <w:rPr>
      <w:sz w:val="18"/>
      <w:szCs w:val="18"/>
    </w:rPr>
  </w:style>
  <w:style w:type="character" w:customStyle="1" w:styleId="194">
    <w:name w:val="正文文本缩进 2 字符2"/>
    <w:basedOn w:val="54"/>
    <w:autoRedefine/>
    <w:semiHidden/>
    <w:qFormat/>
    <w:uiPriority w:val="99"/>
  </w:style>
  <w:style w:type="character" w:customStyle="1" w:styleId="195">
    <w:name w:val="正文文本 3 字符2"/>
    <w:basedOn w:val="54"/>
    <w:autoRedefine/>
    <w:semiHidden/>
    <w:qFormat/>
    <w:uiPriority w:val="99"/>
    <w:rPr>
      <w:sz w:val="16"/>
      <w:szCs w:val="16"/>
    </w:rPr>
  </w:style>
  <w:style w:type="character" w:customStyle="1" w:styleId="196">
    <w:name w:val="正文文本 2 字符2"/>
    <w:basedOn w:val="54"/>
    <w:autoRedefine/>
    <w:semiHidden/>
    <w:qFormat/>
    <w:uiPriority w:val="99"/>
  </w:style>
  <w:style w:type="paragraph" w:customStyle="1" w:styleId="197">
    <w:name w:val="WPSOffice手动目录 3"/>
    <w:autoRedefine/>
    <w:qFormat/>
    <w:uiPriority w:val="0"/>
    <w:pPr>
      <w:ind w:left="400" w:leftChars="400"/>
    </w:pPr>
    <w:rPr>
      <w:rFonts w:ascii="Calibri" w:hAnsi="Calibri" w:eastAsia="宋体" w:cs="Times New Roman"/>
      <w:lang w:val="en-US" w:eastAsia="zh-CN" w:bidi="ar-SA"/>
    </w:rPr>
  </w:style>
  <w:style w:type="paragraph" w:customStyle="1" w:styleId="198">
    <w:name w:val="列表段落1"/>
    <w:basedOn w:val="1"/>
    <w:autoRedefine/>
    <w:qFormat/>
    <w:uiPriority w:val="0"/>
    <w:pPr>
      <w:ind w:firstLine="420" w:firstLineChars="200"/>
    </w:pPr>
    <w:rPr>
      <w:rFonts w:ascii="Times New Roman" w:hAnsi="Times New Roman" w:eastAsia="宋体" w:cs="Times New Roman"/>
      <w:szCs w:val="20"/>
    </w:rPr>
  </w:style>
  <w:style w:type="character" w:customStyle="1" w:styleId="199">
    <w:name w:val="文档结构图 字符2"/>
    <w:basedOn w:val="54"/>
    <w:autoRedefine/>
    <w:semiHidden/>
    <w:qFormat/>
    <w:uiPriority w:val="99"/>
    <w:rPr>
      <w:rFonts w:ascii="Microsoft YaHei UI" w:eastAsia="Microsoft YaHei UI"/>
      <w:sz w:val="18"/>
      <w:szCs w:val="18"/>
    </w:rPr>
  </w:style>
  <w:style w:type="character" w:customStyle="1" w:styleId="200">
    <w:name w:val="日期 字符2"/>
    <w:basedOn w:val="54"/>
    <w:autoRedefine/>
    <w:semiHidden/>
    <w:qFormat/>
    <w:uiPriority w:val="99"/>
  </w:style>
  <w:style w:type="paragraph" w:customStyle="1" w:styleId="201">
    <w:name w:val="彩色底纹 - 强调文字颜色 11"/>
    <w:autoRedefine/>
    <w:semiHidden/>
    <w:qFormat/>
    <w:uiPriority w:val="99"/>
    <w:rPr>
      <w:rFonts w:ascii="宋体" w:hAnsi="Calibri" w:eastAsia="宋体" w:cs="Times New Roman"/>
      <w:sz w:val="24"/>
      <w:szCs w:val="24"/>
      <w:lang w:val="en-US" w:eastAsia="zh-CN" w:bidi="ar-SA"/>
    </w:rPr>
  </w:style>
  <w:style w:type="paragraph" w:customStyle="1" w:styleId="202">
    <w:name w:val="d"/>
    <w:basedOn w:val="1"/>
    <w:autoRedefine/>
    <w:qFormat/>
    <w:uiPriority w:val="0"/>
    <w:pPr>
      <w:overflowPunct w:val="0"/>
      <w:autoSpaceDE w:val="0"/>
      <w:autoSpaceDN w:val="0"/>
      <w:adjustRightInd w:val="0"/>
      <w:snapToGrid w:val="0"/>
      <w:spacing w:line="360" w:lineRule="auto"/>
      <w:ind w:firstLine="480" w:firstLineChars="200"/>
    </w:pPr>
    <w:rPr>
      <w:rFonts w:ascii="宋体" w:hAnsi="宋体" w:eastAsia="宋体" w:cs="Arial"/>
      <w:snapToGrid w:val="0"/>
      <w:kern w:val="0"/>
      <w:sz w:val="24"/>
      <w:szCs w:val="21"/>
    </w:rPr>
  </w:style>
  <w:style w:type="paragraph" w:customStyle="1" w:styleId="203">
    <w:name w:val="修订1"/>
    <w:autoRedefine/>
    <w:semiHidden/>
    <w:qFormat/>
    <w:uiPriority w:val="99"/>
    <w:rPr>
      <w:rFonts w:ascii="宋体" w:hAnsi="Calibri" w:eastAsia="宋体" w:cs="Times New Roman"/>
      <w:sz w:val="24"/>
      <w:szCs w:val="24"/>
      <w:lang w:val="en-US" w:eastAsia="zh-CN" w:bidi="ar-SA"/>
    </w:rPr>
  </w:style>
  <w:style w:type="paragraph" w:customStyle="1" w:styleId="204">
    <w:name w:val="图/图注"/>
    <w:basedOn w:val="9"/>
    <w:autoRedefine/>
    <w:qFormat/>
    <w:uiPriority w:val="0"/>
    <w:pPr>
      <w:wordWrap/>
      <w:autoSpaceDE/>
      <w:autoSpaceDN/>
      <w:adjustRightInd/>
      <w:spacing w:before="50"/>
      <w:ind w:firstLine="0" w:firstLineChars="0"/>
      <w:jc w:val="center"/>
    </w:pPr>
    <w:rPr>
      <w:rFonts w:ascii="Times New Roman" w:eastAsia="黑体"/>
      <w:b/>
      <w:sz w:val="21"/>
      <w:szCs w:val="22"/>
    </w:rPr>
  </w:style>
  <w:style w:type="paragraph" w:customStyle="1" w:styleId="205">
    <w:name w:val="A."/>
    <w:basedOn w:val="1"/>
    <w:autoRedefine/>
    <w:qFormat/>
    <w:uiPriority w:val="0"/>
    <w:pPr>
      <w:widowControl/>
      <w:tabs>
        <w:tab w:val="left" w:pos="859"/>
        <w:tab w:val="left" w:pos="1200"/>
      </w:tabs>
      <w:spacing w:before="240" w:line="240" w:lineRule="atLeast"/>
      <w:ind w:left="859" w:hanging="453"/>
    </w:pPr>
    <w:rPr>
      <w:rFonts w:ascii="Times New Roman" w:hAnsi="Times New Roman" w:eastAsia="宋体" w:cs="Times New Roman"/>
      <w:sz w:val="24"/>
      <w:szCs w:val="24"/>
    </w:rPr>
  </w:style>
  <w:style w:type="paragraph" w:customStyle="1" w:styleId="206">
    <w:name w:val="Pa8"/>
    <w:basedOn w:val="1"/>
    <w:next w:val="1"/>
    <w:autoRedefine/>
    <w:qFormat/>
    <w:uiPriority w:val="99"/>
    <w:pPr>
      <w:autoSpaceDE w:val="0"/>
      <w:autoSpaceDN w:val="0"/>
      <w:adjustRightInd w:val="0"/>
      <w:spacing w:line="181" w:lineRule="atLeast"/>
      <w:jc w:val="left"/>
    </w:pPr>
    <w:rPr>
      <w:rFonts w:ascii="FrutigerNext LT Light" w:hAnsi="Calibri" w:eastAsia="FrutigerNext LT Light" w:cs="Times New Roman"/>
      <w:kern w:val="0"/>
      <w:sz w:val="24"/>
      <w:szCs w:val="24"/>
    </w:rPr>
  </w:style>
  <w:style w:type="paragraph" w:customStyle="1" w:styleId="207">
    <w:name w:val="p0"/>
    <w:basedOn w:val="1"/>
    <w:autoRedefine/>
    <w:qFormat/>
    <w:uiPriority w:val="0"/>
    <w:pPr>
      <w:widowControl/>
    </w:pPr>
    <w:rPr>
      <w:rFonts w:ascii="Times New Roman" w:hAnsi="Calibri" w:eastAsia="宋体" w:cs="Times New Roman"/>
      <w:kern w:val="0"/>
      <w:szCs w:val="20"/>
    </w:rPr>
  </w:style>
  <w:style w:type="paragraph" w:customStyle="1" w:styleId="208">
    <w:name w:val="Char Char Char Char Char Char"/>
    <w:basedOn w:val="1"/>
    <w:autoRedefine/>
    <w:qFormat/>
    <w:uiPriority w:val="0"/>
    <w:pPr>
      <w:widowControl/>
      <w:spacing w:after="160" w:line="240" w:lineRule="exact"/>
      <w:jc w:val="left"/>
    </w:pPr>
    <w:rPr>
      <w:rFonts w:ascii="Times New Roman" w:hAnsi="Times New Roman" w:eastAsia="宋体" w:cs="Times New Roman"/>
      <w:szCs w:val="24"/>
    </w:rPr>
  </w:style>
  <w:style w:type="paragraph" w:customStyle="1" w:styleId="209">
    <w:name w:val="Char"/>
    <w:basedOn w:val="1"/>
    <w:autoRedefine/>
    <w:qFormat/>
    <w:uiPriority w:val="0"/>
    <w:pPr>
      <w:widowControl/>
      <w:spacing w:after="160" w:line="240" w:lineRule="exact"/>
      <w:jc w:val="center"/>
    </w:pPr>
    <w:rPr>
      <w:rFonts w:ascii="Times New Roman" w:hAnsi="Times New Roman" w:eastAsia="宋体" w:cs="Times New Roman"/>
      <w:szCs w:val="24"/>
    </w:rPr>
  </w:style>
  <w:style w:type="paragraph" w:customStyle="1" w:styleId="210">
    <w:name w:val="网格表 32"/>
    <w:basedOn w:val="3"/>
    <w:next w:val="1"/>
    <w:autoRedefine/>
    <w:qFormat/>
    <w:uiPriority w:val="39"/>
    <w:pPr>
      <w:keepNext/>
      <w:keepLines/>
      <w:widowControl/>
      <w:autoSpaceDE/>
      <w:autoSpaceDN/>
      <w:adjustRightInd/>
      <w:spacing w:before="480" w:line="276" w:lineRule="auto"/>
      <w:outlineLvl w:val="9"/>
    </w:pPr>
    <w:rPr>
      <w:rFonts w:ascii="Cambria" w:hAnsi="Cambria"/>
      <w:b/>
      <w:bCs/>
      <w:color w:val="365F91"/>
      <w:sz w:val="28"/>
      <w:szCs w:val="28"/>
    </w:rPr>
  </w:style>
  <w:style w:type="paragraph" w:customStyle="1" w:styleId="211">
    <w:name w:val="WPSOffice手动目录 1"/>
    <w:autoRedefine/>
    <w:qFormat/>
    <w:uiPriority w:val="0"/>
    <w:rPr>
      <w:rFonts w:ascii="Calibri" w:hAnsi="Calibri" w:eastAsia="宋体" w:cs="Times New Roman"/>
      <w:lang w:val="en-US" w:eastAsia="zh-CN" w:bidi="ar-SA"/>
    </w:rPr>
  </w:style>
  <w:style w:type="paragraph" w:customStyle="1" w:styleId="212">
    <w:name w:val="_Style 69"/>
    <w:basedOn w:val="1"/>
    <w:next w:val="150"/>
    <w:autoRedefine/>
    <w:qFormat/>
    <w:uiPriority w:val="34"/>
    <w:pPr>
      <w:spacing w:line="360" w:lineRule="auto"/>
      <w:ind w:firstLine="420" w:firstLineChars="200"/>
    </w:pPr>
    <w:rPr>
      <w:rFonts w:ascii="Calibri" w:hAnsi="Calibri" w:eastAsia="宋体" w:cs="Times New Roman"/>
    </w:rPr>
  </w:style>
  <w:style w:type="paragraph" w:customStyle="1" w:styleId="213">
    <w:name w:val="中等深浅网格 21"/>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214">
    <w:name w:val="保留正文"/>
    <w:basedOn w:val="17"/>
    <w:autoRedefine/>
    <w:qFormat/>
    <w:uiPriority w:val="0"/>
    <w:pPr>
      <w:keepNext/>
      <w:autoSpaceDE/>
      <w:autoSpaceDN/>
      <w:adjustRightInd/>
      <w:spacing w:after="160"/>
      <w:ind w:right="0"/>
      <w:jc w:val="both"/>
    </w:pPr>
    <w:rPr>
      <w:rFonts w:ascii="Times New Roman"/>
      <w:b w:val="0"/>
      <w:bCs w:val="0"/>
      <w:sz w:val="21"/>
      <w:szCs w:val="24"/>
      <w:lang w:val="en-US"/>
    </w:rPr>
  </w:style>
  <w:style w:type="paragraph" w:customStyle="1" w:styleId="215">
    <w:name w:val="彩色底纹 - 着色 11"/>
    <w:autoRedefine/>
    <w:semiHidden/>
    <w:qFormat/>
    <w:uiPriority w:val="99"/>
    <w:rPr>
      <w:rFonts w:ascii="宋体" w:hAnsi="Calibri" w:eastAsia="宋体" w:cs="Times New Roman"/>
      <w:sz w:val="24"/>
      <w:szCs w:val="24"/>
      <w:lang w:val="en-US" w:eastAsia="zh-CN" w:bidi="ar-SA"/>
    </w:rPr>
  </w:style>
  <w:style w:type="paragraph" w:customStyle="1" w:styleId="216">
    <w:name w:val="WPSOffice手动目录 2"/>
    <w:autoRedefine/>
    <w:qFormat/>
    <w:uiPriority w:val="0"/>
    <w:pPr>
      <w:ind w:left="200" w:leftChars="200"/>
    </w:pPr>
    <w:rPr>
      <w:rFonts w:ascii="Calibri" w:hAnsi="Calibri" w:eastAsia="宋体" w:cs="Times New Roman"/>
      <w:lang w:val="en-US" w:eastAsia="zh-CN" w:bidi="ar-SA"/>
    </w:rPr>
  </w:style>
  <w:style w:type="paragraph" w:customStyle="1" w:styleId="217">
    <w:name w:val="网格表 31"/>
    <w:basedOn w:val="3"/>
    <w:next w:val="1"/>
    <w:autoRedefine/>
    <w:unhideWhenUsed/>
    <w:qFormat/>
    <w:uiPriority w:val="39"/>
    <w:pPr>
      <w:keepNext/>
      <w:keepLines/>
      <w:widowControl/>
      <w:autoSpaceDE/>
      <w:autoSpaceDN/>
      <w:adjustRightInd/>
      <w:spacing w:before="480" w:line="276" w:lineRule="auto"/>
      <w:outlineLvl w:val="9"/>
    </w:pPr>
    <w:rPr>
      <w:rFonts w:ascii="Cambria" w:hAnsi="Cambria"/>
      <w:b/>
      <w:bCs/>
      <w:color w:val="365F91"/>
      <w:sz w:val="28"/>
      <w:szCs w:val="28"/>
    </w:rPr>
  </w:style>
  <w:style w:type="paragraph" w:customStyle="1" w:styleId="218">
    <w:name w:val="表格文字居中"/>
    <w:basedOn w:val="143"/>
    <w:autoRedefine/>
    <w:qFormat/>
    <w:uiPriority w:val="0"/>
    <w:pPr>
      <w:jc w:val="center"/>
    </w:pPr>
    <w:rPr>
      <w:rFonts w:cs="宋体"/>
      <w:szCs w:val="20"/>
    </w:rPr>
  </w:style>
  <w:style w:type="paragraph" w:customStyle="1" w:styleId="219">
    <w:name w:val="正文缩进4格"/>
    <w:basedOn w:val="84"/>
    <w:autoRedefine/>
    <w:qFormat/>
    <w:uiPriority w:val="0"/>
    <w:pPr>
      <w:spacing w:line="360" w:lineRule="auto"/>
      <w:ind w:left="964" w:leftChars="314" w:hanging="210" w:hangingChars="100"/>
    </w:pPr>
    <w:rPr>
      <w:rFonts w:ascii="宋体" w:eastAsia="宋体"/>
      <w:sz w:val="21"/>
      <w:szCs w:val="21"/>
      <w:lang w:val="zh-CN"/>
    </w:rPr>
  </w:style>
  <w:style w:type="paragraph" w:customStyle="1" w:styleId="220">
    <w:name w:val="版本说明标题"/>
    <w:basedOn w:val="1"/>
    <w:autoRedefine/>
    <w:qFormat/>
    <w:uiPriority w:val="0"/>
    <w:pPr>
      <w:adjustRightInd w:val="0"/>
      <w:snapToGrid w:val="0"/>
      <w:spacing w:beforeLines="50" w:afterLines="50"/>
      <w:ind w:firstLine="560"/>
      <w:jc w:val="center"/>
      <w:textAlignment w:val="baseline"/>
    </w:pPr>
    <w:rPr>
      <w:rFonts w:ascii="Times New Roman" w:hAnsi="Calibri" w:eastAsia="仿宋_GB2312" w:cs="Times New Roman"/>
      <w:b/>
      <w:color w:val="000000"/>
      <w:sz w:val="28"/>
      <w:szCs w:val="28"/>
    </w:rPr>
  </w:style>
  <w:style w:type="character" w:customStyle="1" w:styleId="221">
    <w:name w:val="正文首行缩进 字符"/>
    <w:basedOn w:val="139"/>
    <w:link w:val="50"/>
    <w:autoRedefine/>
    <w:semiHidden/>
    <w:qFormat/>
    <w:uiPriority w:val="99"/>
    <w:rPr>
      <w:rFonts w:ascii="宋体" w:eastAsia="宋体"/>
      <w:b w:val="0"/>
      <w:bCs w:val="0"/>
      <w:sz w:val="84"/>
      <w:szCs w:val="84"/>
      <w:lang w:val="zh-CN"/>
    </w:rPr>
  </w:style>
  <w:style w:type="paragraph" w:customStyle="1" w:styleId="222">
    <w:name w:val="修订2"/>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23">
    <w:name w:val="页脚 字符"/>
    <w:basedOn w:val="54"/>
    <w:link w:val="37"/>
    <w:autoRedefine/>
    <w:qFormat/>
    <w:uiPriority w:val="0"/>
    <w:rPr>
      <w:kern w:val="2"/>
      <w:sz w:val="18"/>
    </w:rPr>
  </w:style>
  <w:style w:type="paragraph" w:customStyle="1" w:styleId="224">
    <w:name w:val="Table Text"/>
    <w:basedOn w:val="1"/>
    <w:link w:val="225"/>
    <w:autoRedefine/>
    <w:qFormat/>
    <w:uiPriority w:val="0"/>
    <w:pPr>
      <w:topLinePunct/>
      <w:adjustRightInd w:val="0"/>
      <w:snapToGrid w:val="0"/>
      <w:spacing w:before="80" w:after="80" w:line="240" w:lineRule="atLeast"/>
      <w:jc w:val="left"/>
    </w:pPr>
    <w:rPr>
      <w:rFonts w:ascii="Times New Roman" w:hAnsi="Times New Roman" w:eastAsia="宋体" w:cs="Times New Roman"/>
      <w:kern w:val="0"/>
      <w:szCs w:val="21"/>
    </w:rPr>
  </w:style>
  <w:style w:type="character" w:customStyle="1" w:styleId="225">
    <w:name w:val="Table Text Char1"/>
    <w:basedOn w:val="54"/>
    <w:link w:val="224"/>
    <w:autoRedefine/>
    <w:qFormat/>
    <w:uiPriority w:val="0"/>
    <w:rPr>
      <w:rFonts w:hint="default" w:ascii="Arial" w:hAnsi="Arial" w:cs="Arial"/>
      <w:snapToGrid/>
      <w:sz w:val="21"/>
      <w:szCs w:val="21"/>
    </w:rPr>
  </w:style>
  <w:style w:type="table" w:customStyle="1" w:styleId="226">
    <w:name w:val="Table Normal"/>
    <w:basedOn w:val="52"/>
    <w:autoRedefine/>
    <w:semiHidden/>
    <w:qFormat/>
    <w:uiPriority w:val="0"/>
    <w:pPr>
      <w:widowControl w:val="0"/>
      <w:autoSpaceDE w:val="0"/>
      <w:autoSpaceDN w:val="0"/>
    </w:pPr>
    <w:rPr>
      <w:rFonts w:ascii="Calibri" w:hAnsi="Calibri" w:cs="Calibri"/>
      <w:sz w:val="22"/>
      <w:szCs w:val="22"/>
      <w:lang w:eastAsia="en-US"/>
    </w:rPr>
    <w:tblPr>
      <w:tblCellMar>
        <w:left w:w="0" w:type="dxa"/>
        <w:right w:w="0" w:type="dxa"/>
      </w:tblCellMar>
    </w:tblPr>
  </w:style>
  <w:style w:type="paragraph" w:customStyle="1" w:styleId="227">
    <w:name w:val="！正文"/>
    <w:basedOn w:val="1"/>
    <w:autoRedefine/>
    <w:qFormat/>
    <w:uiPriority w:val="0"/>
    <w:pPr>
      <w:spacing w:line="360" w:lineRule="auto"/>
      <w:ind w:firstLine="624" w:firstLineChars="200"/>
    </w:pPr>
    <w:rPr>
      <w:rFonts w:ascii="Times New Roman" w:hAnsi="Times New Roman" w:eastAsia="仿宋_GB2312" w:cs="Times New Roman"/>
      <w:bCs/>
      <w:color w:val="000000"/>
      <w:sz w:val="28"/>
      <w:szCs w:val="28"/>
    </w:rPr>
  </w:style>
  <w:style w:type="paragraph" w:customStyle="1" w:styleId="228">
    <w:name w:val="列出段落2"/>
    <w:basedOn w:val="1"/>
    <w:qFormat/>
    <w:uiPriority w:val="99"/>
    <w:pPr>
      <w:ind w:firstLine="420" w:firstLineChars="200"/>
    </w:pPr>
  </w:style>
  <w:style w:type="character" w:customStyle="1" w:styleId="229">
    <w:name w:val="font51"/>
    <w:basedOn w:val="54"/>
    <w:autoRedefine/>
    <w:qFormat/>
    <w:uiPriority w:val="0"/>
    <w:rPr>
      <w:rFonts w:hint="eastAsia" w:ascii="微软雅黑" w:hAnsi="微软雅黑" w:eastAsia="微软雅黑" w:cs="微软雅黑"/>
      <w:color w:val="000000"/>
      <w:sz w:val="20"/>
      <w:szCs w:val="20"/>
      <w:u w:val="none"/>
      <w:vertAlign w:val="superscript"/>
    </w:rPr>
  </w:style>
  <w:style w:type="paragraph" w:customStyle="1" w:styleId="230">
    <w:name w:val="文档正文"/>
    <w:basedOn w:val="1"/>
    <w:qFormat/>
    <w:uiPriority w:val="0"/>
    <w:pPr>
      <w:spacing w:line="360" w:lineRule="auto"/>
    </w:pPr>
    <w:rPr>
      <w:rFonts w:cs="Arial"/>
      <w:bCs/>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107</Pages>
  <Words>39839</Words>
  <Characters>41466</Characters>
  <Lines>1232</Lines>
  <Paragraphs>347</Paragraphs>
  <TotalTime>8</TotalTime>
  <ScaleCrop>false</ScaleCrop>
  <LinksUpToDate>false</LinksUpToDate>
  <CharactersWithSpaces>42230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2023-07-19T02:55:00Z</dcterms:created>
  <dc:creator>HS</dc:creator>
  <cp:lastModifiedBy>123</cp:lastModifiedBy>
  <cp:lastPrinted>2025-07-04T01:38:00Z</cp:lastPrinted>
  <dcterms:modified xsi:type="dcterms:W3CDTF">2025-12-03T07:50:31Z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8743E2FBF16645D084FC3E20EBE8203D_13</vt:lpwstr>
  </property>
  <property fmtid="{D5CDD505-2E9C-101B-9397-08002B2CF9AE}" pid="4" name="KSOTemplateDocerSaveRecord">
    <vt:lpwstr>eyJoZGlkIjoiYzhiNGQ3OTEzYjE3OTMxMWUyYmUxMjVkY2I3YjVmOTQiLCJ1c2VySWQiOiI2MTIxNDExMDYifQ==</vt:lpwstr>
  </property>
</Properties>
</file>